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BDBD8" w14:textId="77777777" w:rsidR="00813094" w:rsidRDefault="00813094">
      <w:pPr>
        <w:widowControl w:val="0"/>
        <w:pBdr>
          <w:top w:val="nil"/>
          <w:left w:val="nil"/>
          <w:bottom w:val="nil"/>
          <w:right w:val="nil"/>
          <w:between w:val="nil"/>
        </w:pBdr>
        <w:spacing w:line="276" w:lineRule="auto"/>
      </w:pPr>
    </w:p>
    <w:p w14:paraId="19CDDB8B" w14:textId="77777777" w:rsidR="00813094" w:rsidRDefault="00813094">
      <w:pPr>
        <w:pStyle w:val="Ttulo"/>
        <w:spacing w:after="0"/>
        <w:jc w:val="both"/>
        <w:rPr>
          <w:rFonts w:ascii="Arial" w:eastAsia="Arial" w:hAnsi="Arial" w:cs="Arial"/>
        </w:rPr>
      </w:pPr>
    </w:p>
    <w:p w14:paraId="096C1088" w14:textId="77777777" w:rsidR="00813094" w:rsidRDefault="00D7692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Preliminary Study on Biofilm Formation of </w:t>
      </w:r>
      <w:r>
        <w:rPr>
          <w:rFonts w:ascii="Arial" w:eastAsia="Arial" w:hAnsi="Arial" w:cs="Arial"/>
          <w:b/>
          <w:i/>
          <w:color w:val="000000"/>
          <w:sz w:val="36"/>
          <w:szCs w:val="36"/>
        </w:rPr>
        <w:t xml:space="preserve">Pasteurella </w:t>
      </w:r>
      <w:proofErr w:type="spellStart"/>
      <w:r>
        <w:rPr>
          <w:rFonts w:ascii="Arial" w:eastAsia="Arial" w:hAnsi="Arial" w:cs="Arial"/>
          <w:b/>
          <w:i/>
          <w:color w:val="000000"/>
          <w:sz w:val="36"/>
          <w:szCs w:val="36"/>
        </w:rPr>
        <w:t>multocida</w:t>
      </w:r>
      <w:proofErr w:type="spellEnd"/>
      <w:r>
        <w:rPr>
          <w:rFonts w:ascii="Arial" w:eastAsia="Arial" w:hAnsi="Arial" w:cs="Arial"/>
          <w:b/>
          <w:color w:val="000000"/>
          <w:sz w:val="36"/>
          <w:szCs w:val="36"/>
        </w:rPr>
        <w:t xml:space="preserve"> Isolated from Goats in Malang, Indonesia </w:t>
      </w:r>
    </w:p>
    <w:p w14:paraId="11C2EB41" w14:textId="77777777" w:rsidR="00813094" w:rsidRDefault="00813094">
      <w:pPr>
        <w:pBdr>
          <w:top w:val="nil"/>
          <w:left w:val="nil"/>
          <w:bottom w:val="nil"/>
          <w:right w:val="nil"/>
          <w:between w:val="nil"/>
        </w:pBdr>
        <w:jc w:val="both"/>
        <w:rPr>
          <w:rFonts w:ascii="Arial" w:eastAsia="Arial" w:hAnsi="Arial" w:cs="Arial"/>
          <w:b/>
          <w:color w:val="000000"/>
          <w:sz w:val="36"/>
          <w:szCs w:val="36"/>
        </w:rPr>
      </w:pPr>
    </w:p>
    <w:p w14:paraId="061FE457" w14:textId="77777777" w:rsidR="00813094" w:rsidRDefault="00813094">
      <w:pPr>
        <w:pBdr>
          <w:top w:val="nil"/>
          <w:left w:val="nil"/>
          <w:bottom w:val="nil"/>
          <w:right w:val="nil"/>
          <w:between w:val="nil"/>
        </w:pBdr>
        <w:jc w:val="both"/>
        <w:rPr>
          <w:rFonts w:ascii="Arial" w:eastAsia="Arial" w:hAnsi="Arial" w:cs="Arial"/>
          <w:color w:val="000000"/>
        </w:rPr>
      </w:pPr>
    </w:p>
    <w:p w14:paraId="10878F10" w14:textId="77777777" w:rsidR="00813094" w:rsidRDefault="00D76920">
      <w:pPr>
        <w:pBdr>
          <w:top w:val="nil"/>
          <w:left w:val="nil"/>
          <w:bottom w:val="nil"/>
          <w:right w:val="nil"/>
          <w:between w:val="nil"/>
        </w:pBdr>
        <w:jc w:val="both"/>
        <w:rPr>
          <w:rFonts w:ascii="Arial" w:eastAsia="Arial" w:hAnsi="Arial" w:cs="Arial"/>
          <w:color w:val="000000"/>
          <w:sz w:val="16"/>
          <w:szCs w:val="16"/>
        </w:rPr>
        <w:sectPr w:rsidR="00813094" w:rsidSect="00F32954">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98CDEB4" wp14:editId="5C488F55">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3B8807CB"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C9FCC50" w14:textId="77777777" w:rsidR="00813094" w:rsidRDefault="0081309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13094" w14:paraId="2FA3EC39" w14:textId="77777777">
        <w:tc>
          <w:tcPr>
            <w:tcW w:w="8424" w:type="dxa"/>
            <w:shd w:val="clear" w:color="auto" w:fill="F2F2F2"/>
          </w:tcPr>
          <w:p w14:paraId="658888B8" w14:textId="77777777"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sidR="008A590C" w:rsidRPr="008A590C">
              <w:rPr>
                <w:rFonts w:ascii="Arial" w:eastAsia="Arial" w:hAnsi="Arial" w:cs="Arial"/>
                <w:color w:val="000000"/>
              </w:rPr>
              <w:t xml:space="preserve">This study aims to assess the biofilm-forming ability of </w:t>
            </w:r>
            <w:r w:rsidR="008A590C" w:rsidRPr="008A590C">
              <w:rPr>
                <w:rFonts w:ascii="Arial" w:eastAsia="Arial" w:hAnsi="Arial" w:cs="Arial"/>
                <w:i/>
                <w:iCs/>
                <w:color w:val="000000"/>
              </w:rPr>
              <w:t xml:space="preserve">Pasteurella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xml:space="preserve"> isolated from goats in Malang, Indonesia, as part of a preliminary effort to understand its pathogenic potential and implications for veterinary treatment strategies.</w:t>
            </w:r>
          </w:p>
          <w:p w14:paraId="1C8A7CF5" w14:textId="44BD2F11" w:rsidR="00813094" w:rsidRDefault="00D76920">
            <w:pPr>
              <w:pBdr>
                <w:top w:val="nil"/>
                <w:left w:val="nil"/>
                <w:bottom w:val="nil"/>
                <w:right w:val="nil"/>
                <w:between w:val="nil"/>
              </w:pBdr>
              <w:jc w:val="both"/>
              <w:rPr>
                <w:rFonts w:ascii="Arial" w:eastAsia="Arial" w:hAnsi="Arial" w:cs="Arial"/>
                <w:color w:val="000000"/>
              </w:rPr>
            </w:pPr>
            <w:commentRangeStart w:id="0"/>
            <w:r>
              <w:rPr>
                <w:rFonts w:ascii="Arial" w:eastAsia="Arial" w:hAnsi="Arial" w:cs="Arial"/>
                <w:b/>
                <w:color w:val="000000"/>
              </w:rPr>
              <w:t>Study design:</w:t>
            </w:r>
            <w:r>
              <w:rPr>
                <w:rFonts w:ascii="Arial" w:eastAsia="Arial" w:hAnsi="Arial" w:cs="Arial"/>
                <w:color w:val="000000"/>
              </w:rPr>
              <w:t xml:space="preserve">  </w:t>
            </w:r>
            <w:commentRangeEnd w:id="0"/>
            <w:r w:rsidR="002D5794">
              <w:rPr>
                <w:rStyle w:val="Refdecomentario"/>
                <w:rFonts w:ascii="Times New Roman" w:hAnsi="Times New Roman"/>
                <w:lang w:val="nb-NO" w:eastAsia="nb-NO"/>
              </w:rPr>
              <w:commentReference w:id="0"/>
            </w:r>
            <w:r w:rsidR="008A590C" w:rsidRPr="008A590C">
              <w:rPr>
                <w:rFonts w:ascii="Arial" w:eastAsia="Arial" w:hAnsi="Arial" w:cs="Arial"/>
                <w:color w:val="000000"/>
              </w:rPr>
              <w:t>A cross-sectional observational study</w:t>
            </w:r>
            <w:r>
              <w:rPr>
                <w:rFonts w:ascii="Arial" w:eastAsia="Arial" w:hAnsi="Arial" w:cs="Arial"/>
                <w:color w:val="000000"/>
              </w:rPr>
              <w:t>.</w:t>
            </w:r>
          </w:p>
          <w:p w14:paraId="62B32383" w14:textId="77777777" w:rsidR="008A590C" w:rsidRDefault="00D76920">
            <w:pPr>
              <w:pBdr>
                <w:top w:val="nil"/>
                <w:left w:val="nil"/>
                <w:bottom w:val="nil"/>
                <w:right w:val="nil"/>
                <w:between w:val="nil"/>
              </w:pBdr>
              <w:jc w:val="both"/>
              <w:rPr>
                <w:rFonts w:ascii="Arial" w:eastAsia="Arial" w:hAnsi="Arial" w:cs="Arial"/>
                <w:color w:val="000000"/>
              </w:rPr>
            </w:pPr>
            <w:commentRangeStart w:id="1"/>
            <w:r>
              <w:rPr>
                <w:rFonts w:ascii="Arial" w:eastAsia="Arial" w:hAnsi="Arial" w:cs="Arial"/>
                <w:b/>
                <w:color w:val="000000"/>
              </w:rPr>
              <w:t>Place and Duration of Study:</w:t>
            </w:r>
            <w:r>
              <w:rPr>
                <w:rFonts w:ascii="Arial" w:eastAsia="Arial" w:hAnsi="Arial" w:cs="Arial"/>
                <w:color w:val="000000"/>
              </w:rPr>
              <w:t xml:space="preserve"> </w:t>
            </w:r>
            <w:commentRangeEnd w:id="1"/>
            <w:r w:rsidR="002D5794">
              <w:rPr>
                <w:rStyle w:val="Refdecomentario"/>
                <w:rFonts w:ascii="Times New Roman" w:hAnsi="Times New Roman"/>
                <w:lang w:val="nb-NO" w:eastAsia="nb-NO"/>
              </w:rPr>
              <w:commentReference w:id="1"/>
            </w:r>
            <w:r w:rsidR="008A590C" w:rsidRPr="008A590C">
              <w:rPr>
                <w:rFonts w:ascii="Arial" w:eastAsia="Arial" w:hAnsi="Arial" w:cs="Arial"/>
                <w:color w:val="000000"/>
              </w:rPr>
              <w:t>This study was conducted in the Malang Raya region, Indonesia, from June to December 2024.</w:t>
            </w:r>
          </w:p>
          <w:p w14:paraId="2A5551C9" w14:textId="77777777"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w:t>
            </w:r>
            <w:r w:rsidR="008A590C" w:rsidRPr="008A590C">
              <w:rPr>
                <w:rFonts w:ascii="Arial" w:eastAsia="Arial" w:hAnsi="Arial" w:cs="Arial"/>
                <w:color w:val="000000"/>
              </w:rPr>
              <w:t xml:space="preserve">A total of 63 clinical samples were collected post-mortem from goats exhibiting acute respiratory symptoms. Bacterial isolation was performed on blood agar and MacConkey agar. Biochemical identification of </w:t>
            </w:r>
            <w:r w:rsidR="008A590C" w:rsidRPr="008A590C">
              <w:rPr>
                <w:rFonts w:ascii="Arial" w:eastAsia="Arial" w:hAnsi="Arial" w:cs="Arial"/>
                <w:i/>
                <w:iCs/>
                <w:color w:val="000000"/>
              </w:rPr>
              <w:t xml:space="preserve">P.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xml:space="preserve"> was confirmed through Gram staining and a panel of biochemical tests. The biofilm formation ability was assessed using a microtiter plate assay with crystal violet staining, and the optical density (OD) was measured at 595 nm. Classification was based on established OD cutoff criteria.</w:t>
            </w:r>
          </w:p>
          <w:p w14:paraId="0AF9A269" w14:textId="58312E96" w:rsidR="00813094" w:rsidRDefault="00D7692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sidR="008A590C" w:rsidRPr="008A590C">
              <w:rPr>
                <w:rFonts w:ascii="Arial" w:eastAsia="Arial" w:hAnsi="Arial" w:cs="Arial"/>
                <w:color w:val="000000"/>
              </w:rPr>
              <w:t xml:space="preserve">Out of 63 samples, 8 isolates (12.7%) were confirmed as </w:t>
            </w:r>
            <w:r w:rsidR="008A590C" w:rsidRPr="008A590C">
              <w:rPr>
                <w:rFonts w:ascii="Arial" w:eastAsia="Arial" w:hAnsi="Arial" w:cs="Arial"/>
                <w:i/>
                <w:iCs/>
                <w:color w:val="000000"/>
              </w:rPr>
              <w:t xml:space="preserve">P.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Biofilm assessment revealed diverse formation capacities: 3 isolates were non-biofilm formers (OD ≤ 0.600), 2 were weak (0.601–1.200), and 3 were moderate biofilm formers (1.201–2.400). No strong biofilm formers were identified. The presence of moderate biofilm formers indicates a potential increase in persistence and antimicrobial resistance, which may complicate treatment protocols.</w:t>
            </w:r>
          </w:p>
          <w:p w14:paraId="6F33654A" w14:textId="77777777"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sidR="008A590C" w:rsidRPr="008A590C">
              <w:rPr>
                <w:rFonts w:ascii="Arial" w:eastAsia="Arial" w:hAnsi="Arial" w:cs="Arial"/>
                <w:color w:val="000000"/>
              </w:rPr>
              <w:t xml:space="preserve">The varying abilities of </w:t>
            </w:r>
            <w:r w:rsidR="008A590C" w:rsidRPr="008A590C">
              <w:rPr>
                <w:rFonts w:ascii="Arial" w:eastAsia="Arial" w:hAnsi="Arial" w:cs="Arial"/>
                <w:i/>
                <w:iCs/>
                <w:color w:val="000000"/>
              </w:rPr>
              <w:t xml:space="preserve">P.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xml:space="preserve"> isolates to form biofilms underscore the </w:t>
            </w:r>
            <w:commentRangeStart w:id="2"/>
            <w:r w:rsidR="008A590C" w:rsidRPr="00D50C60">
              <w:rPr>
                <w:rFonts w:ascii="Arial" w:eastAsia="Arial" w:hAnsi="Arial" w:cs="Arial"/>
                <w:strike/>
                <w:color w:val="000000"/>
              </w:rPr>
              <w:t>need to consider</w:t>
            </w:r>
            <w:r w:rsidR="008A590C" w:rsidRPr="008A590C">
              <w:rPr>
                <w:rFonts w:ascii="Arial" w:eastAsia="Arial" w:hAnsi="Arial" w:cs="Arial"/>
                <w:color w:val="000000"/>
              </w:rPr>
              <w:t xml:space="preserve"> </w:t>
            </w:r>
            <w:commentRangeEnd w:id="2"/>
            <w:r w:rsidR="00D50C60">
              <w:rPr>
                <w:rStyle w:val="Refdecomentario"/>
                <w:rFonts w:ascii="Times New Roman" w:hAnsi="Times New Roman"/>
                <w:lang w:val="nb-NO" w:eastAsia="nb-NO"/>
              </w:rPr>
              <w:commentReference w:id="2"/>
            </w:r>
            <w:r w:rsidR="008A590C" w:rsidRPr="008A590C">
              <w:rPr>
                <w:rFonts w:ascii="Arial" w:eastAsia="Arial" w:hAnsi="Arial" w:cs="Arial"/>
                <w:color w:val="000000"/>
              </w:rPr>
              <w:t>biofilm-associated resistance in veterinary intervention strategies. This study provides foundational data for future molecular and therapeutic research.</w:t>
            </w:r>
          </w:p>
          <w:p w14:paraId="775915BD" w14:textId="6F785D70" w:rsidR="00813094" w:rsidRDefault="00813094">
            <w:pPr>
              <w:pBdr>
                <w:top w:val="nil"/>
                <w:left w:val="nil"/>
                <w:bottom w:val="nil"/>
                <w:right w:val="nil"/>
                <w:between w:val="nil"/>
              </w:pBdr>
              <w:jc w:val="both"/>
              <w:rPr>
                <w:rFonts w:ascii="Arial" w:eastAsia="Arial" w:hAnsi="Arial" w:cs="Arial"/>
                <w:color w:val="000000"/>
              </w:rPr>
            </w:pPr>
          </w:p>
        </w:tc>
      </w:tr>
    </w:tbl>
    <w:p w14:paraId="3EAA0439" w14:textId="77777777" w:rsidR="00813094" w:rsidRDefault="00813094">
      <w:pPr>
        <w:pBdr>
          <w:top w:val="nil"/>
          <w:left w:val="nil"/>
          <w:bottom w:val="nil"/>
          <w:right w:val="nil"/>
          <w:between w:val="nil"/>
        </w:pBdr>
        <w:jc w:val="both"/>
        <w:rPr>
          <w:rFonts w:ascii="Arial" w:eastAsia="Arial" w:hAnsi="Arial" w:cs="Arial"/>
          <w:i/>
          <w:color w:val="000000"/>
        </w:rPr>
      </w:pPr>
    </w:p>
    <w:p w14:paraId="1B70DD6B" w14:textId="29101F6C" w:rsidR="00813094" w:rsidRDefault="00D7692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sidR="008A590C" w:rsidRPr="008A590C">
        <w:rPr>
          <w:rFonts w:ascii="Arial" w:eastAsia="Arial" w:hAnsi="Arial" w:cs="Arial"/>
          <w:i/>
          <w:color w:val="000000"/>
        </w:rPr>
        <w:t xml:space="preserve">Pasteurella </w:t>
      </w:r>
      <w:proofErr w:type="spellStart"/>
      <w:r w:rsidR="008A590C" w:rsidRPr="008A590C">
        <w:rPr>
          <w:rFonts w:ascii="Arial" w:eastAsia="Arial" w:hAnsi="Arial" w:cs="Arial"/>
          <w:i/>
          <w:color w:val="000000"/>
        </w:rPr>
        <w:t>multocida</w:t>
      </w:r>
      <w:proofErr w:type="spellEnd"/>
      <w:r w:rsidR="008A590C" w:rsidRPr="008A590C">
        <w:rPr>
          <w:rFonts w:ascii="Arial" w:eastAsia="Arial" w:hAnsi="Arial" w:cs="Arial"/>
          <w:i/>
          <w:color w:val="000000"/>
        </w:rPr>
        <w:t>, biofilm formation, goats, respiratory infection</w:t>
      </w:r>
    </w:p>
    <w:p w14:paraId="619E227E" w14:textId="77777777" w:rsidR="008A590C" w:rsidRDefault="008A590C">
      <w:pPr>
        <w:pBdr>
          <w:top w:val="nil"/>
          <w:left w:val="nil"/>
          <w:bottom w:val="nil"/>
          <w:right w:val="nil"/>
          <w:between w:val="nil"/>
        </w:pBdr>
        <w:jc w:val="both"/>
        <w:rPr>
          <w:rFonts w:ascii="Arial" w:eastAsia="Arial" w:hAnsi="Arial" w:cs="Arial"/>
          <w:i/>
          <w:color w:val="000000"/>
        </w:rPr>
      </w:pPr>
    </w:p>
    <w:p w14:paraId="258AF368" w14:textId="77777777" w:rsidR="008A590C" w:rsidRDefault="008A590C">
      <w:pPr>
        <w:pBdr>
          <w:top w:val="nil"/>
          <w:left w:val="nil"/>
          <w:bottom w:val="nil"/>
          <w:right w:val="nil"/>
          <w:between w:val="nil"/>
        </w:pBdr>
        <w:jc w:val="both"/>
        <w:rPr>
          <w:rFonts w:ascii="Arial" w:eastAsia="Arial" w:hAnsi="Arial" w:cs="Arial"/>
          <w:i/>
          <w:color w:val="000000"/>
        </w:rPr>
      </w:pPr>
    </w:p>
    <w:p w14:paraId="55E77D73" w14:textId="77777777" w:rsidR="008A590C" w:rsidRDefault="008A590C">
      <w:pPr>
        <w:pBdr>
          <w:top w:val="nil"/>
          <w:left w:val="nil"/>
          <w:bottom w:val="nil"/>
          <w:right w:val="nil"/>
          <w:between w:val="nil"/>
        </w:pBdr>
        <w:jc w:val="both"/>
        <w:rPr>
          <w:rFonts w:ascii="Arial" w:eastAsia="Arial" w:hAnsi="Arial" w:cs="Arial"/>
          <w:i/>
          <w:color w:val="000000"/>
        </w:rPr>
      </w:pPr>
    </w:p>
    <w:p w14:paraId="53EB1C20"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DA2D1AF" w14:textId="00C1C569" w:rsidR="00813094" w:rsidRDefault="00D76920">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Goat production is one of the staple commodities to support the economy of smallholder farmers in Indonesia. In 2024, the total goat population in Indonesia reached 15.7 million, </w:t>
      </w:r>
      <w:commentRangeStart w:id="3"/>
      <w:r w:rsidRPr="00401600">
        <w:rPr>
          <w:rFonts w:ascii="Arial" w:eastAsia="Arial" w:hAnsi="Arial" w:cs="Arial"/>
          <w:strike/>
        </w:rPr>
        <w:t>and</w:t>
      </w:r>
      <w:commentRangeEnd w:id="3"/>
      <w:r w:rsidR="00401600" w:rsidRPr="00401600">
        <w:rPr>
          <w:rStyle w:val="Refdecomentario"/>
          <w:rFonts w:ascii="Times New Roman" w:hAnsi="Times New Roman"/>
          <w:strike/>
          <w:lang w:val="nb-NO" w:eastAsia="nb-NO"/>
        </w:rPr>
        <w:commentReference w:id="3"/>
      </w:r>
      <w:r>
        <w:rPr>
          <w:rFonts w:ascii="Arial" w:eastAsia="Arial" w:hAnsi="Arial" w:cs="Arial"/>
        </w:rPr>
        <w:t xml:space="preserve"> East Java </w:t>
      </w:r>
      <w:commentRangeStart w:id="4"/>
      <w:r w:rsidRPr="00D86635">
        <w:rPr>
          <w:rFonts w:ascii="Arial" w:eastAsia="Arial" w:hAnsi="Arial" w:cs="Arial"/>
          <w:strike/>
        </w:rPr>
        <w:t>is</w:t>
      </w:r>
      <w:commentRangeEnd w:id="4"/>
      <w:r w:rsidR="00D86635" w:rsidRPr="00D86635">
        <w:rPr>
          <w:rStyle w:val="Refdecomentario"/>
          <w:rFonts w:ascii="Times New Roman" w:hAnsi="Times New Roman"/>
          <w:strike/>
          <w:lang w:val="nb-NO" w:eastAsia="nb-NO"/>
        </w:rPr>
        <w:commentReference w:id="4"/>
      </w:r>
      <w:r>
        <w:rPr>
          <w:rFonts w:ascii="Arial" w:eastAsia="Arial" w:hAnsi="Arial" w:cs="Arial"/>
        </w:rPr>
        <w:t xml:space="preserve"> the largest producer </w:t>
      </w:r>
      <w:commentRangeStart w:id="5"/>
      <w:r w:rsidR="00BB34AF" w:rsidRPr="00BB34AF">
        <w:rPr>
          <w:rFonts w:ascii="Arial" w:eastAsia="Arial" w:hAnsi="Arial" w:cs="Arial"/>
          <w:strike/>
        </w:rPr>
        <w:t>with</w:t>
      </w:r>
      <w:r w:rsidR="00BB34AF">
        <w:rPr>
          <w:rFonts w:ascii="Arial" w:eastAsia="Arial" w:hAnsi="Arial" w:cs="Arial"/>
        </w:rPr>
        <w:t xml:space="preserve"> </w:t>
      </w:r>
      <w:commentRangeEnd w:id="5"/>
      <w:r w:rsidR="00BB34AF">
        <w:rPr>
          <w:rStyle w:val="Refdecomentario"/>
          <w:rFonts w:ascii="Times New Roman" w:hAnsi="Times New Roman"/>
          <w:lang w:val="nb-NO" w:eastAsia="nb-NO"/>
        </w:rPr>
        <w:commentReference w:id="5"/>
      </w:r>
      <w:r>
        <w:rPr>
          <w:rFonts w:ascii="Arial" w:eastAsia="Arial" w:hAnsi="Arial" w:cs="Arial"/>
        </w:rPr>
        <w:t xml:space="preserve">over 5 million heads (Statistic Indonesia, 2025). Goats can be used either for meat or milk production, and they're adaptable to tropical climates. However, bacterial diseases have been a great threat to goat production. One of them is hemorrhagic </w:t>
      </w:r>
      <w:proofErr w:type="spellStart"/>
      <w:r>
        <w:rPr>
          <w:rFonts w:ascii="Arial" w:eastAsia="Arial" w:hAnsi="Arial" w:cs="Arial"/>
        </w:rPr>
        <w:t>septicaemia</w:t>
      </w:r>
      <w:proofErr w:type="spellEnd"/>
      <w:r>
        <w:rPr>
          <w:rFonts w:ascii="Arial" w:eastAsia="Arial" w:hAnsi="Arial" w:cs="Arial"/>
        </w:rPr>
        <w:t xml:space="preserve"> caused by </w:t>
      </w:r>
      <w:r>
        <w:rPr>
          <w:rFonts w:ascii="Arial" w:eastAsia="Arial" w:hAnsi="Arial" w:cs="Arial"/>
          <w:i/>
        </w:rPr>
        <w:t xml:space="preserve">Pasteurella </w:t>
      </w:r>
      <w:proofErr w:type="spellStart"/>
      <w:r>
        <w:rPr>
          <w:rFonts w:ascii="Arial" w:eastAsia="Arial" w:hAnsi="Arial" w:cs="Arial"/>
          <w:i/>
        </w:rPr>
        <w:t>multocida</w:t>
      </w:r>
      <w:proofErr w:type="spellEnd"/>
      <w:r>
        <w:rPr>
          <w:rFonts w:ascii="Arial" w:eastAsia="Arial" w:hAnsi="Arial" w:cs="Arial"/>
        </w:rPr>
        <w:t>.</w:t>
      </w:r>
    </w:p>
    <w:p w14:paraId="6A533383" w14:textId="1672C41C" w:rsidR="00813094" w:rsidRDefault="00D7692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i/>
          <w:color w:val="000000"/>
        </w:rPr>
        <w:t xml:space="preserve">Pasteurella </w:t>
      </w:r>
      <w:proofErr w:type="spellStart"/>
      <w:r>
        <w:rPr>
          <w:rFonts w:ascii="Arial" w:eastAsia="Arial" w:hAnsi="Arial" w:cs="Arial"/>
          <w:i/>
          <w:color w:val="000000"/>
        </w:rPr>
        <w:t>multocida</w:t>
      </w:r>
      <w:proofErr w:type="spellEnd"/>
      <w:r>
        <w:rPr>
          <w:rFonts w:ascii="Arial" w:eastAsia="Arial" w:hAnsi="Arial" w:cs="Arial"/>
          <w:color w:val="000000"/>
        </w:rPr>
        <w:t xml:space="preserve"> is a Gram-negative, non-motile, non-f</w:t>
      </w:r>
      <w:r>
        <w:rPr>
          <w:rFonts w:ascii="Arial" w:eastAsia="Arial" w:hAnsi="Arial" w:cs="Arial"/>
        </w:rPr>
        <w:t xml:space="preserve">orming, </w:t>
      </w:r>
      <w:r>
        <w:rPr>
          <w:rFonts w:ascii="Arial" w:eastAsia="Arial" w:hAnsi="Arial" w:cs="Arial"/>
          <w:color w:val="000000"/>
        </w:rPr>
        <w:t xml:space="preserve">facultative anaerobic coccobacillus with </w:t>
      </w:r>
      <w:r>
        <w:rPr>
          <w:rFonts w:ascii="Arial" w:eastAsia="Arial" w:hAnsi="Arial" w:cs="Arial"/>
        </w:rPr>
        <w:t>bipolar</w:t>
      </w:r>
      <w:r>
        <w:rPr>
          <w:rFonts w:ascii="Arial" w:eastAsia="Arial" w:hAnsi="Arial" w:cs="Arial"/>
          <w:color w:val="000000"/>
        </w:rPr>
        <w:t xml:space="preserve"> staining features commonly associated with respiratory tract infections in various domestic animals, including goats, sheep, and cattle (Tabatabaei &amp; </w:t>
      </w:r>
      <w:proofErr w:type="spellStart"/>
      <w:r>
        <w:rPr>
          <w:rFonts w:ascii="Arial" w:eastAsia="Arial" w:hAnsi="Arial" w:cs="Arial"/>
          <w:color w:val="000000"/>
        </w:rPr>
        <w:t>Abdolahi</w:t>
      </w:r>
      <w:proofErr w:type="spellEnd"/>
      <w:r>
        <w:rPr>
          <w:rFonts w:ascii="Arial" w:eastAsia="Arial" w:hAnsi="Arial" w:cs="Arial"/>
          <w:color w:val="000000"/>
        </w:rPr>
        <w:t xml:space="preserve">, 2023). Globally, </w:t>
      </w:r>
      <w:r>
        <w:rPr>
          <w:rFonts w:ascii="Arial" w:eastAsia="Arial" w:hAnsi="Arial" w:cs="Arial"/>
          <w:i/>
          <w:color w:val="000000"/>
        </w:rPr>
        <w:t xml:space="preserve">P. </w:t>
      </w:r>
      <w:proofErr w:type="spellStart"/>
      <w:r>
        <w:rPr>
          <w:rFonts w:ascii="Arial" w:eastAsia="Arial" w:hAnsi="Arial" w:cs="Arial"/>
          <w:i/>
          <w:color w:val="000000"/>
        </w:rPr>
        <w:t>multocida</w:t>
      </w:r>
      <w:proofErr w:type="spellEnd"/>
      <w:r>
        <w:rPr>
          <w:rFonts w:ascii="Arial" w:eastAsia="Arial" w:hAnsi="Arial" w:cs="Arial"/>
          <w:color w:val="000000"/>
        </w:rPr>
        <w:t xml:space="preserve"> has been implicated as a major pathogen responsible </w:t>
      </w:r>
      <w:r>
        <w:rPr>
          <w:rFonts w:ascii="Arial" w:eastAsia="Arial" w:hAnsi="Arial" w:cs="Arial"/>
          <w:color w:val="000000"/>
        </w:rPr>
        <w:lastRenderedPageBreak/>
        <w:t>for economically significant diseases such as hemorrhagic septicemia, pneumonia, and shipping fever, leading to substantial losses in livestock productivity and increased veterinary costs</w:t>
      </w:r>
      <w:r w:rsidR="00F11BA4">
        <w:rPr>
          <w:rFonts w:ascii="Arial" w:eastAsia="Arial" w:hAnsi="Arial" w:cs="Arial"/>
          <w:color w:val="000000"/>
        </w:rPr>
        <w:t xml:space="preserve">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{"citationID":"LZfXg12e","properties":{"formattedCitation":"(Bitew et al., 2024)","plainCitation":"(Bitew et al., 2024)","noteIndex":0},"citationItems":[{"id":174,"uris":["http://zotero.org/users/6623259/items/VHVBCTUZ"],"itemData":{"id":174,"type":"article-journal","container-title":"BMC Public Health","DOI":"10.1186/s12889-024-19621-4","ISSN":"1471-2458","issue":"1","journalAbbreviation":"BMC Public Health","language":"en","page":"2071","source":"DOI.org (Crossref)","title":"Prevalence and antimicrobial susceptibility pattern of Vibrio cholerae isolates from cholera outbreak sites in Ethiopia","volume":"24","author":[{"family":"Bitew","given":"Abebaw"},{"family":"Gelaw","given":"Aschalew"},{"family":"Wondimeneh","given":"Yitayih"},{"family":"Ayenew","given":"Zeleke"},{"family":"Getie","given":"Michael"},{"family":"Tafere","given":"Wudu"},{"family":"Gebre-Eyesus","given":"Tsehaynesh"},{"family":"Yimer","given":"Marechign"},{"family":"Beyene","given":"Getachew Tesfaye"},{"family":"Bitew","given":"Molalegne"},{"family":"Abayneh","given":"Takele"},{"family":"Abebe","given":"Markos"},{"family":"Mihret","given":"Adane"},{"family":"Yeshitela","given":"Biruk"},{"family":"Teferi","given":"Mekonnen"},{"family":"Gelaw","given":"Baye"}],"issued":{"date-parts":[["2024",7,31]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(Bitew et al., 2024)</w:t>
      </w:r>
      <w:r w:rsidR="00F11BA4">
        <w:rPr>
          <w:rFonts w:ascii="Arial" w:eastAsia="Arial" w:hAnsi="Arial" w:cs="Arial"/>
          <w:color w:val="000000"/>
        </w:rPr>
        <w:fldChar w:fldCharType="end"/>
      </w:r>
      <w:r>
        <w:rPr>
          <w:rFonts w:ascii="Arial" w:eastAsia="Arial" w:hAnsi="Arial" w:cs="Arial"/>
          <w:color w:val="000000"/>
        </w:rPr>
        <w:t xml:space="preserve">. Generally, </w:t>
      </w:r>
      <w:r w:rsidRPr="00F11BA4">
        <w:rPr>
          <w:rFonts w:ascii="Arial" w:eastAsia="Arial" w:hAnsi="Arial" w:cs="Arial"/>
          <w:i/>
          <w:iCs/>
          <w:color w:val="000000"/>
        </w:rPr>
        <w:t xml:space="preserve">P. </w:t>
      </w:r>
      <w:proofErr w:type="spellStart"/>
      <w:r w:rsidRPr="00F11BA4">
        <w:rPr>
          <w:rFonts w:ascii="Arial" w:eastAsia="Arial" w:hAnsi="Arial" w:cs="Arial"/>
          <w:i/>
          <w:iCs/>
          <w:color w:val="000000"/>
        </w:rPr>
        <w:t>multocida</w:t>
      </w:r>
      <w:proofErr w:type="spellEnd"/>
      <w:r>
        <w:rPr>
          <w:rFonts w:ascii="Arial" w:eastAsia="Arial" w:hAnsi="Arial" w:cs="Arial"/>
          <w:color w:val="000000"/>
        </w:rPr>
        <w:t xml:space="preserve"> is co</w:t>
      </w:r>
      <w:r>
        <w:rPr>
          <w:rFonts w:ascii="Arial" w:eastAsia="Arial" w:hAnsi="Arial" w:cs="Arial"/>
        </w:rPr>
        <w:t xml:space="preserve">nsidered a commensal </w:t>
      </w:r>
      <w:commentRangeStart w:id="6"/>
      <w:proofErr w:type="spellStart"/>
      <w:r w:rsidRPr="00281C2E">
        <w:rPr>
          <w:rFonts w:ascii="Arial" w:eastAsia="Arial" w:hAnsi="Arial" w:cs="Arial"/>
          <w:strike/>
        </w:rPr>
        <w:t>bacteia</w:t>
      </w:r>
      <w:commentRangeEnd w:id="6"/>
      <w:proofErr w:type="spellEnd"/>
      <w:r w:rsidR="00281C2E" w:rsidRPr="00281C2E">
        <w:rPr>
          <w:rStyle w:val="Refdecomentario"/>
          <w:rFonts w:ascii="Times New Roman" w:hAnsi="Times New Roman"/>
          <w:strike/>
          <w:lang w:val="nb-NO" w:eastAsia="nb-NO"/>
        </w:rPr>
        <w:commentReference w:id="6"/>
      </w:r>
      <w:r>
        <w:rPr>
          <w:rFonts w:ascii="Arial" w:eastAsia="Arial" w:hAnsi="Arial" w:cs="Arial"/>
        </w:rPr>
        <w:t xml:space="preserve"> found in the upper respiratory tract of a wide variety of animals, including cats, dogs, cattle, sheep, and poultry </w:t>
      </w:r>
      <w:r w:rsidR="00F11BA4">
        <w:rPr>
          <w:rFonts w:ascii="Arial" w:eastAsia="Arial" w:hAnsi="Arial" w:cs="Arial"/>
        </w:rPr>
        <w:fldChar w:fldCharType="begin"/>
      </w:r>
      <w:r w:rsidR="00F11BA4">
        <w:rPr>
          <w:rFonts w:ascii="Arial" w:eastAsia="Arial" w:hAnsi="Arial" w:cs="Arial"/>
        </w:rPr>
        <w:instrText xml:space="preserve"> ADDIN ZOTERO_ITEM CSL_CITATION {"citationID":"i8tP5XO2","properties":{"formattedCitation":"(Tabatabaei &amp; abdolahi, 2023)","plainCitation":"(Tabatabaei &amp; abdolahi, 2023)","noteIndex":0},"citationItems":[{"id":176,"uris":["http://zotero.org/users/6623259/items/KDDAHA9Y"],"itemData":{"id":176,"type":"article-journal","container-title":"Veterinary Research Forum","DOI":"10.30466/vrf.2022.556438.3524","issue":"Online First","journalAbbreviation":"Vet Res Forum","language":"eng","source":"DOI.org (CSL JSON)","title":"Molecular Evaluation of Sheep and Goats Isolates of Pasteurella multocida and Their Antibiotic Resistance","URL":"https://doi.org/10.30466/vrf.2022.556438.3524","author":[{"family":"Tabatabaei","given":"Mohammad"},{"family":"abdolahi","given":"fateme"}],"accessed":{"date-parts":[["2025",7,31]]},"issued":{"date-parts":[["2023",6]]}}}],"schema":"https://github.com/citation-style-language/schema/raw/master/csl-citation.json"} </w:instrText>
      </w:r>
      <w:r w:rsidR="00F11BA4">
        <w:rPr>
          <w:rFonts w:ascii="Arial" w:eastAsia="Arial" w:hAnsi="Arial" w:cs="Arial"/>
        </w:rPr>
        <w:fldChar w:fldCharType="separate"/>
      </w:r>
      <w:r w:rsidR="00F11BA4" w:rsidRPr="00F11BA4">
        <w:rPr>
          <w:rFonts w:ascii="Arial" w:hAnsi="Arial" w:cs="Arial"/>
        </w:rPr>
        <w:t xml:space="preserve">(Tabatabaei &amp; </w:t>
      </w:r>
      <w:proofErr w:type="spellStart"/>
      <w:r w:rsidR="00F11BA4">
        <w:rPr>
          <w:rFonts w:ascii="Arial" w:hAnsi="Arial" w:cs="Arial"/>
        </w:rPr>
        <w:t>A</w:t>
      </w:r>
      <w:r w:rsidR="00F11BA4" w:rsidRPr="00F11BA4">
        <w:rPr>
          <w:rFonts w:ascii="Arial" w:hAnsi="Arial" w:cs="Arial"/>
        </w:rPr>
        <w:t>bdolahi</w:t>
      </w:r>
      <w:proofErr w:type="spellEnd"/>
      <w:r w:rsidR="00F11BA4" w:rsidRPr="00F11BA4">
        <w:rPr>
          <w:rFonts w:ascii="Arial" w:hAnsi="Arial" w:cs="Arial"/>
        </w:rPr>
        <w:t>, 2023)</w:t>
      </w:r>
      <w:r w:rsidR="00F11BA4">
        <w:rPr>
          <w:rFonts w:ascii="Arial" w:eastAsia="Arial" w:hAnsi="Arial" w:cs="Arial"/>
        </w:rPr>
        <w:fldChar w:fldCharType="end"/>
      </w:r>
      <w:r>
        <w:rPr>
          <w:rFonts w:ascii="Arial" w:eastAsia="Arial" w:hAnsi="Arial" w:cs="Arial"/>
        </w:rPr>
        <w:t>.</w:t>
      </w:r>
    </w:p>
    <w:p w14:paraId="362B3CD8" w14:textId="7844A27D" w:rsidR="003C763B" w:rsidRDefault="00FE4D90">
      <w:pPr>
        <w:pBdr>
          <w:top w:val="nil"/>
          <w:left w:val="nil"/>
          <w:bottom w:val="nil"/>
          <w:right w:val="nil"/>
          <w:between w:val="nil"/>
        </w:pBdr>
        <w:jc w:val="both"/>
        <w:rPr>
          <w:rFonts w:ascii="Arial" w:eastAsia="Arial" w:hAnsi="Arial" w:cs="Arial"/>
          <w:color w:val="000000"/>
        </w:rPr>
      </w:pPr>
      <w:r w:rsidRPr="00FE4D90">
        <w:rPr>
          <w:rFonts w:ascii="Arial" w:eastAsia="Arial" w:hAnsi="Arial" w:cs="Arial"/>
          <w:color w:val="000000"/>
        </w:rPr>
        <w:t xml:space="preserve">The World </w:t>
      </w:r>
      <w:commentRangeStart w:id="7"/>
      <w:proofErr w:type="spellStart"/>
      <w:r w:rsidRPr="00A33300">
        <w:rPr>
          <w:rFonts w:ascii="Arial" w:eastAsia="Arial" w:hAnsi="Arial" w:cs="Arial"/>
          <w:strike/>
          <w:color w:val="000000"/>
        </w:rPr>
        <w:t>Organisation</w:t>
      </w:r>
      <w:commentRangeEnd w:id="7"/>
      <w:proofErr w:type="spellEnd"/>
      <w:r w:rsidR="00A33300" w:rsidRPr="00A33300">
        <w:rPr>
          <w:rStyle w:val="Refdecomentario"/>
          <w:rFonts w:ascii="Times New Roman" w:hAnsi="Times New Roman"/>
          <w:strike/>
          <w:lang w:val="nb-NO" w:eastAsia="nb-NO"/>
        </w:rPr>
        <w:commentReference w:id="7"/>
      </w:r>
      <w:r w:rsidRPr="00FE4D90">
        <w:rPr>
          <w:rFonts w:ascii="Arial" w:eastAsia="Arial" w:hAnsi="Arial" w:cs="Arial"/>
          <w:color w:val="000000"/>
        </w:rPr>
        <w:t xml:space="preserve"> for Animal Health (WOAH) classifies pasteurellosis as a high-priority animal health issue, especially impacting regions where small-scale livestock farming is crucial for economic stability. Recent epidemiological studies from Southeast Asia indicate notable prevalence rates of </w:t>
      </w:r>
      <w:r w:rsidRPr="00FE4D90">
        <w:rPr>
          <w:rFonts w:ascii="Arial" w:eastAsia="Arial" w:hAnsi="Arial" w:cs="Arial"/>
          <w:i/>
          <w:iCs/>
          <w:color w:val="000000"/>
        </w:rPr>
        <w:t xml:space="preserve">P. </w:t>
      </w:r>
      <w:proofErr w:type="spellStart"/>
      <w:r w:rsidRPr="00FE4D90">
        <w:rPr>
          <w:rFonts w:ascii="Arial" w:eastAsia="Arial" w:hAnsi="Arial" w:cs="Arial"/>
          <w:i/>
          <w:iCs/>
          <w:color w:val="000000"/>
        </w:rPr>
        <w:t>multocida</w:t>
      </w:r>
      <w:proofErr w:type="spellEnd"/>
      <w:r w:rsidRPr="00FE4D90">
        <w:rPr>
          <w:rFonts w:ascii="Arial" w:eastAsia="Arial" w:hAnsi="Arial" w:cs="Arial"/>
          <w:color w:val="000000"/>
        </w:rPr>
        <w:t xml:space="preserve"> in goats. For example, research conducted in Vietnam’s Mekong Delta in 2023 found a high prevalence (approximately 49%) of </w:t>
      </w:r>
      <w:r w:rsidRPr="00FE4D90">
        <w:rPr>
          <w:rFonts w:ascii="Arial" w:eastAsia="Arial" w:hAnsi="Arial" w:cs="Arial"/>
          <w:i/>
          <w:iCs/>
          <w:color w:val="000000"/>
        </w:rPr>
        <w:t xml:space="preserve">P. </w:t>
      </w:r>
      <w:proofErr w:type="spellStart"/>
      <w:r w:rsidRPr="00FE4D90">
        <w:rPr>
          <w:rFonts w:ascii="Arial" w:eastAsia="Arial" w:hAnsi="Arial" w:cs="Arial"/>
          <w:i/>
          <w:iCs/>
          <w:color w:val="000000"/>
        </w:rPr>
        <w:t>multocida</w:t>
      </w:r>
      <w:proofErr w:type="spellEnd"/>
      <w:r w:rsidRPr="00FE4D90">
        <w:rPr>
          <w:rFonts w:ascii="Arial" w:eastAsia="Arial" w:hAnsi="Arial" w:cs="Arial"/>
          <w:color w:val="000000"/>
        </w:rPr>
        <w:t xml:space="preserve"> isolates from clinically healthy goats</w:t>
      </w:r>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{"citationID":"F0QcPqEn","properties":{"formattedCitation":"(Nguyen et al., 2024)","plainCitation":"(Nguyen et al., 2024)","noteIndex":0},"citationItems":[{"id":181,"uris":["http://zotero.org/users/6623259/items/3BKPMWCT"],"itemData":{"id":181,"type":"article-journal","abstract":"Pasteurella multocida (P. multocida) is one of the predominant pathogens that mostly cause respiratory diseases in domestic animals, such as goats. To determine P. multocida serotypes and the prevalence of pathogenic and antibiotic-resistance genes the PCR method was used. A total of 143 isolated P. multocida strains were collected from 289 healthy hybrid Boer-Saanen goats’ nasal samples in the Mekong Delta, Vietnam, from March to June 2023. A total of 143 P. multocida strains, serotype B accounted for the highest proportion (51.05%), followed by serotype A (14.69%), and the lowest was serotype E (0.70%) while (39.86%) of strains could not be determined serotypes. Among the six virulence genes surveyed, the sodA gene (56.64%) had the highest presence, while the ompH gene (4.20%) had the lowest presence. Pathogenic genes were present mainly in serotypes A and B; tbpA was frequently detected in serotype A (66.67%), and sodA was commonly detected in serotype B (56.16%). There were 14 virulence gene combinations in 59/109 (54.13%) serotyped P. multocida strains, and the pattern of sodA + toxA + tbpA was prevalent at the highest rate (12.84%). Moreover, among the eight investigated antibiotic resistance genes, the sulII gene had the highest presence rate (74.13%), compared to the tetA gene with the lowest presence rate (13.29%). Gene sulII was mainly detected on strains belonging to serotypes A (80.95%), B (83.56%), and F (77.78%). A total of (77.98%) of serotyped P. multocida strains indicated multi-harbor from two to six antibiotic-resistance genes, and the most common pattern was aadB + sulII (10.09%). The prevalence of five pathogenic P. multocida serotypes harboring diverse antibiotic-resistance genes isolated from nasal samples could be a critical issue in treating and preventing the respiratory diseases caused by P. multocida in goats in the Mekong Delta.","container-title":"World's Veterinary Journal","DOI":"10.54203/scil.2024.wvj21","ISSN":"23224568","issue":"2","journalAbbreviation":"WVJ","page":"169-177","source":"DOI.org (Crossref)","title":"Pathogenic and Antibiotic-Resistance Genes of Pasteurella multocida Isolated from Goats in the Mekong Delta, Vietnam","volume":"14","author":[{"family":"Nguyen","given":"Thuong Thi"},{"family":"Nguyen","given":"Vy Ly Phuong"},{"family":"Truong","given":"Trung Thanh"},{"family":"Nguyen","given":"Chi Thi Hanh"},{"family":"Nguyen","given":"Thuan Khanh"}],"issued":{"date-parts":[["2024",6,25]]}}}],"schema":"https://github.com/citation-style-language/schema/raw/master/csl-citation.json"} </w:instrText>
      </w:r>
      <w:r>
        <w:rPr>
          <w:rFonts w:ascii="Arial" w:eastAsia="Arial" w:hAnsi="Arial" w:cs="Arial"/>
          <w:color w:val="000000"/>
        </w:rPr>
        <w:fldChar w:fldCharType="separate"/>
      </w:r>
      <w:r w:rsidRPr="00FE4D90">
        <w:rPr>
          <w:rFonts w:ascii="Arial" w:hAnsi="Arial" w:cs="Arial"/>
        </w:rPr>
        <w:t>(Nguyen et al., 2024)</w:t>
      </w:r>
      <w:r>
        <w:rPr>
          <w:rFonts w:ascii="Arial" w:eastAsia="Arial" w:hAnsi="Arial" w:cs="Arial"/>
          <w:color w:val="000000"/>
        </w:rPr>
        <w:fldChar w:fldCharType="end"/>
      </w:r>
      <w:r w:rsidRPr="00FE4D90">
        <w:rPr>
          <w:rFonts w:ascii="Arial" w:eastAsia="Arial" w:hAnsi="Arial" w:cs="Arial"/>
          <w:color w:val="000000"/>
        </w:rPr>
        <w:t xml:space="preserve">. </w:t>
      </w:r>
      <w:r>
        <w:rPr>
          <w:rFonts w:ascii="Arial" w:eastAsia="Arial" w:hAnsi="Arial" w:cs="Arial"/>
          <w:color w:val="000000"/>
        </w:rPr>
        <w:t xml:space="preserve"> </w:t>
      </w:r>
      <w:r w:rsidR="003C763B">
        <w:rPr>
          <w:rFonts w:ascii="Arial" w:eastAsia="Arial" w:hAnsi="Arial" w:cs="Arial"/>
          <w:color w:val="000000"/>
        </w:rPr>
        <w:t>T</w:t>
      </w:r>
      <w:r w:rsidR="003C763B" w:rsidRPr="003C763B">
        <w:rPr>
          <w:rFonts w:ascii="Arial" w:eastAsia="Arial" w:hAnsi="Arial" w:cs="Arial"/>
          <w:color w:val="000000"/>
        </w:rPr>
        <w:t xml:space="preserve">hese isolates harbored multiple virulence genes such as </w:t>
      </w:r>
      <w:proofErr w:type="spellStart"/>
      <w:r w:rsidR="003C763B" w:rsidRPr="003C763B">
        <w:rPr>
          <w:rFonts w:ascii="Arial" w:eastAsia="Arial" w:hAnsi="Arial" w:cs="Arial"/>
          <w:i/>
          <w:iCs/>
          <w:color w:val="000000"/>
        </w:rPr>
        <w:t>sodA</w:t>
      </w:r>
      <w:proofErr w:type="spellEnd"/>
      <w:r w:rsidR="003C763B" w:rsidRPr="003C763B">
        <w:rPr>
          <w:rFonts w:ascii="Arial" w:eastAsia="Arial" w:hAnsi="Arial" w:cs="Arial"/>
          <w:i/>
          <w:iCs/>
          <w:color w:val="000000"/>
        </w:rPr>
        <w:t xml:space="preserve">, </w:t>
      </w:r>
      <w:proofErr w:type="spellStart"/>
      <w:r w:rsidR="003C763B" w:rsidRPr="003C763B">
        <w:rPr>
          <w:rFonts w:ascii="Arial" w:eastAsia="Arial" w:hAnsi="Arial" w:cs="Arial"/>
          <w:i/>
          <w:iCs/>
          <w:color w:val="000000"/>
        </w:rPr>
        <w:t>toxA</w:t>
      </w:r>
      <w:proofErr w:type="spellEnd"/>
      <w:r w:rsidR="003C763B" w:rsidRPr="003C763B">
        <w:rPr>
          <w:rFonts w:ascii="Arial" w:eastAsia="Arial" w:hAnsi="Arial" w:cs="Arial"/>
          <w:color w:val="000000"/>
        </w:rPr>
        <w:t xml:space="preserve">, and </w:t>
      </w:r>
      <w:proofErr w:type="spellStart"/>
      <w:r w:rsidR="003C763B" w:rsidRPr="003C763B">
        <w:rPr>
          <w:rFonts w:ascii="Arial" w:eastAsia="Arial" w:hAnsi="Arial" w:cs="Arial"/>
          <w:i/>
          <w:iCs/>
          <w:color w:val="000000"/>
        </w:rPr>
        <w:t>tbpA</w:t>
      </w:r>
      <w:proofErr w:type="spellEnd"/>
      <w:r w:rsidR="003C763B" w:rsidRPr="003C763B">
        <w:rPr>
          <w:rFonts w:ascii="Arial" w:eastAsia="Arial" w:hAnsi="Arial" w:cs="Arial"/>
          <w:color w:val="000000"/>
        </w:rPr>
        <w:t xml:space="preserve">, and demonstrated a high frequency (77.98%) of multidrug-resistant gene combinations, including </w:t>
      </w:r>
      <w:proofErr w:type="spellStart"/>
      <w:r w:rsidR="003C763B" w:rsidRPr="003C763B">
        <w:rPr>
          <w:rFonts w:ascii="Arial" w:eastAsia="Arial" w:hAnsi="Arial" w:cs="Arial"/>
          <w:i/>
          <w:iCs/>
          <w:color w:val="000000"/>
        </w:rPr>
        <w:t>sulII</w:t>
      </w:r>
      <w:proofErr w:type="spellEnd"/>
      <w:r w:rsidR="003C763B" w:rsidRPr="003C763B">
        <w:rPr>
          <w:rFonts w:ascii="Arial" w:eastAsia="Arial" w:hAnsi="Arial" w:cs="Arial"/>
          <w:color w:val="000000"/>
        </w:rPr>
        <w:t xml:space="preserve"> and </w:t>
      </w:r>
      <w:proofErr w:type="spellStart"/>
      <w:r w:rsidR="003C763B" w:rsidRPr="003C763B">
        <w:rPr>
          <w:rFonts w:ascii="Arial" w:eastAsia="Arial" w:hAnsi="Arial" w:cs="Arial"/>
          <w:i/>
          <w:iCs/>
          <w:color w:val="000000"/>
        </w:rPr>
        <w:t>aadB</w:t>
      </w:r>
      <w:proofErr w:type="spellEnd"/>
      <w:r w:rsidR="003C763B" w:rsidRPr="003C763B">
        <w:rPr>
          <w:rFonts w:ascii="Arial" w:eastAsia="Arial" w:hAnsi="Arial" w:cs="Arial"/>
          <w:color w:val="000000"/>
        </w:rPr>
        <w:t xml:space="preserve">. In Pakistan, a similar study on healthy bovines revealed that 92.11% of </w:t>
      </w:r>
      <w:r w:rsidR="003C763B" w:rsidRPr="003C763B">
        <w:rPr>
          <w:rFonts w:ascii="Arial" w:eastAsia="Arial" w:hAnsi="Arial" w:cs="Arial"/>
          <w:i/>
          <w:iCs/>
          <w:color w:val="000000"/>
        </w:rPr>
        <w:t xml:space="preserve">P. </w:t>
      </w:r>
      <w:proofErr w:type="spellStart"/>
      <w:r w:rsidR="003C763B" w:rsidRPr="003C763B">
        <w:rPr>
          <w:rFonts w:ascii="Arial" w:eastAsia="Arial" w:hAnsi="Arial" w:cs="Arial"/>
          <w:i/>
          <w:iCs/>
          <w:color w:val="000000"/>
        </w:rPr>
        <w:t>multocida</w:t>
      </w:r>
      <w:proofErr w:type="spellEnd"/>
      <w:r w:rsidR="003C763B" w:rsidRPr="003C763B">
        <w:rPr>
          <w:rFonts w:ascii="Arial" w:eastAsia="Arial" w:hAnsi="Arial" w:cs="Arial"/>
          <w:color w:val="000000"/>
        </w:rPr>
        <w:t xml:space="preserve"> isolates formed biofilms to varying degrees, with 11.84% categorized as strong biofilm producers, indicating a concerning level of virulence potential even in clinically healthy animals </w:t>
      </w:r>
      <w:r w:rsidR="003C763B">
        <w:rPr>
          <w:rFonts w:ascii="Arial" w:eastAsia="Arial" w:hAnsi="Arial" w:cs="Arial"/>
          <w:color w:val="000000"/>
        </w:rPr>
        <w:fldChar w:fldCharType="begin"/>
      </w:r>
      <w:r w:rsidR="003C763B">
        <w:rPr>
          <w:rFonts w:ascii="Arial" w:eastAsia="Arial" w:hAnsi="Arial" w:cs="Arial"/>
          <w:color w:val="000000"/>
        </w:rPr>
        <w:instrText xml:space="preserve"> ADDIN ZOTERO_ITEM CSL_CITATION {"citationID":"2x1gHgba","properties":{"formattedCitation":"(H. A. Mushtaq, 2023)","plainCitation":"(H. A. Mushtaq, 2023)","noteIndex":0},"citationItems":[{"id":182,"uris":["http://zotero.org/users/6623259/items/N2DFEYZR"],"itemData":{"id":182,"type":"article-journal","abstract":"Livestock plays an important role in the economy of the country because it provides food producing animals. Pasteurella multocida which is an opportunistic pathogen of upper respiratory tract of animals and it has been known to cause many harmful diseases may survive in animal body by forming biofilm in different organs. So, the presence of this bacterium in animals may lead to transfer and threaten the human health by food chain. In the last few years, one of the major problems that alarms and evokes a major horrific threat to human being is the bacterial resistance to antimicrobial agents. Due to deficiency of antimicrobial agents in pipeline and emergence of new mechanisms of intra antimicrobial resistance, many surveillance programs have been set up for its containment. Many factors are responsible for this grave situation like high use of antibiotics in animals. So, the current study concluded that all of the 76 isolates of Pasteurella multocida out of 100 samples were confirmed through PCR and found sensitive to florfenicol (100%), gentamycin (92.11%), chloramphenicol (84.21%) and kanamycin (72.37%) respectively. For tetracycline and neomycin sensitivity were (69.73%) and (64.47%) respectively against the bacteria. Whereas tilmicosin and spectinomycin sensitivity were recorded as (30.27%) and (23.69%). Streptomycin (19.73%), sulfadiazine (7.89%), erythromycin (3.94%) and clindamycin (0.0 %) were least sensitive. It was also concluded that when all pure isolates of Pasteurella multocida were tested for Biofilm assay out of 76 isolates categorized as: non biofilm producer (7.89%), weak biofilm producer (34.21%), moderate biofilm producer (46.05%) and strong biofilm producer (11.84%). Hence, it was concluded that Pasteurella multocida isolated from cattle and buffaloes were found to form biofilm in in-vitro condition.","container-title":"Pakistan Journal of Science","DOI":"10.57041/pjs.v75i03.994","ISSN":"2411-0930, 0030-9877","issue":"03","journalAbbreviation":"PJS","license":"https://creativecommons.org/licenses/by-sa/4.0","page":"503-511","source":"DOI.org (Crossref)","title":"MOLECULAR CHARACTERIZATION, ANTIBIOTIC SUSCEPTIBILITY AND BIOFILM FORMING ABILITY OF PASTEURELLA MULTOCIDA ISOLATED FROM THE RESPIRATORY MICROBIOTA OF HEALTHY BOVINES","volume":"75","author":[{"literal":"H. A. Mushtaq"}],"issued":{"date-parts":[["2023",9,1]]}}}],"schema":"https://github.com/citation-style-language/schema/raw/master/csl-citation.json"} </w:instrText>
      </w:r>
      <w:r w:rsidR="003C763B">
        <w:rPr>
          <w:rFonts w:ascii="Arial" w:eastAsia="Arial" w:hAnsi="Arial" w:cs="Arial"/>
          <w:color w:val="000000"/>
        </w:rPr>
        <w:fldChar w:fldCharType="separate"/>
      </w:r>
      <w:r w:rsidR="003C763B" w:rsidRPr="003C763B">
        <w:rPr>
          <w:rFonts w:ascii="Arial" w:hAnsi="Arial" w:cs="Arial"/>
        </w:rPr>
        <w:t>(H. A. Mushtaq, 2023)</w:t>
      </w:r>
      <w:r w:rsidR="003C763B">
        <w:rPr>
          <w:rFonts w:ascii="Arial" w:eastAsia="Arial" w:hAnsi="Arial" w:cs="Arial"/>
          <w:color w:val="000000"/>
        </w:rPr>
        <w:fldChar w:fldCharType="end"/>
      </w:r>
      <w:r w:rsidR="00A33300">
        <w:rPr>
          <w:rFonts w:ascii="Arial" w:eastAsia="Arial" w:hAnsi="Arial" w:cs="Arial"/>
          <w:color w:val="000000"/>
        </w:rPr>
        <w:t>.</w:t>
      </w:r>
    </w:p>
    <w:p w14:paraId="4080C0BB" w14:textId="77777777" w:rsidR="003C763B" w:rsidRDefault="003C763B" w:rsidP="003C763B">
      <w:pPr>
        <w:pBdr>
          <w:top w:val="nil"/>
          <w:left w:val="nil"/>
          <w:bottom w:val="nil"/>
          <w:right w:val="nil"/>
          <w:between w:val="nil"/>
        </w:pBdr>
        <w:jc w:val="both"/>
        <w:rPr>
          <w:rFonts w:ascii="Arial" w:eastAsia="Arial" w:hAnsi="Arial" w:cs="Arial"/>
          <w:color w:val="000000"/>
        </w:rPr>
      </w:pPr>
    </w:p>
    <w:p w14:paraId="5F5F8042" w14:textId="432A1552" w:rsidR="003C763B" w:rsidRDefault="003C763B" w:rsidP="003C763B">
      <w:pPr>
        <w:pBdr>
          <w:top w:val="nil"/>
          <w:left w:val="nil"/>
          <w:bottom w:val="nil"/>
          <w:right w:val="nil"/>
          <w:between w:val="nil"/>
        </w:pBdr>
        <w:jc w:val="both"/>
        <w:rPr>
          <w:rFonts w:ascii="Arial" w:eastAsia="Arial" w:hAnsi="Arial" w:cs="Arial"/>
          <w:color w:val="000000"/>
        </w:rPr>
      </w:pPr>
      <w:r w:rsidRPr="003C763B">
        <w:rPr>
          <w:rFonts w:ascii="Arial" w:eastAsia="Arial" w:hAnsi="Arial" w:cs="Arial"/>
          <w:color w:val="000000"/>
        </w:rPr>
        <w:t xml:space="preserve">Despite </w:t>
      </w:r>
      <w:r w:rsidRPr="003C763B">
        <w:rPr>
          <w:rFonts w:ascii="Arial" w:eastAsia="Arial" w:hAnsi="Arial" w:cs="Arial"/>
          <w:i/>
          <w:iCs/>
          <w:color w:val="000000"/>
        </w:rPr>
        <w:t xml:space="preserve">P. </w:t>
      </w:r>
      <w:proofErr w:type="spellStart"/>
      <w:r w:rsidRPr="003C763B">
        <w:rPr>
          <w:rFonts w:ascii="Arial" w:eastAsia="Arial" w:hAnsi="Arial" w:cs="Arial"/>
          <w:i/>
          <w:iCs/>
          <w:color w:val="000000"/>
        </w:rPr>
        <w:t>multocida</w:t>
      </w:r>
      <w:proofErr w:type="spellEnd"/>
      <w:r w:rsidRPr="003C763B">
        <w:rPr>
          <w:rFonts w:ascii="Arial" w:eastAsia="Arial" w:hAnsi="Arial" w:cs="Arial"/>
          <w:color w:val="000000"/>
        </w:rPr>
        <w:t xml:space="preserve"> being endemic in many regions, including Southeast Asia, limited data exist on its biofilm-forming abilities in Indonesian goats. Given the challenges of treatment failure and potential antimicrobial resistance, it is crucial to assess this virulence factor in local strains. Therefore, this preliminary study aims to evaluate the biofilm formation capacity of </w:t>
      </w:r>
      <w:r w:rsidRPr="003C763B">
        <w:rPr>
          <w:rFonts w:ascii="Arial" w:eastAsia="Arial" w:hAnsi="Arial" w:cs="Arial"/>
          <w:i/>
          <w:iCs/>
          <w:color w:val="000000"/>
        </w:rPr>
        <w:t xml:space="preserve">P. </w:t>
      </w:r>
      <w:proofErr w:type="spellStart"/>
      <w:r w:rsidRPr="003C763B">
        <w:rPr>
          <w:rFonts w:ascii="Arial" w:eastAsia="Arial" w:hAnsi="Arial" w:cs="Arial"/>
          <w:i/>
          <w:iCs/>
          <w:color w:val="000000"/>
        </w:rPr>
        <w:t>multocida</w:t>
      </w:r>
      <w:proofErr w:type="spellEnd"/>
      <w:r w:rsidRPr="003C763B">
        <w:rPr>
          <w:rFonts w:ascii="Arial" w:eastAsia="Arial" w:hAnsi="Arial" w:cs="Arial"/>
          <w:color w:val="000000"/>
        </w:rPr>
        <w:t xml:space="preserve"> isolates obtained from goats in Malang, Indonesia. Findings from this study are expected to provide important insights for improving diagnostic and disease control strategies for pasteurellosis in small ruminant farming systems.</w:t>
      </w:r>
    </w:p>
    <w:p w14:paraId="491121D9" w14:textId="77777777" w:rsidR="00813094" w:rsidRDefault="00813094">
      <w:pPr>
        <w:pBdr>
          <w:top w:val="nil"/>
          <w:left w:val="nil"/>
          <w:bottom w:val="nil"/>
          <w:right w:val="nil"/>
          <w:between w:val="nil"/>
        </w:pBdr>
        <w:jc w:val="both"/>
        <w:rPr>
          <w:rFonts w:ascii="Arial" w:eastAsia="Arial" w:hAnsi="Arial" w:cs="Arial"/>
          <w:color w:val="000000"/>
        </w:rPr>
      </w:pPr>
    </w:p>
    <w:p w14:paraId="599C44B3" w14:textId="7F83E760" w:rsidR="00813094" w:rsidRPr="006B0BBE" w:rsidRDefault="00D76920">
      <w:pPr>
        <w:keepNext/>
        <w:pBdr>
          <w:top w:val="nil"/>
          <w:left w:val="nil"/>
          <w:bottom w:val="nil"/>
          <w:right w:val="nil"/>
          <w:between w:val="nil"/>
        </w:pBdr>
        <w:jc w:val="both"/>
        <w:rPr>
          <w:rFonts w:ascii="Arial" w:eastAsia="Arial" w:hAnsi="Arial" w:cs="Arial"/>
          <w:b/>
          <w:smallCaps/>
          <w:color w:val="000000"/>
        </w:rPr>
      </w:pPr>
      <w:r w:rsidRPr="006B0BBE">
        <w:rPr>
          <w:rFonts w:ascii="Arial" w:eastAsia="Arial" w:hAnsi="Arial" w:cs="Arial"/>
          <w:b/>
          <w:smallCaps/>
          <w:color w:val="000000"/>
        </w:rPr>
        <w:t xml:space="preserve">2. material and methods </w:t>
      </w:r>
    </w:p>
    <w:p w14:paraId="5B045ED8" w14:textId="77777777" w:rsidR="00813094" w:rsidRPr="006B0BBE" w:rsidRDefault="00D76920">
      <w:pPr>
        <w:pBdr>
          <w:top w:val="nil"/>
          <w:left w:val="nil"/>
          <w:bottom w:val="nil"/>
          <w:right w:val="nil"/>
          <w:between w:val="nil"/>
        </w:pBdr>
        <w:jc w:val="both"/>
        <w:rPr>
          <w:rFonts w:ascii="Arial" w:eastAsia="Arial" w:hAnsi="Arial" w:cs="Arial"/>
          <w:b/>
          <w:color w:val="000000"/>
        </w:rPr>
      </w:pPr>
      <w:r w:rsidRPr="006B0BBE">
        <w:rPr>
          <w:rFonts w:ascii="Arial" w:eastAsia="Arial" w:hAnsi="Arial" w:cs="Arial"/>
          <w:b/>
          <w:smallCaps/>
          <w:color w:val="000000"/>
        </w:rPr>
        <w:t xml:space="preserve">2.1 </w:t>
      </w:r>
      <w:r w:rsidRPr="006B0BBE">
        <w:rPr>
          <w:rFonts w:ascii="Arial" w:eastAsia="Arial" w:hAnsi="Arial" w:cs="Arial"/>
          <w:b/>
          <w:color w:val="000000"/>
        </w:rPr>
        <w:t>Sample</w:t>
      </w:r>
      <w:r w:rsidRPr="006B0BBE">
        <w:rPr>
          <w:rFonts w:ascii="Arial" w:eastAsia="Arial" w:hAnsi="Arial" w:cs="Arial"/>
          <w:b/>
          <w:smallCaps/>
          <w:color w:val="000000"/>
        </w:rPr>
        <w:t xml:space="preserve"> </w:t>
      </w:r>
      <w:r w:rsidRPr="006B0BBE">
        <w:rPr>
          <w:rFonts w:ascii="Arial" w:eastAsia="Arial" w:hAnsi="Arial" w:cs="Arial"/>
          <w:b/>
          <w:color w:val="000000"/>
        </w:rPr>
        <w:t>Collection</w:t>
      </w:r>
      <w:r w:rsidRPr="006B0BBE">
        <w:rPr>
          <w:rFonts w:ascii="Arial" w:eastAsia="Arial" w:hAnsi="Arial" w:cs="Arial"/>
          <w:b/>
          <w:smallCaps/>
          <w:color w:val="000000"/>
        </w:rPr>
        <w:t xml:space="preserve"> </w:t>
      </w:r>
      <w:r w:rsidRPr="006B0BBE">
        <w:rPr>
          <w:rFonts w:ascii="Arial" w:eastAsia="Arial" w:hAnsi="Arial" w:cs="Arial"/>
          <w:b/>
          <w:color w:val="000000"/>
        </w:rPr>
        <w:t xml:space="preserve">  </w:t>
      </w:r>
    </w:p>
    <w:p w14:paraId="51B759D0" w14:textId="23DB8108" w:rsidR="00813094" w:rsidRPr="006B0BBE" w:rsidRDefault="00D76920">
      <w:pPr>
        <w:pBdr>
          <w:top w:val="nil"/>
          <w:left w:val="nil"/>
          <w:bottom w:val="nil"/>
          <w:right w:val="nil"/>
          <w:between w:val="nil"/>
        </w:pBdr>
        <w:jc w:val="both"/>
        <w:rPr>
          <w:rFonts w:ascii="Arial" w:eastAsia="Arial" w:hAnsi="Arial" w:cs="Arial"/>
          <w:color w:val="000000"/>
        </w:rPr>
      </w:pPr>
      <w:r w:rsidRPr="006B0BBE">
        <w:rPr>
          <w:rFonts w:ascii="Arial" w:eastAsia="Arial" w:hAnsi="Arial" w:cs="Arial"/>
          <w:color w:val="000000"/>
        </w:rPr>
        <w:t>This study was conducted from June to December 2024 in the Malang Raya region, Indonesia. A total of 63 clinical specimens were collected from goats that had recently died following acute respiratory symptoms. Samples included post-mortem swabs from the tonsils. Swabs were immediately placed in Amies transport medium to maintain bacterial viability during transport. All specimens were kept on ice and processed at the microbiology laboratory within 24 hours of collection</w:t>
      </w:r>
      <w:r w:rsidR="00F11BA4">
        <w:rPr>
          <w:rFonts w:ascii="Arial" w:eastAsia="Arial" w:hAnsi="Arial" w:cs="Arial"/>
          <w:color w:val="000000"/>
        </w:rPr>
        <w:t xml:space="preserve">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{"citationID":"ZgAPo6Nb","properties":{"formattedCitation":"(WOAH, 2021)","plainCitation":"(WOAH, 2021)","noteIndex":0},"citationItems":[{"id":172,"uris":["http://zotero.org/users/6623259/items/KYCSUBGZ"],"itemData":{"id":172,"type":"chapter","container-title":"WOAH Terrestrial Manual","language":"English","publisher":"World Organisation for Animal Health","title":"Haemorrhagic septicaemia (Chapter 3.4.10)","URL":"https://www.woah.org","author":[{"family":"WOAH","given":""}],"issued":{"date-parts":[["2021"]]}}}],"schema":"https://github.com/citation-style-language/schema/raw/master/csl-citation.json"}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(WOAH, 2021)</w:t>
      </w:r>
      <w:r w:rsidR="00F11BA4">
        <w:rPr>
          <w:rFonts w:ascii="Arial" w:eastAsia="Arial" w:hAnsi="Arial" w:cs="Arial"/>
          <w:color w:val="000000"/>
        </w:rPr>
        <w:fldChar w:fldCharType="end"/>
      </w:r>
    </w:p>
    <w:p w14:paraId="01FD5622" w14:textId="77777777" w:rsidR="00813094" w:rsidRPr="006B0BBE" w:rsidRDefault="00813094">
      <w:pPr>
        <w:pBdr>
          <w:top w:val="nil"/>
          <w:left w:val="nil"/>
          <w:bottom w:val="nil"/>
          <w:right w:val="nil"/>
          <w:between w:val="nil"/>
        </w:pBdr>
        <w:jc w:val="both"/>
        <w:rPr>
          <w:rFonts w:ascii="Arial" w:eastAsia="Arial" w:hAnsi="Arial" w:cs="Arial"/>
          <w:color w:val="000000"/>
        </w:rPr>
      </w:pPr>
    </w:p>
    <w:p w14:paraId="6EDE1A75" w14:textId="77777777" w:rsidR="00813094" w:rsidRPr="006B0BBE" w:rsidRDefault="00D76920">
      <w:pPr>
        <w:pBdr>
          <w:top w:val="nil"/>
          <w:left w:val="nil"/>
          <w:bottom w:val="nil"/>
          <w:right w:val="nil"/>
          <w:between w:val="nil"/>
        </w:pBdr>
        <w:jc w:val="both"/>
        <w:rPr>
          <w:rFonts w:ascii="Arial" w:eastAsia="Arial" w:hAnsi="Arial" w:cs="Arial"/>
          <w:color w:val="000000"/>
        </w:rPr>
      </w:pPr>
      <w:r w:rsidRPr="006B0BBE">
        <w:rPr>
          <w:rFonts w:ascii="Arial" w:eastAsia="Arial" w:hAnsi="Arial" w:cs="Arial"/>
          <w:b/>
          <w:smallCaps/>
          <w:color w:val="000000"/>
        </w:rPr>
        <w:t xml:space="preserve">2.2 </w:t>
      </w:r>
      <w:r w:rsidRPr="006B0BBE">
        <w:rPr>
          <w:rFonts w:ascii="Arial" w:eastAsia="Arial" w:hAnsi="Arial" w:cs="Arial"/>
          <w:b/>
          <w:color w:val="000000"/>
        </w:rPr>
        <w:t>Bacterial Isolation</w:t>
      </w:r>
    </w:p>
    <w:p w14:paraId="59A9FEFA" w14:textId="71DE4FE6" w:rsidR="00813094" w:rsidRDefault="00D76920">
      <w:pPr>
        <w:pBdr>
          <w:top w:val="nil"/>
          <w:left w:val="nil"/>
          <w:bottom w:val="nil"/>
          <w:right w:val="nil"/>
          <w:between w:val="nil"/>
        </w:pBdr>
        <w:jc w:val="both"/>
        <w:rPr>
          <w:rFonts w:ascii="Arial" w:eastAsia="Arial" w:hAnsi="Arial" w:cs="Arial"/>
          <w:color w:val="000000"/>
        </w:rPr>
      </w:pPr>
      <w:r w:rsidRPr="006B0BBE">
        <w:rPr>
          <w:rFonts w:ascii="Arial" w:eastAsia="Arial" w:hAnsi="Arial" w:cs="Arial"/>
          <w:color w:val="000000"/>
        </w:rPr>
        <w:t>Each specimen was inoculated</w:t>
      </w:r>
      <w:r>
        <w:rPr>
          <w:rFonts w:ascii="Arial" w:eastAsia="Arial" w:hAnsi="Arial" w:cs="Arial"/>
          <w:color w:val="000000"/>
        </w:rPr>
        <w:t xml:space="preserve"> onto 5% sheep blood agar (BA) and MacConkey agar (MC). Culture plates were incubated at 37°C under both aerobic and 5% CO</w:t>
      </w:r>
      <w:r>
        <w:rPr>
          <w:rFonts w:ascii="Cambria Math" w:eastAsia="Cambria Math" w:hAnsi="Cambria Math" w:cs="Cambria Math"/>
          <w:color w:val="000000"/>
        </w:rPr>
        <w:t>₂</w:t>
      </w:r>
      <w:r>
        <w:rPr>
          <w:rFonts w:ascii="Arial" w:eastAsia="Arial" w:hAnsi="Arial" w:cs="Arial"/>
          <w:color w:val="000000"/>
        </w:rPr>
        <w:t xml:space="preserve"> enriched conditions for 24 to 48 hours. Colonies that appeared smooth, round, greyish, shiny, sticky, </w:t>
      </w:r>
      <w:r w:rsidRPr="00816460">
        <w:rPr>
          <w:rFonts w:ascii="Arial" w:eastAsia="Arial" w:hAnsi="Arial" w:cs="Arial"/>
          <w:strike/>
          <w:color w:val="000000"/>
        </w:rPr>
        <w:t>and</w:t>
      </w:r>
      <w:r>
        <w:rPr>
          <w:rFonts w:ascii="Arial" w:eastAsia="Arial" w:hAnsi="Arial" w:cs="Arial"/>
          <w:color w:val="000000"/>
        </w:rPr>
        <w:t xml:space="preserve"> non-hemolytic and </w:t>
      </w:r>
      <w:commentRangeStart w:id="8"/>
      <w:r>
        <w:rPr>
          <w:rFonts w:ascii="Arial" w:eastAsia="Arial" w:hAnsi="Arial" w:cs="Arial"/>
          <w:color w:val="000000"/>
        </w:rPr>
        <w:t>no</w:t>
      </w:r>
      <w:commentRangeEnd w:id="8"/>
      <w:r w:rsidR="003876B3">
        <w:rPr>
          <w:rStyle w:val="Refdecomentario"/>
          <w:rFonts w:ascii="Times New Roman" w:hAnsi="Times New Roman"/>
          <w:lang w:val="nb-NO" w:eastAsia="nb-NO"/>
        </w:rPr>
        <w:commentReference w:id="8"/>
      </w:r>
      <w:r>
        <w:rPr>
          <w:rFonts w:ascii="Arial" w:eastAsia="Arial" w:hAnsi="Arial" w:cs="Arial"/>
          <w:color w:val="000000"/>
        </w:rPr>
        <w:t xml:space="preserve"> growth on MC were considered presumptive </w:t>
      </w:r>
      <w:r w:rsidRPr="00F11BA4">
        <w:rPr>
          <w:rFonts w:ascii="Arial" w:eastAsia="Arial" w:hAnsi="Arial" w:cs="Arial"/>
          <w:i/>
          <w:iCs/>
          <w:color w:val="000000"/>
        </w:rPr>
        <w:t xml:space="preserve">P. </w:t>
      </w:r>
      <w:proofErr w:type="spellStart"/>
      <w:r w:rsidRPr="00F11BA4">
        <w:rPr>
          <w:rFonts w:ascii="Arial" w:eastAsia="Arial" w:hAnsi="Arial" w:cs="Arial"/>
          <w:i/>
          <w:iCs/>
          <w:color w:val="000000"/>
        </w:rPr>
        <w:t>multocida</w:t>
      </w:r>
      <w:proofErr w:type="spellEnd"/>
      <w:r>
        <w:rPr>
          <w:rFonts w:ascii="Arial" w:eastAsia="Arial" w:hAnsi="Arial" w:cs="Arial"/>
          <w:color w:val="000000"/>
        </w:rPr>
        <w:t xml:space="preserve">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{"citationID":"qeuaQQB1","properties":{"formattedCitation":"(WOAH, 2021)","plainCitation":"(WOAH, 2021)","noteIndex":0},"citationItems":[{"id":172,"uris":["http://zotero.org/users/6623259/items/KYCSUBGZ"],"itemData":{"id":172,"type":"chapter","container-title":"WOAH Terrestrial Manual","language":"English","publisher":"World Organisation for Animal Health","title":"Haemorrhagic septicaemia (Chapter 3.4.10)","URL":"https://www.woah.org","author":[{"family":"WOAH","given":""}],"issued":{"date-parts":[["2021"]]}}}],"schema":"https://github.com/citation-style-language/schema/raw/master/csl-citation.json"}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(WOAH, 2021)</w:t>
      </w:r>
      <w:r w:rsidR="00F11BA4">
        <w:rPr>
          <w:rFonts w:ascii="Arial" w:eastAsia="Arial" w:hAnsi="Arial" w:cs="Arial"/>
          <w:color w:val="000000"/>
        </w:rPr>
        <w:fldChar w:fldCharType="end"/>
      </w:r>
      <w:r>
        <w:rPr>
          <w:rFonts w:ascii="Arial" w:eastAsia="Arial" w:hAnsi="Arial" w:cs="Arial"/>
          <w:color w:val="000000"/>
        </w:rPr>
        <w:t xml:space="preserve">. These colonies were </w:t>
      </w:r>
      <w:proofErr w:type="spellStart"/>
      <w:r>
        <w:rPr>
          <w:rFonts w:ascii="Arial" w:eastAsia="Arial" w:hAnsi="Arial" w:cs="Arial"/>
          <w:color w:val="000000"/>
        </w:rPr>
        <w:t>subcultured</w:t>
      </w:r>
      <w:proofErr w:type="spellEnd"/>
      <w:r>
        <w:rPr>
          <w:rFonts w:ascii="Arial" w:eastAsia="Arial" w:hAnsi="Arial" w:cs="Arial"/>
          <w:color w:val="000000"/>
        </w:rPr>
        <w:t xml:space="preserve"> for purification. Purified colonies were stained using Gram and methylene blue staining techniques</w:t>
      </w:r>
      <w:r w:rsidRPr="0065376F">
        <w:rPr>
          <w:rFonts w:ascii="Arial" w:eastAsia="Arial" w:hAnsi="Arial" w:cs="Arial"/>
          <w:i/>
          <w:iCs/>
          <w:color w:val="000000"/>
        </w:rPr>
        <w:t xml:space="preserve">. Pasteurella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appeared as Gram-negative, bipolar staining coccobacilli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{"citationID":"x12evmvA","properties":{"formattedCitation":"(WOAH, 2021)","plainCitation":"(WOAH, 2021)","noteIndex":0},"citationItems":[{"id":172,"uris":["http://zotero.org/users/6623259/items/KYCSUBGZ"],"itemData":{"id":172,"type":"chapter","container-title":"WOAH Terrestrial Manual","language":"English","publisher":"World Organisation for Animal Health","title":"Haemorrhagic septicaemia (Chapter 3.4.10)","URL":"https://www.woah.org","author":[{"family":"WOAH","given":""}],"issued":{"date-parts":[["2021"]]}}}],"schema":"https://github.com/citation-style-language/schema/raw/master/csl-citation.json"}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(WOAH, 2021)</w:t>
      </w:r>
      <w:r w:rsidR="00F11BA4">
        <w:rPr>
          <w:rFonts w:ascii="Arial" w:eastAsia="Arial" w:hAnsi="Arial" w:cs="Arial"/>
          <w:color w:val="000000"/>
        </w:rPr>
        <w:fldChar w:fldCharType="end"/>
      </w:r>
    </w:p>
    <w:p w14:paraId="69A7B321" w14:textId="77777777" w:rsidR="00813094" w:rsidRDefault="00813094">
      <w:pPr>
        <w:pBdr>
          <w:top w:val="nil"/>
          <w:left w:val="nil"/>
          <w:bottom w:val="nil"/>
          <w:right w:val="nil"/>
          <w:between w:val="nil"/>
        </w:pBdr>
        <w:jc w:val="both"/>
        <w:rPr>
          <w:rFonts w:ascii="Arial" w:eastAsia="Arial" w:hAnsi="Arial" w:cs="Arial"/>
          <w:color w:val="000000"/>
        </w:rPr>
      </w:pPr>
    </w:p>
    <w:p w14:paraId="618FF1EC"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2.3 Biochemical Characterization </w:t>
      </w:r>
    </w:p>
    <w:p w14:paraId="6A40CB04" w14:textId="77777777"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Pure isolates were tested for oxidase activity and subjected to a series of biochemical tests, including MIO (Motility, Indole, Ornithine), urease, citrate utilization, hydrogen sulfide production, and carbohydrate fermentation.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was identified based on the following profile: oxidase positive, non-motile, indole positive, ornithine decarboxylase positive, glucose and sucrose fermented with acid production, and negative for urease, citrate, and H</w:t>
      </w:r>
      <w:r>
        <w:rPr>
          <w:rFonts w:ascii="Cambria Math" w:eastAsia="Cambria Math" w:hAnsi="Cambria Math" w:cs="Cambria Math"/>
          <w:color w:val="000000"/>
        </w:rPr>
        <w:t>₂</w:t>
      </w:r>
      <w:r>
        <w:rPr>
          <w:rFonts w:ascii="Arial" w:eastAsia="Arial" w:hAnsi="Arial" w:cs="Arial"/>
          <w:color w:val="000000"/>
        </w:rPr>
        <w:t>S production (WOAH, 2021).</w:t>
      </w:r>
    </w:p>
    <w:p w14:paraId="52B941F4" w14:textId="77777777" w:rsidR="00813094" w:rsidRDefault="00813094">
      <w:pPr>
        <w:pBdr>
          <w:top w:val="nil"/>
          <w:left w:val="nil"/>
          <w:bottom w:val="nil"/>
          <w:right w:val="nil"/>
          <w:between w:val="nil"/>
        </w:pBdr>
        <w:jc w:val="both"/>
        <w:rPr>
          <w:rFonts w:ascii="Arial" w:eastAsia="Arial" w:hAnsi="Arial" w:cs="Arial"/>
          <w:b/>
          <w:color w:val="000000"/>
          <w:sz w:val="22"/>
          <w:szCs w:val="22"/>
        </w:rPr>
      </w:pPr>
    </w:p>
    <w:p w14:paraId="2823FDE4"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2.4 Biofilm Assessment Method </w:t>
      </w:r>
    </w:p>
    <w:p w14:paraId="07CFDBEA" w14:textId="77777777"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Biofilm formation ability was assessed using the crystal violet binding assay, also known as the microtiter plate assay. Each bacterial suspension, adjusted to 0.5 McFarland standard (1.5 × 10⁸ CFU/mL), was inoculated into wells of a sterile 96-well microplate containing 200 µL of Nutrient Broth per well. Each sample was tested in duplicate. Negative control wells were left uninoculated. The plates were incubated at 37°C for 24 hours. After incubation, the wells were emptied, rinsed three times with sterile distilled water, and stained with 0.1% crystal violet solution for 15 minutes at 37°C. Excess stain was removed, and the wells were washed again three times before adding 200 µL of 96% ethanol to solubilize the bound dye. Absorbance was measured at 595 nm using a microplate reader. The intensity of the color, reflected in the OD value, indicated the density of biofilm formation. Classification into non, weak, moderate, or strong biofilm formers was based on OD cutoff values derived from the average OD of the negative control plus three times the standard deviation.</w:t>
      </w:r>
    </w:p>
    <w:p w14:paraId="4C344971" w14:textId="77777777" w:rsidR="00813094" w:rsidRDefault="00813094">
      <w:pPr>
        <w:pBdr>
          <w:top w:val="nil"/>
          <w:left w:val="nil"/>
          <w:bottom w:val="nil"/>
          <w:right w:val="nil"/>
          <w:between w:val="nil"/>
        </w:pBdr>
        <w:jc w:val="both"/>
        <w:rPr>
          <w:rFonts w:ascii="Arial" w:eastAsia="Arial" w:hAnsi="Arial" w:cs="Arial"/>
          <w:color w:val="000000"/>
        </w:rPr>
      </w:pPr>
    </w:p>
    <w:p w14:paraId="0CF25F0D"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493537E2"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3.1 </w:t>
      </w:r>
      <w:r w:rsidRPr="00F34C30">
        <w:rPr>
          <w:rFonts w:ascii="Arial" w:eastAsia="Arial" w:hAnsi="Arial" w:cs="Arial"/>
          <w:b/>
          <w:color w:val="000000"/>
        </w:rPr>
        <w:t>Bacterial Isolation and Identification</w:t>
      </w:r>
      <w:r>
        <w:rPr>
          <w:rFonts w:ascii="Arial" w:eastAsia="Arial" w:hAnsi="Arial" w:cs="Arial"/>
          <w:b/>
          <w:color w:val="000000"/>
          <w:sz w:val="22"/>
          <w:szCs w:val="22"/>
        </w:rPr>
        <w:t xml:space="preserve"> </w:t>
      </w:r>
    </w:p>
    <w:p w14:paraId="19ADC1DB" w14:textId="77777777"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investigation on bacterial isolation and identification of </w:t>
      </w:r>
      <w:r w:rsidRPr="0065376F">
        <w:rPr>
          <w:rFonts w:ascii="Arial" w:eastAsia="Arial" w:hAnsi="Arial" w:cs="Arial"/>
          <w:i/>
          <w:iCs/>
          <w:color w:val="000000"/>
        </w:rPr>
        <w:t xml:space="preserve">Pasteurella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in goats provides essential insights into the endemicity and pathogenesis of this pathogen. In this study, samples were collected from the tonsils of goats exhibiting acute respiratory distress, which may indicate infections including pneumonia associated with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The isolation and characterization of these microorganisms through rigorous culture methods on both blood and MacConkey agar emphasize the practical diagnostic approaches established in veterinary microbiology. Discriminating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from other microbial flora is pivotal; this bacterium is known for causing severe respiratory diseases in livestock, including goats, and can be distinguished through morphological and biochemical tests </w:t>
      </w:r>
      <w:r w:rsidR="0065376F">
        <w:rPr>
          <w:rFonts w:ascii="Arial" w:eastAsia="Arial" w:hAnsi="Arial" w:cs="Arial"/>
          <w:color w:val="000000"/>
        </w:rPr>
        <w:t>following</w:t>
      </w:r>
      <w:r>
        <w:rPr>
          <w:rFonts w:ascii="Arial" w:eastAsia="Arial" w:hAnsi="Arial" w:cs="Arial"/>
          <w:color w:val="000000"/>
        </w:rPr>
        <w:t xml:space="preserve"> established guidelines.</w:t>
      </w:r>
    </w:p>
    <w:p w14:paraId="39F29F7D" w14:textId="77777777" w:rsidR="00813094" w:rsidRDefault="00813094">
      <w:pPr>
        <w:pBdr>
          <w:top w:val="nil"/>
          <w:left w:val="nil"/>
          <w:bottom w:val="nil"/>
          <w:right w:val="nil"/>
          <w:between w:val="nil"/>
        </w:pBdr>
        <w:jc w:val="both"/>
        <w:rPr>
          <w:rFonts w:ascii="Arial" w:eastAsia="Arial" w:hAnsi="Arial" w:cs="Arial"/>
          <w:color w:val="000000"/>
        </w:rPr>
      </w:pPr>
    </w:p>
    <w:p w14:paraId="0BF7A9BE" w14:textId="52DB4121" w:rsidR="002B1E4F" w:rsidRDefault="002B1E4F">
      <w:pPr>
        <w:tabs>
          <w:tab w:val="left" w:pos="1080"/>
        </w:tabs>
        <w:jc w:val="both"/>
        <w:rPr>
          <w:rFonts w:ascii="Arial" w:eastAsia="Arial" w:hAnsi="Arial" w:cs="Arial"/>
          <w:b/>
        </w:rPr>
      </w:pPr>
      <w:r>
        <w:rPr>
          <w:rFonts w:ascii="Arial" w:eastAsia="Arial" w:hAnsi="Arial" w:cs="Arial"/>
          <w:b/>
        </w:rPr>
        <w:t xml:space="preserve">         </w:t>
      </w:r>
      <w:r>
        <w:rPr>
          <w:rFonts w:ascii="Arial" w:eastAsia="Arial" w:hAnsi="Arial" w:cs="Arial"/>
          <w:b/>
        </w:rPr>
        <w:tab/>
        <w:t xml:space="preserve">    Table 1.</w:t>
      </w:r>
      <w:r>
        <w:rPr>
          <w:rFonts w:ascii="Arial" w:eastAsia="Arial" w:hAnsi="Arial" w:cs="Arial"/>
          <w:b/>
        </w:rPr>
        <w:tab/>
        <w:t>Bacterial Isolation and Identification</w:t>
      </w:r>
    </w:p>
    <w:tbl>
      <w:tblPr>
        <w:tblStyle w:val="Tablaconcuadrcula"/>
        <w:tblW w:w="0" w:type="auto"/>
        <w:jc w:val="center"/>
        <w:tblLook w:val="04A0" w:firstRow="1" w:lastRow="0" w:firstColumn="1" w:lastColumn="0" w:noHBand="0" w:noVBand="1"/>
      </w:tblPr>
      <w:tblGrid>
        <w:gridCol w:w="2162"/>
        <w:gridCol w:w="1661"/>
        <w:gridCol w:w="1295"/>
      </w:tblGrid>
      <w:tr w:rsidR="002B1E4F" w:rsidRPr="002B1E4F" w14:paraId="7EA350AF" w14:textId="77777777" w:rsidTr="002B1E4F">
        <w:trPr>
          <w:jc w:val="center"/>
        </w:trPr>
        <w:tc>
          <w:tcPr>
            <w:tcW w:w="0" w:type="auto"/>
            <w:tcBorders>
              <w:top w:val="single" w:sz="4" w:space="0" w:color="auto"/>
              <w:left w:val="nil"/>
              <w:bottom w:val="single" w:sz="4" w:space="0" w:color="auto"/>
              <w:right w:val="nil"/>
            </w:tcBorders>
          </w:tcPr>
          <w:p w14:paraId="47340BBA" w14:textId="0DDA4AA0" w:rsidR="002B1E4F" w:rsidRPr="002B1E4F" w:rsidRDefault="002B1E4F" w:rsidP="002B1E4F">
            <w:pPr>
              <w:tabs>
                <w:tab w:val="left" w:pos="1080"/>
              </w:tabs>
              <w:jc w:val="both"/>
              <w:rPr>
                <w:rFonts w:ascii="Arial" w:eastAsia="Arial" w:hAnsi="Arial" w:cs="Arial"/>
                <w:b/>
                <w:bCs/>
                <w:sz w:val="20"/>
                <w:szCs w:val="20"/>
              </w:rPr>
            </w:pPr>
            <w:r w:rsidRPr="002B1E4F">
              <w:rPr>
                <w:rFonts w:ascii="Arial" w:hAnsi="Arial" w:cs="Arial"/>
                <w:b/>
                <w:bCs/>
                <w:sz w:val="20"/>
                <w:szCs w:val="20"/>
              </w:rPr>
              <w:t>Description</w:t>
            </w:r>
          </w:p>
        </w:tc>
        <w:tc>
          <w:tcPr>
            <w:tcW w:w="0" w:type="auto"/>
            <w:tcBorders>
              <w:top w:val="single" w:sz="4" w:space="0" w:color="auto"/>
              <w:left w:val="nil"/>
              <w:bottom w:val="single" w:sz="4" w:space="0" w:color="auto"/>
              <w:right w:val="nil"/>
            </w:tcBorders>
          </w:tcPr>
          <w:p w14:paraId="32B2B56A" w14:textId="0A6DA15D" w:rsidR="002B1E4F" w:rsidRPr="002B1E4F" w:rsidRDefault="002B1E4F" w:rsidP="002B1E4F">
            <w:pPr>
              <w:tabs>
                <w:tab w:val="left" w:pos="1080"/>
              </w:tabs>
              <w:jc w:val="both"/>
              <w:rPr>
                <w:rFonts w:ascii="Arial" w:eastAsia="Arial" w:hAnsi="Arial" w:cs="Arial"/>
                <w:b/>
                <w:bCs/>
                <w:sz w:val="20"/>
                <w:szCs w:val="20"/>
              </w:rPr>
            </w:pPr>
            <w:r w:rsidRPr="002B1E4F">
              <w:rPr>
                <w:rFonts w:ascii="Arial" w:hAnsi="Arial" w:cs="Arial"/>
                <w:b/>
                <w:bCs/>
                <w:sz w:val="20"/>
                <w:szCs w:val="20"/>
              </w:rPr>
              <w:t>No. of Samples</w:t>
            </w:r>
          </w:p>
        </w:tc>
        <w:tc>
          <w:tcPr>
            <w:tcW w:w="0" w:type="auto"/>
            <w:tcBorders>
              <w:top w:val="single" w:sz="4" w:space="0" w:color="auto"/>
              <w:left w:val="nil"/>
              <w:bottom w:val="single" w:sz="4" w:space="0" w:color="auto"/>
              <w:right w:val="nil"/>
            </w:tcBorders>
          </w:tcPr>
          <w:p w14:paraId="0CE66AFE" w14:textId="2AD419F8" w:rsidR="002B1E4F" w:rsidRPr="002B1E4F" w:rsidRDefault="002B1E4F" w:rsidP="002B1E4F">
            <w:pPr>
              <w:tabs>
                <w:tab w:val="left" w:pos="1080"/>
              </w:tabs>
              <w:jc w:val="both"/>
              <w:rPr>
                <w:rFonts w:ascii="Arial" w:eastAsia="Arial" w:hAnsi="Arial" w:cs="Arial"/>
                <w:b/>
                <w:bCs/>
                <w:sz w:val="20"/>
                <w:szCs w:val="20"/>
              </w:rPr>
            </w:pPr>
            <w:r w:rsidRPr="002B1E4F">
              <w:rPr>
                <w:rFonts w:ascii="Arial" w:hAnsi="Arial" w:cs="Arial"/>
                <w:b/>
                <w:bCs/>
                <w:sz w:val="20"/>
                <w:szCs w:val="20"/>
              </w:rPr>
              <w:t>Percentage</w:t>
            </w:r>
          </w:p>
        </w:tc>
      </w:tr>
      <w:tr w:rsidR="002B1E4F" w:rsidRPr="002B1E4F" w14:paraId="146B5479" w14:textId="77777777" w:rsidTr="002B1E4F">
        <w:trPr>
          <w:jc w:val="center"/>
        </w:trPr>
        <w:tc>
          <w:tcPr>
            <w:tcW w:w="0" w:type="auto"/>
            <w:tcBorders>
              <w:top w:val="single" w:sz="4" w:space="0" w:color="auto"/>
              <w:left w:val="nil"/>
              <w:bottom w:val="nil"/>
              <w:right w:val="nil"/>
            </w:tcBorders>
          </w:tcPr>
          <w:p w14:paraId="5A5B558A" w14:textId="7D8E9F7D" w:rsidR="002B1E4F" w:rsidRPr="002B1E4F" w:rsidRDefault="002B1E4F" w:rsidP="00893EB8">
            <w:pPr>
              <w:jc w:val="both"/>
              <w:rPr>
                <w:rFonts w:ascii="Arial" w:eastAsia="Arial" w:hAnsi="Arial" w:cs="Arial"/>
                <w:sz w:val="20"/>
                <w:szCs w:val="20"/>
              </w:rPr>
            </w:pPr>
            <w:r w:rsidRPr="002B1E4F">
              <w:rPr>
                <w:rFonts w:ascii="Arial" w:eastAsia="Arial" w:hAnsi="Arial" w:cs="Arial"/>
                <w:sz w:val="20"/>
                <w:szCs w:val="20"/>
              </w:rPr>
              <w:t xml:space="preserve">Positive </w:t>
            </w:r>
            <w:r w:rsidRPr="002B1E4F">
              <w:rPr>
                <w:rFonts w:ascii="Arial" w:eastAsia="Arial" w:hAnsi="Arial" w:cs="Arial"/>
                <w:i/>
                <w:sz w:val="20"/>
                <w:szCs w:val="20"/>
              </w:rPr>
              <w:t xml:space="preserve">P. </w:t>
            </w:r>
            <w:proofErr w:type="spellStart"/>
            <w:r w:rsidRPr="002B1E4F">
              <w:rPr>
                <w:rFonts w:ascii="Arial" w:eastAsia="Arial" w:hAnsi="Arial" w:cs="Arial"/>
                <w:i/>
                <w:sz w:val="20"/>
                <w:szCs w:val="20"/>
              </w:rPr>
              <w:t>multocida</w:t>
            </w:r>
            <w:proofErr w:type="spellEnd"/>
          </w:p>
        </w:tc>
        <w:tc>
          <w:tcPr>
            <w:tcW w:w="0" w:type="auto"/>
            <w:tcBorders>
              <w:top w:val="single" w:sz="4" w:space="0" w:color="auto"/>
              <w:left w:val="nil"/>
              <w:bottom w:val="nil"/>
              <w:right w:val="nil"/>
            </w:tcBorders>
          </w:tcPr>
          <w:p w14:paraId="7CED74A8" w14:textId="0A7851EA"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8</w:t>
            </w:r>
          </w:p>
        </w:tc>
        <w:tc>
          <w:tcPr>
            <w:tcW w:w="0" w:type="auto"/>
            <w:tcBorders>
              <w:top w:val="single" w:sz="4" w:space="0" w:color="auto"/>
              <w:left w:val="nil"/>
              <w:bottom w:val="nil"/>
              <w:right w:val="nil"/>
            </w:tcBorders>
          </w:tcPr>
          <w:p w14:paraId="3CA155F4" w14:textId="7929C879"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1</w:t>
            </w:r>
            <w:r w:rsidR="006B0BBE">
              <w:rPr>
                <w:rFonts w:ascii="Arial" w:eastAsia="Arial" w:hAnsi="Arial" w:cs="Arial"/>
                <w:sz w:val="20"/>
                <w:szCs w:val="20"/>
              </w:rPr>
              <w:t>2</w:t>
            </w:r>
            <w:r w:rsidRPr="002B1E4F">
              <w:rPr>
                <w:rFonts w:ascii="Arial" w:eastAsia="Arial" w:hAnsi="Arial" w:cs="Arial"/>
                <w:sz w:val="20"/>
                <w:szCs w:val="20"/>
              </w:rPr>
              <w:t>.</w:t>
            </w:r>
            <w:r w:rsidR="006B0BBE">
              <w:rPr>
                <w:rFonts w:ascii="Arial" w:eastAsia="Arial" w:hAnsi="Arial" w:cs="Arial"/>
                <w:sz w:val="20"/>
                <w:szCs w:val="20"/>
              </w:rPr>
              <w:t>7</w:t>
            </w:r>
            <w:r w:rsidRPr="002B1E4F">
              <w:rPr>
                <w:rFonts w:ascii="Arial" w:eastAsia="Arial" w:hAnsi="Arial" w:cs="Arial"/>
                <w:sz w:val="20"/>
                <w:szCs w:val="20"/>
              </w:rPr>
              <w:t>%</w:t>
            </w:r>
          </w:p>
        </w:tc>
      </w:tr>
      <w:tr w:rsidR="002B1E4F" w:rsidRPr="002B1E4F" w14:paraId="47933F57" w14:textId="77777777" w:rsidTr="002B1E4F">
        <w:trPr>
          <w:jc w:val="center"/>
        </w:trPr>
        <w:tc>
          <w:tcPr>
            <w:tcW w:w="0" w:type="auto"/>
            <w:tcBorders>
              <w:top w:val="nil"/>
              <w:left w:val="nil"/>
              <w:bottom w:val="nil"/>
              <w:right w:val="nil"/>
            </w:tcBorders>
          </w:tcPr>
          <w:p w14:paraId="74946FD5" w14:textId="6FFAF5B0"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 xml:space="preserve">Negative </w:t>
            </w:r>
            <w:r w:rsidRPr="002B1E4F">
              <w:rPr>
                <w:rFonts w:ascii="Arial" w:eastAsia="Arial" w:hAnsi="Arial" w:cs="Arial"/>
                <w:i/>
                <w:sz w:val="20"/>
                <w:szCs w:val="20"/>
              </w:rPr>
              <w:t xml:space="preserve">P. </w:t>
            </w:r>
            <w:proofErr w:type="spellStart"/>
            <w:r w:rsidRPr="002B1E4F">
              <w:rPr>
                <w:rFonts w:ascii="Arial" w:eastAsia="Arial" w:hAnsi="Arial" w:cs="Arial"/>
                <w:i/>
                <w:sz w:val="20"/>
                <w:szCs w:val="20"/>
              </w:rPr>
              <w:t>multocida</w:t>
            </w:r>
            <w:proofErr w:type="spellEnd"/>
          </w:p>
        </w:tc>
        <w:tc>
          <w:tcPr>
            <w:tcW w:w="0" w:type="auto"/>
            <w:tcBorders>
              <w:top w:val="nil"/>
              <w:left w:val="nil"/>
              <w:bottom w:val="nil"/>
              <w:right w:val="nil"/>
            </w:tcBorders>
          </w:tcPr>
          <w:p w14:paraId="7D934253" w14:textId="1034B86F"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55</w:t>
            </w:r>
          </w:p>
        </w:tc>
        <w:tc>
          <w:tcPr>
            <w:tcW w:w="0" w:type="auto"/>
            <w:tcBorders>
              <w:top w:val="nil"/>
              <w:left w:val="nil"/>
              <w:bottom w:val="nil"/>
              <w:right w:val="nil"/>
            </w:tcBorders>
          </w:tcPr>
          <w:p w14:paraId="1564656A" w14:textId="55BDC085" w:rsidR="002B1E4F" w:rsidRPr="002B1E4F" w:rsidRDefault="006B0BBE">
            <w:pPr>
              <w:tabs>
                <w:tab w:val="left" w:pos="1080"/>
              </w:tabs>
              <w:jc w:val="both"/>
              <w:rPr>
                <w:rFonts w:ascii="Arial" w:eastAsia="Arial" w:hAnsi="Arial" w:cs="Arial"/>
                <w:sz w:val="20"/>
                <w:szCs w:val="20"/>
              </w:rPr>
            </w:pPr>
            <w:r>
              <w:rPr>
                <w:rFonts w:ascii="Arial" w:eastAsia="Arial" w:hAnsi="Arial" w:cs="Arial"/>
                <w:sz w:val="20"/>
                <w:szCs w:val="20"/>
              </w:rPr>
              <w:t>87</w:t>
            </w:r>
            <w:r w:rsidR="002B1E4F" w:rsidRPr="002B1E4F">
              <w:rPr>
                <w:rFonts w:ascii="Arial" w:eastAsia="Arial" w:hAnsi="Arial" w:cs="Arial"/>
                <w:sz w:val="20"/>
                <w:szCs w:val="20"/>
              </w:rPr>
              <w:t>.</w:t>
            </w:r>
            <w:r>
              <w:rPr>
                <w:rFonts w:ascii="Arial" w:eastAsia="Arial" w:hAnsi="Arial" w:cs="Arial"/>
                <w:sz w:val="20"/>
                <w:szCs w:val="20"/>
              </w:rPr>
              <w:t>3</w:t>
            </w:r>
            <w:r w:rsidR="002B1E4F" w:rsidRPr="002B1E4F">
              <w:rPr>
                <w:rFonts w:ascii="Arial" w:eastAsia="Arial" w:hAnsi="Arial" w:cs="Arial"/>
                <w:sz w:val="20"/>
                <w:szCs w:val="20"/>
              </w:rPr>
              <w:t>%</w:t>
            </w:r>
          </w:p>
        </w:tc>
      </w:tr>
      <w:tr w:rsidR="002B1E4F" w:rsidRPr="002B1E4F" w14:paraId="2A8DB6AB" w14:textId="77777777" w:rsidTr="002B1E4F">
        <w:trPr>
          <w:jc w:val="center"/>
        </w:trPr>
        <w:tc>
          <w:tcPr>
            <w:tcW w:w="0" w:type="auto"/>
            <w:tcBorders>
              <w:top w:val="nil"/>
              <w:left w:val="nil"/>
              <w:bottom w:val="single" w:sz="4" w:space="0" w:color="auto"/>
              <w:right w:val="nil"/>
            </w:tcBorders>
          </w:tcPr>
          <w:p w14:paraId="76F1D068" w14:textId="428D83B1" w:rsidR="002B1E4F" w:rsidRPr="00F34C30" w:rsidRDefault="002B1E4F">
            <w:pPr>
              <w:tabs>
                <w:tab w:val="left" w:pos="1080"/>
              </w:tabs>
              <w:jc w:val="both"/>
              <w:rPr>
                <w:rFonts w:ascii="Arial" w:eastAsia="Arial" w:hAnsi="Arial" w:cs="Arial"/>
                <w:b/>
                <w:bCs/>
                <w:sz w:val="20"/>
                <w:szCs w:val="20"/>
              </w:rPr>
            </w:pPr>
            <w:r w:rsidRPr="00F34C30">
              <w:rPr>
                <w:rFonts w:ascii="Arial" w:eastAsia="Arial" w:hAnsi="Arial" w:cs="Arial"/>
                <w:b/>
                <w:bCs/>
                <w:sz w:val="20"/>
                <w:szCs w:val="20"/>
              </w:rPr>
              <w:t>Total samples</w:t>
            </w:r>
          </w:p>
        </w:tc>
        <w:tc>
          <w:tcPr>
            <w:tcW w:w="0" w:type="auto"/>
            <w:tcBorders>
              <w:top w:val="nil"/>
              <w:left w:val="nil"/>
              <w:bottom w:val="single" w:sz="4" w:space="0" w:color="auto"/>
              <w:right w:val="nil"/>
            </w:tcBorders>
          </w:tcPr>
          <w:p w14:paraId="35D523E3" w14:textId="28F5E621" w:rsidR="002B1E4F" w:rsidRPr="00F34C30" w:rsidRDefault="002B1E4F">
            <w:pPr>
              <w:tabs>
                <w:tab w:val="left" w:pos="1080"/>
              </w:tabs>
              <w:jc w:val="both"/>
              <w:rPr>
                <w:rFonts w:ascii="Arial" w:eastAsia="Arial" w:hAnsi="Arial" w:cs="Arial"/>
                <w:b/>
                <w:bCs/>
                <w:sz w:val="20"/>
                <w:szCs w:val="20"/>
              </w:rPr>
            </w:pPr>
            <w:r w:rsidRPr="00F34C30">
              <w:rPr>
                <w:rFonts w:ascii="Arial" w:eastAsia="Arial" w:hAnsi="Arial" w:cs="Arial"/>
                <w:b/>
                <w:bCs/>
                <w:sz w:val="20"/>
                <w:szCs w:val="20"/>
              </w:rPr>
              <w:t>63</w:t>
            </w:r>
          </w:p>
        </w:tc>
        <w:tc>
          <w:tcPr>
            <w:tcW w:w="0" w:type="auto"/>
            <w:tcBorders>
              <w:top w:val="nil"/>
              <w:left w:val="nil"/>
              <w:bottom w:val="single" w:sz="4" w:space="0" w:color="auto"/>
              <w:right w:val="nil"/>
            </w:tcBorders>
          </w:tcPr>
          <w:p w14:paraId="4CCE89EA" w14:textId="4EC42F3B" w:rsidR="002B1E4F" w:rsidRPr="00F34C30" w:rsidRDefault="002B1E4F">
            <w:pPr>
              <w:tabs>
                <w:tab w:val="left" w:pos="1080"/>
              </w:tabs>
              <w:jc w:val="both"/>
              <w:rPr>
                <w:rFonts w:ascii="Arial" w:eastAsia="Arial" w:hAnsi="Arial" w:cs="Arial"/>
                <w:b/>
                <w:bCs/>
                <w:sz w:val="20"/>
                <w:szCs w:val="20"/>
              </w:rPr>
            </w:pPr>
            <w:r w:rsidRPr="00F34C30">
              <w:rPr>
                <w:rFonts w:ascii="Arial" w:eastAsia="Arial" w:hAnsi="Arial" w:cs="Arial"/>
                <w:b/>
                <w:bCs/>
                <w:sz w:val="20"/>
                <w:szCs w:val="20"/>
              </w:rPr>
              <w:t>100%</w:t>
            </w:r>
          </w:p>
        </w:tc>
      </w:tr>
    </w:tbl>
    <w:p w14:paraId="39B40CF7" w14:textId="77777777" w:rsidR="00813094" w:rsidRDefault="00813094">
      <w:pPr>
        <w:pBdr>
          <w:top w:val="nil"/>
          <w:left w:val="nil"/>
          <w:bottom w:val="nil"/>
          <w:right w:val="nil"/>
          <w:between w:val="nil"/>
        </w:pBdr>
        <w:jc w:val="both"/>
        <w:rPr>
          <w:rFonts w:ascii="Arial" w:eastAsia="Arial" w:hAnsi="Arial" w:cs="Arial"/>
          <w:color w:val="000000"/>
        </w:rPr>
      </w:pPr>
    </w:p>
    <w:p w14:paraId="4B623406" w14:textId="1EB2F86F"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isolation rate reported in this study stands at 1</w:t>
      </w:r>
      <w:r w:rsidR="006B0BBE">
        <w:rPr>
          <w:rFonts w:ascii="Arial" w:eastAsia="Arial" w:hAnsi="Arial" w:cs="Arial"/>
          <w:color w:val="000000"/>
        </w:rPr>
        <w:t>2</w:t>
      </w:r>
      <w:r>
        <w:rPr>
          <w:rFonts w:ascii="Arial" w:eastAsia="Arial" w:hAnsi="Arial" w:cs="Arial"/>
          <w:color w:val="000000"/>
        </w:rPr>
        <w:t>.</w:t>
      </w:r>
      <w:r w:rsidR="006B0BBE">
        <w:rPr>
          <w:rFonts w:ascii="Arial" w:eastAsia="Arial" w:hAnsi="Arial" w:cs="Arial"/>
          <w:color w:val="000000"/>
        </w:rPr>
        <w:t>7</w:t>
      </w:r>
      <w:r>
        <w:rPr>
          <w:rFonts w:ascii="Arial" w:eastAsia="Arial" w:hAnsi="Arial" w:cs="Arial"/>
          <w:color w:val="000000"/>
        </w:rPr>
        <w:t xml:space="preserve">%, suggesting that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is a significant pathogen within the studied population, contrasting with lower prevalence figures from various other regions which have ranged from 2% to 8% in cattle populations, particularly in Indonesia. This disparity can be attributed to factors such as geographical variation, differing management practices, or methodological differences in sample collection and processing, which have been identified as influential in the variability of microbial detection rates in animals </w:t>
      </w:r>
      <w:r w:rsidR="00893EB8">
        <w:rPr>
          <w:rFonts w:ascii="Arial" w:eastAsia="Arial" w:hAnsi="Arial" w:cs="Arial"/>
          <w:color w:val="000000"/>
        </w:rPr>
        <w:fldChar w:fldCharType="begin"/>
      </w:r>
      <w:r w:rsidR="00893EB8">
        <w:rPr>
          <w:rFonts w:ascii="Arial" w:eastAsia="Arial" w:hAnsi="Arial" w:cs="Arial"/>
          <w:color w:val="000000"/>
        </w:rPr>
        <w:instrText xml:space="preserve"> ADDIN ZOTERO_ITEM CSL_CITATION {"citationID":"5RU7N5cZ","properties":{"formattedCitation":"(Bitew et al., 2024)","plainCitation":"(Bitew et al., 2024)","noteIndex":0},"citationItems":[{"id":174,"uris":["http://zotero.org/users/6623259/items/VHVBCTUZ"],"itemData":{"id":174,"type":"article-journal","container-title":"BMC Public Health","DOI":"10.1186/s12889-024-19621-4","ISSN":"1471-2458","issue":"1","journalAbbreviation":"BMC Public Health","language":"en","page":"2071","source":"DOI.org (Crossref)","title":"Prevalence and antimicrobial susceptibility pattern of Vibrio cholerae isolates from cholera outbreak sites in Ethiopia","volume":"24","author":[{"family":"Bitew","given":"Abebaw"},{"family":"Gelaw","given":"Aschalew"},{"family":"Wondimeneh","given":"Yitayih"},{"family":"Ayenew","given":"Zeleke"},{"family":"Getie","given":"Michael"},{"family":"Tafere","given":"Wudu"},{"family":"Gebre-Eyesus","given":"Tsehaynesh"},{"family":"Yimer","given":"Marechign"},{"family":"Beyene","given":"Getachew Tesfaye"},{"family":"Bitew","given":"Molalegne"},{"family":"Abayneh","given":"Takele"},{"family":"Abebe","given":"Markos"},{"family":"Mihret","given":"Adane"},{"family":"Yeshitela","given":"Biruk"},{"family":"Teferi","given":"Mekonnen"},{"family":"Gelaw","given":"Baye"}],"issued":{"date-parts":[["2024",7,31]]}}}],"schema":"https://github.com/citation-style-language/schema/raw/master/csl-citation.json"} </w:instrText>
      </w:r>
      <w:r w:rsidR="00893EB8">
        <w:rPr>
          <w:rFonts w:ascii="Arial" w:eastAsia="Arial" w:hAnsi="Arial" w:cs="Arial"/>
          <w:color w:val="000000"/>
        </w:rPr>
        <w:fldChar w:fldCharType="separate"/>
      </w:r>
      <w:r w:rsidR="00893EB8" w:rsidRPr="00893EB8">
        <w:rPr>
          <w:rFonts w:ascii="Arial" w:hAnsi="Arial" w:cs="Arial"/>
        </w:rPr>
        <w:t>(Bitew et al., 2024)</w:t>
      </w:r>
      <w:r w:rsidR="00893EB8">
        <w:rPr>
          <w:rFonts w:ascii="Arial" w:eastAsia="Arial" w:hAnsi="Arial" w:cs="Arial"/>
          <w:color w:val="000000"/>
        </w:rPr>
        <w:fldChar w:fldCharType="end"/>
      </w:r>
    </w:p>
    <w:p w14:paraId="51263FDB" w14:textId="77777777" w:rsidR="00893EB8" w:rsidRDefault="00893EB8">
      <w:pPr>
        <w:pBdr>
          <w:top w:val="nil"/>
          <w:left w:val="nil"/>
          <w:bottom w:val="nil"/>
          <w:right w:val="nil"/>
          <w:between w:val="nil"/>
        </w:pBdr>
        <w:jc w:val="both"/>
        <w:rPr>
          <w:rFonts w:ascii="Arial" w:eastAsia="Arial" w:hAnsi="Arial" w:cs="Arial"/>
          <w:color w:val="000000"/>
        </w:rPr>
      </w:pPr>
    </w:p>
    <w:p w14:paraId="1172B149" w14:textId="77777777" w:rsidR="00813094" w:rsidRDefault="00813094">
      <w:pPr>
        <w:pBdr>
          <w:top w:val="nil"/>
          <w:left w:val="nil"/>
          <w:bottom w:val="nil"/>
          <w:right w:val="nil"/>
          <w:between w:val="nil"/>
        </w:pBdr>
        <w:jc w:val="both"/>
        <w:rPr>
          <w:rFonts w:ascii="Arial" w:eastAsia="Arial" w:hAnsi="Arial" w:cs="Arial"/>
          <w:color w:val="000000"/>
        </w:rPr>
      </w:pPr>
    </w:p>
    <w:p w14:paraId="49EAAC8B" w14:textId="77777777" w:rsidR="00893EB8" w:rsidRDefault="00893EB8">
      <w:pPr>
        <w:pBdr>
          <w:top w:val="nil"/>
          <w:left w:val="nil"/>
          <w:bottom w:val="nil"/>
          <w:right w:val="nil"/>
          <w:between w:val="nil"/>
        </w:pBdr>
        <w:jc w:val="both"/>
        <w:rPr>
          <w:rFonts w:ascii="Arial" w:eastAsia="Arial" w:hAnsi="Arial" w:cs="Arial"/>
          <w:color w:val="000000"/>
        </w:rPr>
      </w:pPr>
    </w:p>
    <w:p w14:paraId="7807EE98"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3.2 Biofilm Formation</w:t>
      </w:r>
    </w:p>
    <w:p w14:paraId="36729671" w14:textId="0739AD30" w:rsidR="00114A3D" w:rsidRDefault="00114A3D" w:rsidP="00114A3D">
      <w:pPr>
        <w:pBdr>
          <w:top w:val="nil"/>
          <w:left w:val="nil"/>
          <w:bottom w:val="nil"/>
          <w:right w:val="nil"/>
          <w:between w:val="nil"/>
        </w:pBdr>
        <w:jc w:val="both"/>
        <w:rPr>
          <w:rFonts w:ascii="Arial" w:eastAsia="Arial" w:hAnsi="Arial" w:cs="Arial"/>
          <w:bCs/>
          <w:color w:val="000000"/>
        </w:rPr>
      </w:pPr>
      <w:r w:rsidRPr="00114A3D">
        <w:rPr>
          <w:rFonts w:ascii="Arial" w:eastAsia="Arial" w:hAnsi="Arial" w:cs="Arial"/>
          <w:bCs/>
          <w:color w:val="000000"/>
        </w:rPr>
        <w:t xml:space="preserve">The classification of biofilm formation strength in this study was based on the range of optical density (OD) values measured at 595 nm, as shown in </w:t>
      </w:r>
      <w:r w:rsidRPr="00114A3D">
        <w:rPr>
          <w:rFonts w:ascii="Arial" w:eastAsia="Arial" w:hAnsi="Arial" w:cs="Arial"/>
          <w:b/>
          <w:color w:val="000000"/>
        </w:rPr>
        <w:t>Table 2</w:t>
      </w:r>
      <w:r w:rsidRPr="00114A3D">
        <w:rPr>
          <w:rFonts w:ascii="Arial" w:eastAsia="Arial" w:hAnsi="Arial" w:cs="Arial"/>
          <w:bCs/>
          <w:color w:val="000000"/>
        </w:rPr>
        <w:t>. This classification divides biofilm-forming ability into four categories: non-biofilm former, weak, moderate, and strong biofilm former.</w:t>
      </w:r>
    </w:p>
    <w:p w14:paraId="18E87B27" w14:textId="77777777" w:rsidR="006527D6" w:rsidRDefault="006527D6" w:rsidP="00825FD9">
      <w:pPr>
        <w:pBdr>
          <w:top w:val="nil"/>
          <w:left w:val="nil"/>
          <w:bottom w:val="nil"/>
          <w:right w:val="nil"/>
          <w:between w:val="nil"/>
        </w:pBdr>
        <w:jc w:val="both"/>
        <w:rPr>
          <w:rFonts w:ascii="Arial" w:eastAsia="Arial" w:hAnsi="Arial" w:cs="Arial"/>
          <w:color w:val="000000"/>
        </w:rPr>
      </w:pPr>
    </w:p>
    <w:p w14:paraId="28319E42" w14:textId="17E46DC5" w:rsidR="006527D6" w:rsidRDefault="006527D6" w:rsidP="006527D6">
      <w:pPr>
        <w:tabs>
          <w:tab w:val="left" w:pos="1080"/>
        </w:tabs>
        <w:jc w:val="center"/>
        <w:rPr>
          <w:rFonts w:ascii="Arial" w:eastAsia="Arial" w:hAnsi="Arial" w:cs="Arial"/>
          <w:b/>
        </w:rPr>
      </w:pPr>
      <w:r>
        <w:rPr>
          <w:rFonts w:ascii="Arial" w:eastAsia="Arial" w:hAnsi="Arial" w:cs="Arial"/>
          <w:b/>
        </w:rPr>
        <w:t xml:space="preserve">        Table 2. Categories of Biofilm Formation Strength Based on OD Value</w:t>
      </w:r>
    </w:p>
    <w:tbl>
      <w:tblPr>
        <w:tblStyle w:val="a1"/>
        <w:tblW w:w="6061"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050"/>
        <w:gridCol w:w="3011"/>
      </w:tblGrid>
      <w:tr w:rsidR="006527D6" w14:paraId="69E3905C" w14:textId="77777777" w:rsidTr="005929B2">
        <w:trPr>
          <w:jc w:val="center"/>
        </w:trPr>
        <w:tc>
          <w:tcPr>
            <w:tcW w:w="3050" w:type="dxa"/>
            <w:tcBorders>
              <w:bottom w:val="single" w:sz="4" w:space="0" w:color="000000"/>
            </w:tcBorders>
          </w:tcPr>
          <w:p w14:paraId="1291009A" w14:textId="77777777" w:rsidR="006527D6" w:rsidRDefault="006527D6" w:rsidP="006527D6">
            <w:pPr>
              <w:rPr>
                <w:rFonts w:ascii="Arial" w:eastAsia="Arial" w:hAnsi="Arial" w:cs="Arial"/>
                <w:b/>
              </w:rPr>
            </w:pPr>
            <w:proofErr w:type="spellStart"/>
            <w:r>
              <w:rPr>
                <w:rFonts w:ascii="Arial" w:eastAsia="Arial" w:hAnsi="Arial" w:cs="Arial"/>
                <w:b/>
              </w:rPr>
              <w:t>ODsample</w:t>
            </w:r>
            <w:proofErr w:type="spellEnd"/>
            <w:r>
              <w:rPr>
                <w:rFonts w:ascii="Arial" w:eastAsia="Arial" w:hAnsi="Arial" w:cs="Arial"/>
                <w:b/>
              </w:rPr>
              <w:t xml:space="preserve"> Range</w:t>
            </w:r>
          </w:p>
        </w:tc>
        <w:tc>
          <w:tcPr>
            <w:tcW w:w="3011" w:type="dxa"/>
            <w:tcBorders>
              <w:bottom w:val="single" w:sz="4" w:space="0" w:color="000000"/>
            </w:tcBorders>
          </w:tcPr>
          <w:p w14:paraId="5FD0D761" w14:textId="77777777" w:rsidR="006527D6" w:rsidRDefault="006527D6" w:rsidP="006527D6">
            <w:pPr>
              <w:rPr>
                <w:rFonts w:ascii="Arial" w:eastAsia="Arial" w:hAnsi="Arial" w:cs="Arial"/>
                <w:b/>
              </w:rPr>
            </w:pPr>
            <w:r>
              <w:rPr>
                <w:rFonts w:ascii="Arial" w:eastAsia="Arial" w:hAnsi="Arial" w:cs="Arial"/>
                <w:b/>
              </w:rPr>
              <w:t>Biofilm Formation Category</w:t>
            </w:r>
          </w:p>
        </w:tc>
      </w:tr>
      <w:tr w:rsidR="006527D6" w14:paraId="1069A872" w14:textId="77777777" w:rsidTr="005929B2">
        <w:trPr>
          <w:trHeight w:val="773"/>
          <w:jc w:val="center"/>
        </w:trPr>
        <w:tc>
          <w:tcPr>
            <w:tcW w:w="3050" w:type="dxa"/>
            <w:tcBorders>
              <w:bottom w:val="single" w:sz="4" w:space="0" w:color="000000"/>
            </w:tcBorders>
          </w:tcPr>
          <w:p w14:paraId="5A25F761" w14:textId="77777777" w:rsidR="006527D6" w:rsidRDefault="006527D6" w:rsidP="006527D6">
            <w:pPr>
              <w:rPr>
                <w:rFonts w:ascii="Arial" w:eastAsia="Arial" w:hAnsi="Arial" w:cs="Arial"/>
              </w:rPr>
            </w:pPr>
            <w:proofErr w:type="spellStart"/>
            <w:r>
              <w:rPr>
                <w:rFonts w:ascii="Arial Unicode MS" w:eastAsia="Arial Unicode MS" w:hAnsi="Arial Unicode MS" w:cs="Arial Unicode MS"/>
              </w:rPr>
              <w:t>ODsample</w:t>
            </w:r>
            <w:proofErr w:type="spellEnd"/>
            <w:r>
              <w:rPr>
                <w:rFonts w:ascii="Arial Unicode MS" w:eastAsia="Arial Unicode MS" w:hAnsi="Arial Unicode MS" w:cs="Arial Unicode MS"/>
              </w:rPr>
              <w:t xml:space="preserve"> ≤ 0.600</w:t>
            </w:r>
          </w:p>
          <w:p w14:paraId="7D903BE5" w14:textId="77777777" w:rsidR="006527D6" w:rsidRDefault="006527D6" w:rsidP="006527D6">
            <w:pPr>
              <w:rPr>
                <w:rFonts w:ascii="Arial" w:eastAsia="Arial" w:hAnsi="Arial" w:cs="Arial"/>
              </w:rPr>
            </w:pPr>
            <w:r>
              <w:rPr>
                <w:rFonts w:ascii="Arial Unicode MS" w:eastAsia="Arial Unicode MS" w:hAnsi="Arial Unicode MS" w:cs="Arial Unicode MS"/>
              </w:rPr>
              <w:t xml:space="preserve">0.601 &lt; </w:t>
            </w:r>
            <w:proofErr w:type="spellStart"/>
            <w:r>
              <w:rPr>
                <w:rFonts w:ascii="Arial Unicode MS" w:eastAsia="Arial Unicode MS" w:hAnsi="Arial Unicode MS" w:cs="Arial Unicode MS"/>
              </w:rPr>
              <w:t>ODsample</w:t>
            </w:r>
            <w:proofErr w:type="spellEnd"/>
            <w:r>
              <w:rPr>
                <w:rFonts w:ascii="Arial Unicode MS" w:eastAsia="Arial Unicode MS" w:hAnsi="Arial Unicode MS" w:cs="Arial Unicode MS"/>
              </w:rPr>
              <w:t xml:space="preserve"> ≤ 1.200</w:t>
            </w:r>
          </w:p>
          <w:p w14:paraId="2156C378" w14:textId="77777777" w:rsidR="006527D6" w:rsidRDefault="006527D6" w:rsidP="006527D6">
            <w:pPr>
              <w:rPr>
                <w:rFonts w:ascii="Arial" w:eastAsia="Arial" w:hAnsi="Arial" w:cs="Arial"/>
              </w:rPr>
            </w:pPr>
            <w:r>
              <w:rPr>
                <w:rFonts w:ascii="Arial Unicode MS" w:eastAsia="Arial Unicode MS" w:hAnsi="Arial Unicode MS" w:cs="Arial Unicode MS"/>
              </w:rPr>
              <w:t xml:space="preserve">1.201 &lt; </w:t>
            </w:r>
            <w:proofErr w:type="spellStart"/>
            <w:r>
              <w:rPr>
                <w:rFonts w:ascii="Arial Unicode MS" w:eastAsia="Arial Unicode MS" w:hAnsi="Arial Unicode MS" w:cs="Arial Unicode MS"/>
              </w:rPr>
              <w:t>ODsample</w:t>
            </w:r>
            <w:proofErr w:type="spellEnd"/>
            <w:r>
              <w:rPr>
                <w:rFonts w:ascii="Arial Unicode MS" w:eastAsia="Arial Unicode MS" w:hAnsi="Arial Unicode MS" w:cs="Arial Unicode MS"/>
              </w:rPr>
              <w:t xml:space="preserve"> ≤ 2.400</w:t>
            </w:r>
          </w:p>
          <w:p w14:paraId="18958F10" w14:textId="77777777" w:rsidR="006527D6" w:rsidRDefault="006527D6" w:rsidP="006527D6">
            <w:pPr>
              <w:rPr>
                <w:rFonts w:ascii="Arial" w:eastAsia="Arial" w:hAnsi="Arial" w:cs="Arial"/>
                <w:b/>
              </w:rPr>
            </w:pPr>
            <w:proofErr w:type="spellStart"/>
            <w:proofErr w:type="gramStart"/>
            <w:r>
              <w:rPr>
                <w:rFonts w:ascii="Arial" w:eastAsia="Arial" w:hAnsi="Arial" w:cs="Arial"/>
              </w:rPr>
              <w:t>ODsample</w:t>
            </w:r>
            <w:proofErr w:type="spellEnd"/>
            <w:r>
              <w:rPr>
                <w:rFonts w:ascii="Arial" w:eastAsia="Arial" w:hAnsi="Arial" w:cs="Arial"/>
              </w:rPr>
              <w:t xml:space="preserve">  &gt;</w:t>
            </w:r>
            <w:proofErr w:type="gramEnd"/>
            <w:r>
              <w:rPr>
                <w:rFonts w:ascii="Arial" w:eastAsia="Arial" w:hAnsi="Arial" w:cs="Arial"/>
              </w:rPr>
              <w:t xml:space="preserve"> 2.400</w:t>
            </w:r>
          </w:p>
        </w:tc>
        <w:tc>
          <w:tcPr>
            <w:tcW w:w="3011" w:type="dxa"/>
            <w:tcBorders>
              <w:bottom w:val="single" w:sz="4" w:space="0" w:color="000000"/>
            </w:tcBorders>
          </w:tcPr>
          <w:p w14:paraId="3C9E22B1" w14:textId="77777777" w:rsidR="006527D6" w:rsidRDefault="006527D6" w:rsidP="006527D6">
            <w:pPr>
              <w:rPr>
                <w:rFonts w:ascii="Arial" w:eastAsia="Arial" w:hAnsi="Arial" w:cs="Arial"/>
              </w:rPr>
            </w:pPr>
            <w:r>
              <w:rPr>
                <w:rFonts w:ascii="Arial" w:eastAsia="Arial" w:hAnsi="Arial" w:cs="Arial"/>
              </w:rPr>
              <w:t>Non-biofilm former</w:t>
            </w:r>
          </w:p>
          <w:p w14:paraId="19A5BDE4" w14:textId="77777777" w:rsidR="006527D6" w:rsidRDefault="006527D6" w:rsidP="006527D6">
            <w:pPr>
              <w:rPr>
                <w:rFonts w:ascii="Arial" w:eastAsia="Arial" w:hAnsi="Arial" w:cs="Arial"/>
              </w:rPr>
            </w:pPr>
            <w:r>
              <w:rPr>
                <w:rFonts w:ascii="Arial" w:eastAsia="Arial" w:hAnsi="Arial" w:cs="Arial"/>
              </w:rPr>
              <w:t>Weak biofilm former</w:t>
            </w:r>
          </w:p>
          <w:p w14:paraId="0672824A" w14:textId="77777777" w:rsidR="006527D6" w:rsidRDefault="006527D6" w:rsidP="006527D6">
            <w:pPr>
              <w:rPr>
                <w:rFonts w:ascii="Arial" w:eastAsia="Arial" w:hAnsi="Arial" w:cs="Arial"/>
              </w:rPr>
            </w:pPr>
            <w:r>
              <w:rPr>
                <w:rFonts w:ascii="Arial" w:eastAsia="Arial" w:hAnsi="Arial" w:cs="Arial"/>
              </w:rPr>
              <w:t>Moderate biofilm former</w:t>
            </w:r>
          </w:p>
          <w:p w14:paraId="71FCF5AB" w14:textId="77777777" w:rsidR="006527D6" w:rsidRDefault="006527D6" w:rsidP="006527D6">
            <w:pPr>
              <w:pBdr>
                <w:top w:val="nil"/>
                <w:left w:val="nil"/>
                <w:bottom w:val="nil"/>
                <w:right w:val="nil"/>
                <w:between w:val="nil"/>
              </w:pBdr>
              <w:rPr>
                <w:rFonts w:ascii="Arial" w:eastAsia="Arial" w:hAnsi="Arial" w:cs="Arial"/>
                <w:color w:val="000000"/>
              </w:rPr>
            </w:pPr>
            <w:r>
              <w:rPr>
                <w:rFonts w:ascii="Arial" w:eastAsia="Arial" w:hAnsi="Arial" w:cs="Arial"/>
                <w:color w:val="000000"/>
              </w:rPr>
              <w:t>Strong biofilm former</w:t>
            </w:r>
          </w:p>
        </w:tc>
      </w:tr>
    </w:tbl>
    <w:p w14:paraId="614E17A2" w14:textId="77777777" w:rsidR="00114A3D" w:rsidRDefault="00114A3D" w:rsidP="00114A3D">
      <w:pPr>
        <w:pBdr>
          <w:top w:val="nil"/>
          <w:left w:val="nil"/>
          <w:bottom w:val="nil"/>
          <w:right w:val="nil"/>
          <w:between w:val="nil"/>
        </w:pBdr>
        <w:jc w:val="both"/>
        <w:rPr>
          <w:rFonts w:ascii="Arial" w:eastAsia="Arial" w:hAnsi="Arial" w:cs="Arial"/>
          <w:color w:val="000000"/>
        </w:rPr>
      </w:pPr>
    </w:p>
    <w:p w14:paraId="5CCE871E" w14:textId="0ED5AA33" w:rsidR="00114A3D" w:rsidRDefault="00114A3D" w:rsidP="00114A3D">
      <w:pPr>
        <w:pBdr>
          <w:top w:val="nil"/>
          <w:left w:val="nil"/>
          <w:bottom w:val="nil"/>
          <w:right w:val="nil"/>
          <w:between w:val="nil"/>
        </w:pBdr>
        <w:jc w:val="both"/>
        <w:rPr>
          <w:rFonts w:ascii="Arial" w:eastAsia="Arial" w:hAnsi="Arial" w:cs="Arial"/>
          <w:color w:val="000000"/>
          <w:lang w:val="en-US"/>
        </w:rPr>
      </w:pPr>
      <w:r w:rsidRPr="00114A3D">
        <w:rPr>
          <w:rFonts w:ascii="Arial" w:eastAsia="Arial" w:hAnsi="Arial" w:cs="Arial"/>
          <w:b/>
          <w:bCs/>
          <w:color w:val="000000"/>
          <w:lang w:val="en-US"/>
        </w:rPr>
        <w:t>Table 3</w:t>
      </w:r>
      <w:r w:rsidRPr="00114A3D">
        <w:rPr>
          <w:rFonts w:ascii="Arial" w:eastAsia="Arial" w:hAnsi="Arial" w:cs="Arial"/>
          <w:color w:val="000000"/>
          <w:lang w:val="en-US"/>
        </w:rPr>
        <w:t xml:space="preserve"> presents a comprehensive summary of OD values along with their associated biofilm categories.</w:t>
      </w:r>
      <w:r>
        <w:rPr>
          <w:rFonts w:ascii="Arial" w:eastAsia="Arial" w:hAnsi="Arial" w:cs="Arial"/>
          <w:color w:val="000000"/>
          <w:lang w:val="en-US"/>
        </w:rPr>
        <w:t xml:space="preserve"> </w:t>
      </w:r>
      <w:r w:rsidRPr="00114A3D">
        <w:rPr>
          <w:rFonts w:ascii="Arial" w:eastAsia="Arial" w:hAnsi="Arial" w:cs="Arial"/>
          <w:color w:val="000000"/>
          <w:lang w:val="en-US"/>
        </w:rPr>
        <w:t xml:space="preserve">Based on the OD measurements, the </w:t>
      </w:r>
      <w:r w:rsidRPr="00114A3D">
        <w:rPr>
          <w:rFonts w:ascii="Arial" w:eastAsia="Arial" w:hAnsi="Arial" w:cs="Arial"/>
          <w:i/>
          <w:iCs/>
          <w:color w:val="000000"/>
          <w:lang w:val="en-US"/>
        </w:rPr>
        <w:t xml:space="preserve">P. </w:t>
      </w:r>
      <w:proofErr w:type="spellStart"/>
      <w:r w:rsidRPr="00114A3D">
        <w:rPr>
          <w:rFonts w:ascii="Arial" w:eastAsia="Arial" w:hAnsi="Arial" w:cs="Arial"/>
          <w:i/>
          <w:iCs/>
          <w:color w:val="000000"/>
          <w:lang w:val="en-US"/>
        </w:rPr>
        <w:t>multocida</w:t>
      </w:r>
      <w:proofErr w:type="spellEnd"/>
      <w:r w:rsidRPr="00114A3D">
        <w:rPr>
          <w:rFonts w:ascii="Arial" w:eastAsia="Arial" w:hAnsi="Arial" w:cs="Arial"/>
          <w:color w:val="000000"/>
          <w:lang w:val="en-US"/>
        </w:rPr>
        <w:t xml:space="preserve"> isolates exhibited varying capacities for biofilm formation. Isolates PM-MAL-2024-06, PM-MAL-2024-08, and PM-MAL-2024-03 were classified as non-biofilm formers, with OD values of 0.473, 0.480, and 0.590, respectively. Conversely, isolates PM-MAL-2024-02 and PM-MAL-2024-09 demonstrated weak biofilm-forming ability, with OD values of 0.780 and 0.843. These values indicate a limited capacity for biofilm production, though they may still enhance bacterial virulence under specific environmental conditions</w:t>
      </w:r>
      <w:r>
        <w:rPr>
          <w:rFonts w:ascii="Arial" w:eastAsia="Arial" w:hAnsi="Arial" w:cs="Arial"/>
          <w:color w:val="000000"/>
          <w:lang w:val="en-US"/>
        </w:rPr>
        <w:t xml:space="preserve">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{"citationID":"D1CdwGqz","properties":{"formattedCitation":"(Donlan &amp; Costerton, 2002)","plainCitation":"(Donlan &amp; Costerton, 2002)","noteIndex":0},"citationItems":[{"id":163,"uris":["http://zotero.org/users/6623259/items/DH5Y92D9"],"itemData":{"id":163,"type":"article-journal","abstract":"SUMMARY\n              Though biofilms were first described by Antonie van Leeuwenhoek, the theory describing the biofilm process was not developed until 1978. We now understand that biofilms are universal, occurring in aquatic and industrial water systems as well as a large number of environments and medical devices relevant for public health. Using tools such as the scanning electron microscope and, more recently, the confocal laser scanning microscope, biofilm researchers now understand that biofilms are not unstructured, homogeneous deposits of cells and accumulated slime, but complex communities of surface-associated cells enclosed in a polymer matrix containing open water channels. Further studies have shown that the biofilm phenotype can be described in terms of the genes expressed by biofilm-associated cells. Microorganisms growing in a biofilm are highly resistant to antimicrobial agents by one or more mechanisms. Biofilm-associated microorganisms have been shown to be associated with several human diseases, such as native valve endocarditis and cystic fibrosis, and to colonize a wide variety of medical devices. Though epidemiologic evidence points to biofilms as a source of several infectious diseases, the exact mechanisms by which biofilm-associated microorganisms elicit disease are poorly understood. Detachment of cells or cell aggregates, production of endotoxin, increased resistance to the host immune system, and provision of a niche for the generation of resistant organisms are all biofilm processes which could initiate the disease process. Effective strategies to prevent or control biofilms on medical devices must take into consideration the unique and tenacious nature of biofilms. Current intervention strategies are designed to prevent initial device colonization, minimize microbial cell attachment to the device, penetrate the biofilm matrix and kill the associated cells, or remove the device from the patient. In the future, treatments may be based on inhibition of genes involved in cell attachment and biofilm formation.","container-title":"Clinical Microbiology Reviews","DOI":"10.1128/CMR.15.2.167-193.2002","ISSN":"0893-8512, 1098-6618","issue":"2","journalAbbreviation":"Clin Microbiol Rev","language":"en","page":"167-193","source":"DOI.org (Crossref)","title":"Biofilms: Survival Mechanisms of Clinically Relevant Microorganisms","title-short":"Biofilms","volume":"15","author":[{"family":"Donlan","given":"Rodney M."},{"family":"Costerton","given":"J. William"}],"issued":{"date-parts":[["2002",4]]}}}],"schema":"https://github.com/citation-style-language/schema/raw/master/csl-citation.json"} </w:instrText>
      </w:r>
      <w:r>
        <w:rPr>
          <w:rFonts w:ascii="Arial" w:eastAsia="Arial" w:hAnsi="Arial" w:cs="Arial"/>
          <w:color w:val="000000"/>
          <w:lang w:val="en-US"/>
        </w:rPr>
        <w:fldChar w:fldCharType="separate"/>
      </w:r>
      <w:r w:rsidRPr="00114A3D">
        <w:rPr>
          <w:rFonts w:ascii="Arial" w:hAnsi="Arial" w:cs="Arial"/>
        </w:rPr>
        <w:t>(Donlan &amp; Costerton, 2002)</w:t>
      </w:r>
      <w:r>
        <w:rPr>
          <w:rFonts w:ascii="Arial" w:eastAsia="Arial" w:hAnsi="Arial" w:cs="Arial"/>
          <w:color w:val="000000"/>
          <w:lang w:val="en-US"/>
        </w:rPr>
        <w:fldChar w:fldCharType="end"/>
      </w:r>
      <w:r w:rsidRPr="00114A3D">
        <w:rPr>
          <w:rFonts w:ascii="Arial" w:eastAsia="Arial" w:hAnsi="Arial" w:cs="Arial"/>
          <w:color w:val="000000"/>
          <w:lang w:val="en-US"/>
        </w:rPr>
        <w:t>.</w:t>
      </w:r>
    </w:p>
    <w:p w14:paraId="6D08E07C" w14:textId="77777777" w:rsidR="00114A3D" w:rsidRPr="00114A3D" w:rsidRDefault="00114A3D" w:rsidP="00114A3D">
      <w:pPr>
        <w:pBdr>
          <w:top w:val="nil"/>
          <w:left w:val="nil"/>
          <w:bottom w:val="nil"/>
          <w:right w:val="nil"/>
          <w:between w:val="nil"/>
        </w:pBdr>
        <w:jc w:val="both"/>
        <w:rPr>
          <w:rFonts w:ascii="Arial" w:eastAsia="Arial" w:hAnsi="Arial" w:cs="Arial"/>
          <w:color w:val="000000"/>
          <w:lang w:val="en-US"/>
        </w:rPr>
      </w:pPr>
    </w:p>
    <w:p w14:paraId="5868C021" w14:textId="77777777" w:rsidR="00114A3D" w:rsidRDefault="00114A3D" w:rsidP="00114A3D">
      <w:pPr>
        <w:pBdr>
          <w:top w:val="nil"/>
          <w:left w:val="nil"/>
          <w:bottom w:val="nil"/>
          <w:right w:val="nil"/>
          <w:between w:val="nil"/>
        </w:pBdr>
        <w:jc w:val="both"/>
        <w:rPr>
          <w:rFonts w:ascii="Arial" w:eastAsia="Arial" w:hAnsi="Arial" w:cs="Arial"/>
          <w:color w:val="000000"/>
          <w:lang w:val="en-US"/>
        </w:rPr>
      </w:pPr>
      <w:r w:rsidRPr="00114A3D">
        <w:rPr>
          <w:rFonts w:ascii="Arial" w:eastAsia="Arial" w:hAnsi="Arial" w:cs="Arial"/>
          <w:color w:val="000000"/>
          <w:lang w:val="en-US"/>
        </w:rPr>
        <w:t xml:space="preserve">Isolates PM-MAL-2024-05, PM-MAL-2024-07, and PM-MAL-2024-04 demonstrated moderate biofilm-forming ability, with optical density (OD) values of 1.759, 1.762, and 2.047, respectively. The capacity to develop moderate biofilms indicates an increased production of extracellular matrix, potentially enhancing bacterial persistence and resistance to antimicrobial agents and host immune responses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{"citationID":"0ZcoyG0Z","properties":{"formattedCitation":"(Hall-Stoodley &amp; Stoodley, 2009)","plainCitation":"(Hall-Stoodley &amp; Stoodley, 2009)","noteIndex":0},"citationItems":[{"id":165,"uris":["http://zotero.org/users/6623259/items/F4QV97DY"],"itemData":{"id":165,"type":"article-journal","container-title":"Cellular Microbiology","DOI":"10.1111/j.1462-5822.2009.01323.x","ISSN":"14625814, 14625822","issue":"7","language":"en","license":"http://doi.wiley.com/10.1002/tdm_license_1.1","page":"1034-1043","source":"DOI.org (Crossref)","title":"Evolving concepts in biofilm infections","volume":"11","author":[{"family":"Hall-Stoodley","given":"Luanne"},{"family":"Stoodley","given":"Paul"}],"issued":{"date-parts":[["2009",7]]}}}],"schema":"https://github.com/citation-style-language/schema/raw/master/csl-citation.json"} </w:instrText>
      </w:r>
      <w:r>
        <w:rPr>
          <w:rFonts w:ascii="Arial" w:eastAsia="Arial" w:hAnsi="Arial" w:cs="Arial"/>
          <w:color w:val="000000"/>
          <w:lang w:val="en-US"/>
        </w:rPr>
        <w:fldChar w:fldCharType="separate"/>
      </w:r>
      <w:r w:rsidRPr="00114A3D">
        <w:rPr>
          <w:rFonts w:ascii="Arial" w:hAnsi="Arial" w:cs="Arial"/>
        </w:rPr>
        <w:t>(Hall-Stoodley &amp; Stoodley, 2009)</w:t>
      </w:r>
      <w:r>
        <w:rPr>
          <w:rFonts w:ascii="Arial" w:eastAsia="Arial" w:hAnsi="Arial" w:cs="Arial"/>
          <w:color w:val="000000"/>
          <w:lang w:val="en-US"/>
        </w:rPr>
        <w:fldChar w:fldCharType="end"/>
      </w:r>
      <w:r>
        <w:rPr>
          <w:rFonts w:ascii="Arial" w:eastAsia="Arial" w:hAnsi="Arial" w:cs="Arial"/>
          <w:color w:val="000000"/>
          <w:lang w:val="en-US"/>
        </w:rPr>
        <w:t xml:space="preserve">. </w:t>
      </w:r>
    </w:p>
    <w:p w14:paraId="569B9B6C" w14:textId="77777777" w:rsidR="00114A3D" w:rsidRDefault="00114A3D" w:rsidP="00114A3D">
      <w:pPr>
        <w:pBdr>
          <w:top w:val="nil"/>
          <w:left w:val="nil"/>
          <w:bottom w:val="nil"/>
          <w:right w:val="nil"/>
          <w:between w:val="nil"/>
        </w:pBdr>
        <w:jc w:val="both"/>
        <w:rPr>
          <w:rFonts w:ascii="Arial" w:eastAsia="Arial" w:hAnsi="Arial" w:cs="Arial"/>
          <w:color w:val="000000"/>
          <w:lang w:val="en-US"/>
        </w:rPr>
      </w:pPr>
    </w:p>
    <w:p w14:paraId="229AD685" w14:textId="55A75C0C" w:rsidR="006527D6" w:rsidRDefault="006527D6" w:rsidP="00114A3D">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w:t>
      </w:r>
      <w:r w:rsidR="00114A3D">
        <w:rPr>
          <w:rFonts w:ascii="Arial" w:eastAsia="Arial" w:hAnsi="Arial" w:cs="Arial"/>
          <w:b/>
          <w:color w:val="000000"/>
        </w:rPr>
        <w:tab/>
        <w:t xml:space="preserve">   </w:t>
      </w:r>
      <w:r>
        <w:rPr>
          <w:rFonts w:ascii="Arial" w:eastAsia="Arial" w:hAnsi="Arial" w:cs="Arial"/>
          <w:b/>
          <w:color w:val="000000"/>
        </w:rPr>
        <w:t xml:space="preserve">Table 3. Biofilm Category of </w:t>
      </w:r>
      <w:r>
        <w:rPr>
          <w:rFonts w:ascii="Arial" w:eastAsia="Arial" w:hAnsi="Arial" w:cs="Arial"/>
          <w:b/>
          <w:i/>
          <w:color w:val="000000"/>
        </w:rPr>
        <w:t xml:space="preserve">P. </w:t>
      </w:r>
      <w:proofErr w:type="spellStart"/>
      <w:r>
        <w:rPr>
          <w:rFonts w:ascii="Arial" w:eastAsia="Arial" w:hAnsi="Arial" w:cs="Arial"/>
          <w:b/>
          <w:i/>
          <w:color w:val="000000"/>
        </w:rPr>
        <w:t>multocida</w:t>
      </w:r>
      <w:proofErr w:type="spellEnd"/>
      <w:r>
        <w:rPr>
          <w:rFonts w:ascii="Arial" w:eastAsia="Arial" w:hAnsi="Arial" w:cs="Arial"/>
          <w:b/>
          <w:color w:val="000000"/>
        </w:rPr>
        <w:t xml:space="preserve"> Positive Sample</w:t>
      </w:r>
    </w:p>
    <w:tbl>
      <w:tblPr>
        <w:tblStyle w:val="a2"/>
        <w:tblW w:w="6411" w:type="dxa"/>
        <w:jc w:val="center"/>
        <w:tblLayout w:type="fixed"/>
        <w:tblLook w:val="0400" w:firstRow="0" w:lastRow="0" w:firstColumn="0" w:lastColumn="0" w:noHBand="0" w:noVBand="1"/>
      </w:tblPr>
      <w:tblGrid>
        <w:gridCol w:w="2180"/>
        <w:gridCol w:w="1538"/>
        <w:gridCol w:w="2693"/>
      </w:tblGrid>
      <w:tr w:rsidR="006527D6" w14:paraId="29770E0A" w14:textId="77777777" w:rsidTr="005929B2">
        <w:trPr>
          <w:trHeight w:val="290"/>
          <w:jc w:val="center"/>
        </w:trPr>
        <w:tc>
          <w:tcPr>
            <w:tcW w:w="2180" w:type="dxa"/>
            <w:tcBorders>
              <w:top w:val="single" w:sz="4" w:space="0" w:color="000000"/>
              <w:bottom w:val="single" w:sz="4" w:space="0" w:color="000000"/>
            </w:tcBorders>
            <w:vAlign w:val="bottom"/>
          </w:tcPr>
          <w:p w14:paraId="78A604ED" w14:textId="77777777" w:rsidR="006527D6" w:rsidRDefault="006527D6" w:rsidP="006527D6">
            <w:pPr>
              <w:rPr>
                <w:rFonts w:ascii="Arial" w:eastAsia="Arial" w:hAnsi="Arial" w:cs="Arial"/>
                <w:b/>
                <w:color w:val="000000"/>
              </w:rPr>
            </w:pPr>
            <w:r>
              <w:rPr>
                <w:rFonts w:ascii="Arial" w:eastAsia="Arial" w:hAnsi="Arial" w:cs="Arial"/>
                <w:b/>
                <w:color w:val="000000"/>
              </w:rPr>
              <w:t>Isolate Code</w:t>
            </w:r>
          </w:p>
        </w:tc>
        <w:tc>
          <w:tcPr>
            <w:tcW w:w="1538" w:type="dxa"/>
            <w:tcBorders>
              <w:top w:val="single" w:sz="4" w:space="0" w:color="000000"/>
              <w:bottom w:val="single" w:sz="4" w:space="0" w:color="000000"/>
            </w:tcBorders>
            <w:vAlign w:val="bottom"/>
          </w:tcPr>
          <w:p w14:paraId="1417E7F8" w14:textId="77777777" w:rsidR="006527D6" w:rsidRDefault="006527D6" w:rsidP="006527D6">
            <w:pPr>
              <w:rPr>
                <w:rFonts w:ascii="Arial" w:eastAsia="Arial" w:hAnsi="Arial" w:cs="Arial"/>
                <w:b/>
                <w:color w:val="000000"/>
              </w:rPr>
            </w:pPr>
            <w:r>
              <w:rPr>
                <w:rFonts w:ascii="Arial" w:eastAsia="Arial" w:hAnsi="Arial" w:cs="Arial"/>
                <w:b/>
                <w:color w:val="000000"/>
              </w:rPr>
              <w:t>OD (595 nm)</w:t>
            </w:r>
          </w:p>
        </w:tc>
        <w:tc>
          <w:tcPr>
            <w:tcW w:w="2693" w:type="dxa"/>
            <w:tcBorders>
              <w:top w:val="single" w:sz="4" w:space="0" w:color="000000"/>
              <w:bottom w:val="single" w:sz="4" w:space="0" w:color="000000"/>
            </w:tcBorders>
            <w:vAlign w:val="bottom"/>
          </w:tcPr>
          <w:p w14:paraId="742ACFE9" w14:textId="77777777" w:rsidR="006527D6" w:rsidRDefault="006527D6" w:rsidP="006527D6">
            <w:pPr>
              <w:rPr>
                <w:rFonts w:ascii="Arial" w:eastAsia="Arial" w:hAnsi="Arial" w:cs="Arial"/>
                <w:b/>
                <w:color w:val="000000"/>
              </w:rPr>
            </w:pPr>
            <w:r>
              <w:rPr>
                <w:rFonts w:ascii="Arial" w:eastAsia="Arial" w:hAnsi="Arial" w:cs="Arial"/>
                <w:b/>
                <w:color w:val="000000"/>
              </w:rPr>
              <w:t>Biofilm Category</w:t>
            </w:r>
          </w:p>
        </w:tc>
      </w:tr>
      <w:tr w:rsidR="006527D6" w14:paraId="70A47912" w14:textId="77777777" w:rsidTr="005929B2">
        <w:trPr>
          <w:trHeight w:val="290"/>
          <w:jc w:val="center"/>
        </w:trPr>
        <w:tc>
          <w:tcPr>
            <w:tcW w:w="2180" w:type="dxa"/>
            <w:vAlign w:val="bottom"/>
          </w:tcPr>
          <w:p w14:paraId="57625ACA" w14:textId="77777777" w:rsidR="006527D6" w:rsidRDefault="006527D6" w:rsidP="006527D6">
            <w:pPr>
              <w:rPr>
                <w:rFonts w:ascii="Arial" w:eastAsia="Arial" w:hAnsi="Arial" w:cs="Arial"/>
                <w:color w:val="000000"/>
              </w:rPr>
            </w:pPr>
            <w:r>
              <w:rPr>
                <w:rFonts w:ascii="Arial" w:eastAsia="Arial" w:hAnsi="Arial" w:cs="Arial"/>
                <w:color w:val="000000"/>
              </w:rPr>
              <w:t>PM-MAL-2024-06</w:t>
            </w:r>
          </w:p>
        </w:tc>
        <w:tc>
          <w:tcPr>
            <w:tcW w:w="1538" w:type="dxa"/>
            <w:vAlign w:val="bottom"/>
          </w:tcPr>
          <w:p w14:paraId="7341EA52" w14:textId="77777777" w:rsidR="006527D6" w:rsidRDefault="006527D6" w:rsidP="006527D6">
            <w:pPr>
              <w:ind w:right="401"/>
              <w:rPr>
                <w:rFonts w:ascii="Arial" w:eastAsia="Arial" w:hAnsi="Arial" w:cs="Arial"/>
                <w:color w:val="000000"/>
              </w:rPr>
            </w:pPr>
            <w:r>
              <w:rPr>
                <w:rFonts w:ascii="Arial" w:eastAsia="Arial" w:hAnsi="Arial" w:cs="Arial"/>
                <w:color w:val="000000"/>
              </w:rPr>
              <w:t>0.473</w:t>
            </w:r>
          </w:p>
        </w:tc>
        <w:tc>
          <w:tcPr>
            <w:tcW w:w="2693" w:type="dxa"/>
            <w:vAlign w:val="bottom"/>
          </w:tcPr>
          <w:p w14:paraId="42C73E0E" w14:textId="77777777" w:rsidR="006527D6" w:rsidRDefault="006527D6" w:rsidP="006527D6">
            <w:pPr>
              <w:rPr>
                <w:rFonts w:ascii="Arial" w:eastAsia="Arial" w:hAnsi="Arial" w:cs="Arial"/>
                <w:color w:val="000000"/>
              </w:rPr>
            </w:pPr>
            <w:r>
              <w:rPr>
                <w:rFonts w:ascii="Arial" w:eastAsia="Arial" w:hAnsi="Arial" w:cs="Arial"/>
                <w:color w:val="000000"/>
              </w:rPr>
              <w:t>Non-biofilm former</w:t>
            </w:r>
          </w:p>
        </w:tc>
      </w:tr>
      <w:tr w:rsidR="006527D6" w14:paraId="1CA6F1CC" w14:textId="77777777" w:rsidTr="005929B2">
        <w:trPr>
          <w:trHeight w:val="290"/>
          <w:jc w:val="center"/>
        </w:trPr>
        <w:tc>
          <w:tcPr>
            <w:tcW w:w="2180" w:type="dxa"/>
            <w:vAlign w:val="bottom"/>
          </w:tcPr>
          <w:p w14:paraId="70C5AD82" w14:textId="77777777" w:rsidR="006527D6" w:rsidRDefault="006527D6" w:rsidP="006527D6">
            <w:pPr>
              <w:rPr>
                <w:rFonts w:ascii="Arial" w:eastAsia="Arial" w:hAnsi="Arial" w:cs="Arial"/>
                <w:color w:val="000000"/>
              </w:rPr>
            </w:pPr>
            <w:r>
              <w:rPr>
                <w:rFonts w:ascii="Arial" w:eastAsia="Arial" w:hAnsi="Arial" w:cs="Arial"/>
                <w:color w:val="000000"/>
              </w:rPr>
              <w:t>PM-MAL-2024-08</w:t>
            </w:r>
          </w:p>
        </w:tc>
        <w:tc>
          <w:tcPr>
            <w:tcW w:w="1538" w:type="dxa"/>
            <w:vAlign w:val="bottom"/>
          </w:tcPr>
          <w:p w14:paraId="6A9E4BBC" w14:textId="77777777" w:rsidR="006527D6" w:rsidRDefault="006527D6" w:rsidP="006527D6">
            <w:pPr>
              <w:ind w:right="401"/>
              <w:rPr>
                <w:rFonts w:ascii="Arial" w:eastAsia="Arial" w:hAnsi="Arial" w:cs="Arial"/>
                <w:color w:val="000000"/>
              </w:rPr>
            </w:pPr>
            <w:r>
              <w:rPr>
                <w:rFonts w:ascii="Arial" w:eastAsia="Arial" w:hAnsi="Arial" w:cs="Arial"/>
                <w:color w:val="000000"/>
              </w:rPr>
              <w:t>0.48</w:t>
            </w:r>
          </w:p>
        </w:tc>
        <w:tc>
          <w:tcPr>
            <w:tcW w:w="2693" w:type="dxa"/>
            <w:vAlign w:val="bottom"/>
          </w:tcPr>
          <w:p w14:paraId="55CC60B5" w14:textId="77777777" w:rsidR="006527D6" w:rsidRPr="00FB1B9A" w:rsidRDefault="006527D6" w:rsidP="006527D6">
            <w:pPr>
              <w:rPr>
                <w:rFonts w:ascii="Arial" w:eastAsia="Arial" w:hAnsi="Arial" w:cs="Arial"/>
                <w:color w:val="000000"/>
              </w:rPr>
            </w:pPr>
            <w:r>
              <w:rPr>
                <w:rFonts w:ascii="Arial" w:eastAsia="Arial" w:hAnsi="Arial" w:cs="Arial"/>
                <w:color w:val="000000"/>
              </w:rPr>
              <w:t>Non-biofilm former</w:t>
            </w:r>
          </w:p>
        </w:tc>
      </w:tr>
      <w:tr w:rsidR="006527D6" w14:paraId="4207D80D" w14:textId="77777777" w:rsidTr="005929B2">
        <w:trPr>
          <w:trHeight w:val="290"/>
          <w:jc w:val="center"/>
        </w:trPr>
        <w:tc>
          <w:tcPr>
            <w:tcW w:w="2180" w:type="dxa"/>
            <w:vAlign w:val="bottom"/>
          </w:tcPr>
          <w:p w14:paraId="4B96E41E" w14:textId="77777777" w:rsidR="006527D6" w:rsidRDefault="006527D6" w:rsidP="006527D6">
            <w:pPr>
              <w:rPr>
                <w:rFonts w:ascii="Arial" w:eastAsia="Arial" w:hAnsi="Arial" w:cs="Arial"/>
                <w:color w:val="000000"/>
              </w:rPr>
            </w:pPr>
            <w:r>
              <w:rPr>
                <w:rFonts w:ascii="Arial" w:eastAsia="Arial" w:hAnsi="Arial" w:cs="Arial"/>
                <w:color w:val="000000"/>
              </w:rPr>
              <w:t>PM-MAL-2024-03</w:t>
            </w:r>
          </w:p>
        </w:tc>
        <w:tc>
          <w:tcPr>
            <w:tcW w:w="1538" w:type="dxa"/>
            <w:vAlign w:val="bottom"/>
          </w:tcPr>
          <w:p w14:paraId="76BA37E6" w14:textId="77777777" w:rsidR="006527D6" w:rsidRDefault="006527D6" w:rsidP="006527D6">
            <w:pPr>
              <w:ind w:right="401"/>
              <w:rPr>
                <w:rFonts w:ascii="Arial" w:eastAsia="Arial" w:hAnsi="Arial" w:cs="Arial"/>
                <w:color w:val="000000"/>
              </w:rPr>
            </w:pPr>
            <w:r>
              <w:rPr>
                <w:rFonts w:ascii="Arial" w:eastAsia="Arial" w:hAnsi="Arial" w:cs="Arial"/>
                <w:color w:val="000000"/>
              </w:rPr>
              <w:t>0.59</w:t>
            </w:r>
          </w:p>
        </w:tc>
        <w:tc>
          <w:tcPr>
            <w:tcW w:w="2693" w:type="dxa"/>
            <w:vAlign w:val="bottom"/>
          </w:tcPr>
          <w:p w14:paraId="60FF6D10" w14:textId="77777777" w:rsidR="006527D6" w:rsidRDefault="006527D6" w:rsidP="006527D6">
            <w:pPr>
              <w:rPr>
                <w:rFonts w:ascii="Arial" w:eastAsia="Arial" w:hAnsi="Arial" w:cs="Arial"/>
                <w:color w:val="000000"/>
              </w:rPr>
            </w:pPr>
            <w:r w:rsidRPr="00FB1B9A">
              <w:rPr>
                <w:rFonts w:ascii="Arial" w:eastAsia="Arial" w:hAnsi="Arial" w:cs="Arial"/>
                <w:color w:val="000000"/>
              </w:rPr>
              <w:t>Non-biofilm former</w:t>
            </w:r>
          </w:p>
        </w:tc>
      </w:tr>
      <w:tr w:rsidR="006527D6" w14:paraId="0C40A517" w14:textId="77777777" w:rsidTr="005929B2">
        <w:trPr>
          <w:trHeight w:val="290"/>
          <w:jc w:val="center"/>
        </w:trPr>
        <w:tc>
          <w:tcPr>
            <w:tcW w:w="2180" w:type="dxa"/>
            <w:vAlign w:val="bottom"/>
          </w:tcPr>
          <w:p w14:paraId="41F85160" w14:textId="77777777" w:rsidR="006527D6" w:rsidRDefault="006527D6" w:rsidP="006527D6">
            <w:pPr>
              <w:rPr>
                <w:rFonts w:ascii="Arial" w:eastAsia="Arial" w:hAnsi="Arial" w:cs="Arial"/>
                <w:color w:val="000000"/>
              </w:rPr>
            </w:pPr>
            <w:r>
              <w:rPr>
                <w:rFonts w:ascii="Arial" w:eastAsia="Arial" w:hAnsi="Arial" w:cs="Arial"/>
                <w:color w:val="000000"/>
              </w:rPr>
              <w:t>PM-MAL-2024-02</w:t>
            </w:r>
          </w:p>
        </w:tc>
        <w:tc>
          <w:tcPr>
            <w:tcW w:w="1538" w:type="dxa"/>
            <w:vAlign w:val="bottom"/>
          </w:tcPr>
          <w:p w14:paraId="6E56A3DE" w14:textId="77777777" w:rsidR="006527D6" w:rsidRDefault="006527D6" w:rsidP="006527D6">
            <w:pPr>
              <w:ind w:right="401"/>
              <w:rPr>
                <w:rFonts w:ascii="Arial" w:eastAsia="Arial" w:hAnsi="Arial" w:cs="Arial"/>
                <w:color w:val="000000"/>
              </w:rPr>
            </w:pPr>
            <w:r>
              <w:rPr>
                <w:rFonts w:ascii="Arial" w:eastAsia="Arial" w:hAnsi="Arial" w:cs="Arial"/>
                <w:color w:val="000000"/>
              </w:rPr>
              <w:t>0.78</w:t>
            </w:r>
          </w:p>
        </w:tc>
        <w:tc>
          <w:tcPr>
            <w:tcW w:w="2693" w:type="dxa"/>
            <w:vAlign w:val="bottom"/>
          </w:tcPr>
          <w:p w14:paraId="0CD96D3E" w14:textId="77777777" w:rsidR="006527D6" w:rsidRPr="00FB1B9A" w:rsidRDefault="006527D6" w:rsidP="006527D6">
            <w:pPr>
              <w:rPr>
                <w:rFonts w:ascii="Arial" w:eastAsia="Arial" w:hAnsi="Arial" w:cs="Arial"/>
                <w:color w:val="000000"/>
              </w:rPr>
            </w:pPr>
            <w:r>
              <w:rPr>
                <w:rFonts w:ascii="Arial" w:eastAsia="Arial" w:hAnsi="Arial" w:cs="Arial"/>
                <w:color w:val="000000"/>
              </w:rPr>
              <w:t>Weak biofilm former</w:t>
            </w:r>
          </w:p>
        </w:tc>
      </w:tr>
      <w:tr w:rsidR="006527D6" w14:paraId="5BEEBF11" w14:textId="77777777" w:rsidTr="005929B2">
        <w:trPr>
          <w:trHeight w:val="290"/>
          <w:jc w:val="center"/>
        </w:trPr>
        <w:tc>
          <w:tcPr>
            <w:tcW w:w="2180" w:type="dxa"/>
            <w:vAlign w:val="bottom"/>
          </w:tcPr>
          <w:p w14:paraId="270A145C" w14:textId="77777777" w:rsidR="006527D6" w:rsidRDefault="006527D6" w:rsidP="006527D6">
            <w:pPr>
              <w:rPr>
                <w:rFonts w:ascii="Arial" w:eastAsia="Arial" w:hAnsi="Arial" w:cs="Arial"/>
                <w:color w:val="000000"/>
              </w:rPr>
            </w:pPr>
            <w:r>
              <w:rPr>
                <w:rFonts w:ascii="Arial" w:eastAsia="Arial" w:hAnsi="Arial" w:cs="Arial"/>
                <w:color w:val="000000"/>
              </w:rPr>
              <w:t>PM-MAL-2024-09</w:t>
            </w:r>
          </w:p>
        </w:tc>
        <w:tc>
          <w:tcPr>
            <w:tcW w:w="1538" w:type="dxa"/>
            <w:vAlign w:val="bottom"/>
          </w:tcPr>
          <w:p w14:paraId="48BBDF51" w14:textId="77777777" w:rsidR="006527D6" w:rsidRDefault="006527D6" w:rsidP="006527D6">
            <w:pPr>
              <w:ind w:right="401"/>
              <w:rPr>
                <w:rFonts w:ascii="Arial" w:eastAsia="Arial" w:hAnsi="Arial" w:cs="Arial"/>
                <w:color w:val="000000"/>
              </w:rPr>
            </w:pPr>
            <w:r>
              <w:rPr>
                <w:rFonts w:ascii="Arial" w:eastAsia="Arial" w:hAnsi="Arial" w:cs="Arial"/>
                <w:color w:val="000000"/>
              </w:rPr>
              <w:t>0.843</w:t>
            </w:r>
          </w:p>
        </w:tc>
        <w:tc>
          <w:tcPr>
            <w:tcW w:w="2693" w:type="dxa"/>
            <w:vAlign w:val="bottom"/>
          </w:tcPr>
          <w:p w14:paraId="6A7314B8" w14:textId="77777777" w:rsidR="006527D6" w:rsidRDefault="006527D6" w:rsidP="006527D6">
            <w:pPr>
              <w:rPr>
                <w:rFonts w:ascii="Arial" w:eastAsia="Arial" w:hAnsi="Arial" w:cs="Arial"/>
                <w:color w:val="000000"/>
              </w:rPr>
            </w:pPr>
            <w:r>
              <w:rPr>
                <w:rFonts w:ascii="Arial" w:eastAsia="Arial" w:hAnsi="Arial" w:cs="Arial"/>
                <w:color w:val="000000"/>
              </w:rPr>
              <w:t>Weak biofilm former</w:t>
            </w:r>
          </w:p>
        </w:tc>
      </w:tr>
      <w:tr w:rsidR="006527D6" w14:paraId="054D5D4A" w14:textId="77777777" w:rsidTr="005929B2">
        <w:trPr>
          <w:trHeight w:val="290"/>
          <w:jc w:val="center"/>
        </w:trPr>
        <w:tc>
          <w:tcPr>
            <w:tcW w:w="2180" w:type="dxa"/>
            <w:vAlign w:val="bottom"/>
          </w:tcPr>
          <w:p w14:paraId="7124E26A" w14:textId="77777777" w:rsidR="006527D6" w:rsidRDefault="006527D6" w:rsidP="006527D6">
            <w:pPr>
              <w:rPr>
                <w:rFonts w:ascii="Arial" w:eastAsia="Arial" w:hAnsi="Arial" w:cs="Arial"/>
                <w:color w:val="000000"/>
              </w:rPr>
            </w:pPr>
            <w:r>
              <w:rPr>
                <w:rFonts w:ascii="Arial" w:eastAsia="Arial" w:hAnsi="Arial" w:cs="Arial"/>
                <w:color w:val="000000"/>
              </w:rPr>
              <w:t>PM-MAL-2024-05</w:t>
            </w:r>
          </w:p>
        </w:tc>
        <w:tc>
          <w:tcPr>
            <w:tcW w:w="1538" w:type="dxa"/>
            <w:vAlign w:val="bottom"/>
          </w:tcPr>
          <w:p w14:paraId="2F0EE449" w14:textId="77777777" w:rsidR="006527D6" w:rsidRDefault="006527D6" w:rsidP="006527D6">
            <w:pPr>
              <w:ind w:right="401"/>
              <w:rPr>
                <w:rFonts w:ascii="Arial" w:eastAsia="Arial" w:hAnsi="Arial" w:cs="Arial"/>
                <w:color w:val="000000"/>
              </w:rPr>
            </w:pPr>
            <w:r>
              <w:rPr>
                <w:rFonts w:ascii="Arial" w:eastAsia="Arial" w:hAnsi="Arial" w:cs="Arial"/>
                <w:color w:val="000000"/>
              </w:rPr>
              <w:t>1.759</w:t>
            </w:r>
          </w:p>
        </w:tc>
        <w:tc>
          <w:tcPr>
            <w:tcW w:w="2693" w:type="dxa"/>
            <w:vAlign w:val="bottom"/>
          </w:tcPr>
          <w:p w14:paraId="69588E06" w14:textId="77777777" w:rsidR="006527D6" w:rsidRDefault="006527D6" w:rsidP="006527D6">
            <w:pPr>
              <w:rPr>
                <w:rFonts w:ascii="Arial" w:eastAsia="Arial" w:hAnsi="Arial" w:cs="Arial"/>
                <w:color w:val="000000"/>
              </w:rPr>
            </w:pPr>
            <w:r>
              <w:rPr>
                <w:rFonts w:ascii="Arial" w:eastAsia="Arial" w:hAnsi="Arial" w:cs="Arial"/>
                <w:color w:val="000000"/>
              </w:rPr>
              <w:t>Moderate biofilm former</w:t>
            </w:r>
          </w:p>
        </w:tc>
      </w:tr>
      <w:tr w:rsidR="006527D6" w14:paraId="50252692" w14:textId="77777777" w:rsidTr="005929B2">
        <w:trPr>
          <w:trHeight w:val="290"/>
          <w:jc w:val="center"/>
        </w:trPr>
        <w:tc>
          <w:tcPr>
            <w:tcW w:w="2180" w:type="dxa"/>
            <w:vAlign w:val="bottom"/>
          </w:tcPr>
          <w:p w14:paraId="0400A2F3" w14:textId="77777777" w:rsidR="006527D6" w:rsidRDefault="006527D6" w:rsidP="006527D6">
            <w:pPr>
              <w:rPr>
                <w:rFonts w:ascii="Arial" w:eastAsia="Arial" w:hAnsi="Arial" w:cs="Arial"/>
                <w:color w:val="000000"/>
              </w:rPr>
            </w:pPr>
            <w:r>
              <w:rPr>
                <w:rFonts w:ascii="Arial" w:eastAsia="Arial" w:hAnsi="Arial" w:cs="Arial"/>
                <w:color w:val="000000"/>
              </w:rPr>
              <w:t>PM-MAL-2024-07</w:t>
            </w:r>
          </w:p>
        </w:tc>
        <w:tc>
          <w:tcPr>
            <w:tcW w:w="1538" w:type="dxa"/>
            <w:vAlign w:val="bottom"/>
          </w:tcPr>
          <w:p w14:paraId="2777E732" w14:textId="77777777" w:rsidR="006527D6" w:rsidRDefault="006527D6" w:rsidP="006527D6">
            <w:pPr>
              <w:ind w:right="401"/>
              <w:rPr>
                <w:rFonts w:ascii="Arial" w:eastAsia="Arial" w:hAnsi="Arial" w:cs="Arial"/>
                <w:color w:val="000000"/>
              </w:rPr>
            </w:pPr>
            <w:r>
              <w:rPr>
                <w:rFonts w:ascii="Arial" w:eastAsia="Arial" w:hAnsi="Arial" w:cs="Arial"/>
                <w:color w:val="000000"/>
              </w:rPr>
              <w:t>1.762</w:t>
            </w:r>
          </w:p>
        </w:tc>
        <w:tc>
          <w:tcPr>
            <w:tcW w:w="2693" w:type="dxa"/>
            <w:vAlign w:val="bottom"/>
          </w:tcPr>
          <w:p w14:paraId="3DED355E" w14:textId="77777777" w:rsidR="006527D6" w:rsidRDefault="006527D6" w:rsidP="006527D6">
            <w:pPr>
              <w:rPr>
                <w:rFonts w:ascii="Arial" w:eastAsia="Arial" w:hAnsi="Arial" w:cs="Arial"/>
                <w:color w:val="000000"/>
              </w:rPr>
            </w:pPr>
            <w:r>
              <w:rPr>
                <w:rFonts w:ascii="Arial" w:eastAsia="Arial" w:hAnsi="Arial" w:cs="Arial"/>
                <w:color w:val="000000"/>
              </w:rPr>
              <w:t>Moderate biofilm former</w:t>
            </w:r>
          </w:p>
        </w:tc>
      </w:tr>
      <w:tr w:rsidR="006527D6" w14:paraId="423227F5" w14:textId="77777777" w:rsidTr="005929B2">
        <w:trPr>
          <w:trHeight w:val="290"/>
          <w:jc w:val="center"/>
        </w:trPr>
        <w:tc>
          <w:tcPr>
            <w:tcW w:w="2180" w:type="dxa"/>
            <w:tcBorders>
              <w:bottom w:val="single" w:sz="4" w:space="0" w:color="auto"/>
            </w:tcBorders>
            <w:vAlign w:val="bottom"/>
          </w:tcPr>
          <w:p w14:paraId="3C459D8F" w14:textId="77777777" w:rsidR="006527D6" w:rsidRDefault="006527D6" w:rsidP="006527D6">
            <w:pPr>
              <w:rPr>
                <w:rFonts w:ascii="Arial" w:eastAsia="Arial" w:hAnsi="Arial" w:cs="Arial"/>
                <w:color w:val="000000"/>
              </w:rPr>
            </w:pPr>
            <w:r>
              <w:rPr>
                <w:rFonts w:ascii="Arial" w:eastAsia="Arial" w:hAnsi="Arial" w:cs="Arial"/>
                <w:color w:val="000000"/>
              </w:rPr>
              <w:t>PM-MAL-2024-04</w:t>
            </w:r>
          </w:p>
        </w:tc>
        <w:tc>
          <w:tcPr>
            <w:tcW w:w="1538" w:type="dxa"/>
            <w:tcBorders>
              <w:bottom w:val="single" w:sz="4" w:space="0" w:color="auto"/>
            </w:tcBorders>
            <w:vAlign w:val="bottom"/>
          </w:tcPr>
          <w:p w14:paraId="55BA4DB7" w14:textId="77777777" w:rsidR="006527D6" w:rsidRDefault="006527D6" w:rsidP="006527D6">
            <w:pPr>
              <w:ind w:right="401"/>
              <w:rPr>
                <w:rFonts w:ascii="Arial" w:eastAsia="Arial" w:hAnsi="Arial" w:cs="Arial"/>
                <w:color w:val="000000"/>
              </w:rPr>
            </w:pPr>
            <w:r>
              <w:rPr>
                <w:rFonts w:ascii="Arial" w:eastAsia="Arial" w:hAnsi="Arial" w:cs="Arial"/>
                <w:color w:val="000000"/>
              </w:rPr>
              <w:t>2.047</w:t>
            </w:r>
          </w:p>
        </w:tc>
        <w:tc>
          <w:tcPr>
            <w:tcW w:w="2693" w:type="dxa"/>
            <w:tcBorders>
              <w:bottom w:val="single" w:sz="4" w:space="0" w:color="auto"/>
            </w:tcBorders>
            <w:vAlign w:val="bottom"/>
          </w:tcPr>
          <w:p w14:paraId="67444C5B" w14:textId="77777777" w:rsidR="006527D6" w:rsidRDefault="006527D6" w:rsidP="006527D6">
            <w:pPr>
              <w:rPr>
                <w:rFonts w:ascii="Arial" w:eastAsia="Arial" w:hAnsi="Arial" w:cs="Arial"/>
                <w:color w:val="000000"/>
              </w:rPr>
            </w:pPr>
            <w:r>
              <w:rPr>
                <w:rFonts w:ascii="Arial" w:eastAsia="Arial" w:hAnsi="Arial" w:cs="Arial"/>
                <w:color w:val="000000"/>
              </w:rPr>
              <w:t>Moderate biofilm former</w:t>
            </w:r>
          </w:p>
        </w:tc>
      </w:tr>
    </w:tbl>
    <w:p w14:paraId="0D9DF035" w14:textId="77777777" w:rsidR="006527D6" w:rsidRDefault="006527D6" w:rsidP="00825FD9">
      <w:pPr>
        <w:pBdr>
          <w:top w:val="nil"/>
          <w:left w:val="nil"/>
          <w:bottom w:val="nil"/>
          <w:right w:val="nil"/>
          <w:between w:val="nil"/>
        </w:pBdr>
        <w:jc w:val="both"/>
        <w:rPr>
          <w:rFonts w:ascii="Arial" w:eastAsia="Arial" w:hAnsi="Arial" w:cs="Arial"/>
          <w:color w:val="000000"/>
        </w:rPr>
      </w:pPr>
    </w:p>
    <w:p w14:paraId="5A269119" w14:textId="3A2C551E" w:rsidR="00D20FBD" w:rsidRPr="00D20FBD" w:rsidRDefault="00D20FBD" w:rsidP="00D20FBD">
      <w:pPr>
        <w:pBdr>
          <w:top w:val="nil"/>
          <w:left w:val="nil"/>
          <w:bottom w:val="nil"/>
          <w:right w:val="nil"/>
          <w:between w:val="nil"/>
        </w:pBdr>
        <w:jc w:val="both"/>
        <w:rPr>
          <w:rFonts w:ascii="Arial" w:eastAsia="Arial" w:hAnsi="Arial" w:cs="Arial"/>
          <w:color w:val="000000"/>
          <w:lang w:val="en-US"/>
        </w:rPr>
      </w:pPr>
      <w:r w:rsidRPr="00D20FBD">
        <w:rPr>
          <w:rFonts w:ascii="Arial" w:eastAsia="Arial" w:hAnsi="Arial" w:cs="Arial"/>
          <w:color w:val="000000"/>
          <w:lang w:val="en-US"/>
        </w:rPr>
        <w:t>The absence of strong biofilm-forming isolates contrasts with findings reported by Mushtaq et al. (2023) from healthy bovines, where 11.84% of isolates showed strong biofilm formation capabilities. This variation could result from interspecies differences, geographic location, or environmental stressors influencing the expression of biofilm-associated genes</w:t>
      </w:r>
      <w:r>
        <w:rPr>
          <w:rFonts w:ascii="Arial" w:eastAsia="Arial" w:hAnsi="Arial" w:cs="Arial"/>
          <w:color w:val="000000"/>
          <w:lang w:val="en-US"/>
        </w:rPr>
        <w:t xml:space="preserve">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{"citationID":"3t1EQMG4","properties":{"formattedCitation":"(Emery et al., 2017)","plainCitation":"(Emery et al., 2017)","noteIndex":0},"citationItems":[{"id":185,"uris":["http://zotero.org/users/6623259/items/AGX5AVJ3"],"itemData":{"id":185,"type":"article-journal","abstract":"ABSTRACT: Pasteurella multocida is a Gram-negative bacillus that causes economic losses due to the development of respiratory diseases in several animal species. Among the mechanisms of virulence, the formation of biofilms is an important factor for bacterial survival in hostile environments. Studies of biofilm formation by P. multocida are needed because P. multocida is an important pathogen involved in respiratory infections. However, in contrast to other microorganisms, few studies of biofilm formation have examined P. multocida. Studies comparing the pathogenicity of microbial strains as a function of their biofilm production capacity are also rare. Consequently, the aim of this study was to evaluate the biofilm formation capacity of 94 P. multocida strains isolated from cases of fowl cholera and from swine lungs on polystyrene plates. The associations of the biofilm formation capacity with the pathogenicity index (PI) in vivo and with the presence of four genes (screened by PCR) of the tad locus (tadB, tadD, tadE and tadG), described as adhesion markers, were also determined. Strains from both animal origins were able to form biofilms. However, most of the specimens (52.13%) were classified as weak producers, and more than 40% of the strains of P. multocida (40.42%) did not produce biofilms. There was no significant difference (p&gt;0.05) in the degree of biofilm production between the two sources of isolation. Of the analyzed strains, 56.52% contained all four genes (tadB, tadD, tadE and tadG). The PI arithmetic mean of the strains classified as non-biofilm producers was significantly different (p&lt;0.05) from the PI of moderate-producer strains. The PI of specimens classified as weak biofilm producers also differed significantly (p&lt;0.05) from that of the moderate-producer strains. The results indicate that even though the P. multocida strains isolated from cases of fowl cholera and swine lungs formed biofilms on polystyrene surfaces, adhesion was usually weak. The genes tadB, tadD, tadE and tadG were not significantly associated (p&gt;0.05) with the production of biofilms and with the origin of a given strain. Finally, low virulence strains may suggest a higher biofilm formation capacity on polystyrene plates.\n          , \n            RESUMO: Pasteurella multocida é um bacilo Gram negativo que ocasiona perdas econômicas, geralmente associadas a doenças respiratórias em diversas espécies animais. Entre os mecanismos de virulência existentes, a formação de biofilmes demonstra ser um importante fator para a proteção e para a sobrevivência bacteriana em ambientes hostis. Estudos relacionados à formação de biofilmes por P. multocida são necessários, uma vez que este é um importante patógeno envolvido em infecções respiratórias. Entretanto, ainda são poucos os estudos desenvolvidos nesta área, quando comparados com aqueles envolvendo outros microrganismos. Também são os raros os estudos que comparam a patogenicidade das cepas com a sua capacidade de produção de biofilme. Neste contexto, o objetivo deste estudo foi avaliar a capacidade de formação de biofilme em placas de poliestireno de 94 cepas de P. multocida isoladas de casos de cólera aviária e de pulmões de suínos, associando-se com o índice de patogenicidade (IP) in vivo e com a presença de quatro genes do locus tad (tadB, tadD, tadE e tadG), descritos como marcadores de adesão e pesquisados através de PCR. As cepas de ambas as origens foram capazes de formar biofilme. Contudo, a maioria dos exemplares (52,12%) foi classificada como fracamente produtora e mais de 40% das cepas de P. multocida (40,42%) não produziram biofilme. Não foi observada diferença estatística (p&gt;0,05) quanto ao grau de produção de biofilme entre as duas origens de isolamento. 56,52% das cepas analisadas apresentaram os quatro genes (tadB, tadD, tadE e tadG) concomitantemente. O IP médio das cepas classificadas como não produtoras de biofilme apresentou diferença estatística (p˂0,05) em relação ao IP das cepas moderadamente produtoras. Os exemplares classificados como fracamente produtores de biofilme diferiram significativamente (p˂0,05) do grupo de cepas moderadamente produtoras. Os resultados obtidos indicaram que, apesar de as cepas de P. multocida isoladas de casos de cólera aviária e do pulmão de suínos apresentarem capacidade de formar biofilme em superfícies de poliestireno, a adesão ocorreu geralmente de forma fraca. Os genes tadB, tadD, tadE e tadG, pertencentes ao locus tad, não apresentaram associação significativa com a produção de biofilme e nem com a origem de isolamento da cepa. Por fim, observou-se que as cepas de menor patogenicidade apresentaram uma maior capacidade de formação de biofilme em placas de poliestireno.","container-title":"Pesquisa Veterinária Brasileira","DOI":"10.1590/s0100-736x2017001000001","ISSN":"1678-5150, 0100-736X","issue":"10","journalAbbreviation":"Pesq. Vet. Bras.","page":"1041-1048","source":"DOI.org (Crossref)","title":"Evaluation of the biofilm formation capacity of Pasteurella multocida strains isolated from cases of fowl cholera and swine lungs and its relationship with pathogenicity","volume":"37","author":[{"family":"Emery","given":"Brunna D. De"},{"family":"Furian","given":"Thales Q."},{"family":"Pilatti","given":"Roberta M."},{"family":"Chitolina","given":"Gabriela Z."},{"family":"Borges","given":"Karen A."},{"family":"Salle","given":"Carlos T.P."},{"family":"Moraes","given":"Hamilton L.S."}],"issued":{"date-parts":[["2017",10]]}}}],"schema":"https://github.com/citation-style-language/schema/raw/master/csl-citation.json"} </w:instrText>
      </w:r>
      <w:r>
        <w:rPr>
          <w:rFonts w:ascii="Arial" w:eastAsia="Arial" w:hAnsi="Arial" w:cs="Arial"/>
          <w:color w:val="000000"/>
          <w:lang w:val="en-US"/>
        </w:rPr>
        <w:fldChar w:fldCharType="separate"/>
      </w:r>
      <w:r w:rsidRPr="00D20FBD">
        <w:rPr>
          <w:rFonts w:ascii="Arial" w:hAnsi="Arial" w:cs="Arial"/>
        </w:rPr>
        <w:t>(Emery et al., 2017)</w:t>
      </w:r>
      <w:r>
        <w:rPr>
          <w:rFonts w:ascii="Arial" w:eastAsia="Arial" w:hAnsi="Arial" w:cs="Arial"/>
          <w:color w:val="000000"/>
          <w:lang w:val="en-US"/>
        </w:rPr>
        <w:fldChar w:fldCharType="end"/>
      </w:r>
      <w:r w:rsidRPr="00D20FBD">
        <w:rPr>
          <w:rFonts w:ascii="Arial" w:eastAsia="Arial" w:hAnsi="Arial" w:cs="Arial"/>
          <w:color w:val="000000"/>
          <w:lang w:val="en-US"/>
        </w:rPr>
        <w:t xml:space="preserve">. Furthermore, Emery et al. (2017) reported a predominance of weak to moderate biofilm formation among </w:t>
      </w:r>
      <w:r w:rsidRPr="00D20FBD">
        <w:rPr>
          <w:rFonts w:ascii="Arial" w:eastAsia="Arial" w:hAnsi="Arial" w:cs="Arial"/>
          <w:i/>
          <w:iCs/>
          <w:color w:val="000000"/>
          <w:lang w:val="en-US"/>
        </w:rPr>
        <w:t xml:space="preserve">P. </w:t>
      </w:r>
      <w:proofErr w:type="spellStart"/>
      <w:r w:rsidRPr="00D20FBD">
        <w:rPr>
          <w:rFonts w:ascii="Arial" w:eastAsia="Arial" w:hAnsi="Arial" w:cs="Arial"/>
          <w:i/>
          <w:iCs/>
          <w:color w:val="000000"/>
          <w:lang w:val="en-US"/>
        </w:rPr>
        <w:t>multocida</w:t>
      </w:r>
      <w:proofErr w:type="spellEnd"/>
      <w:r w:rsidRPr="00D20FBD">
        <w:rPr>
          <w:rFonts w:ascii="Arial" w:eastAsia="Arial" w:hAnsi="Arial" w:cs="Arial"/>
          <w:color w:val="000000"/>
          <w:lang w:val="en-US"/>
        </w:rPr>
        <w:t xml:space="preserve"> isolates from poultry and swine, mirroring our observations and suggesting that moderate biofilm production is a common phenotype within this bacterial species.</w:t>
      </w:r>
    </w:p>
    <w:p w14:paraId="09E96BAD" w14:textId="77777777" w:rsidR="00D20FBD" w:rsidRPr="00825FD9" w:rsidRDefault="00D20FBD" w:rsidP="00825FD9">
      <w:pPr>
        <w:pBdr>
          <w:top w:val="nil"/>
          <w:left w:val="nil"/>
          <w:bottom w:val="nil"/>
          <w:right w:val="nil"/>
          <w:between w:val="nil"/>
        </w:pBdr>
        <w:jc w:val="both"/>
        <w:rPr>
          <w:rFonts w:ascii="Arial" w:eastAsia="Arial" w:hAnsi="Arial" w:cs="Arial"/>
          <w:color w:val="000000"/>
        </w:rPr>
      </w:pPr>
    </w:p>
    <w:p w14:paraId="4359BF91" w14:textId="6E7F018C" w:rsidR="00F34C30" w:rsidRDefault="00F34C30" w:rsidP="00825FD9">
      <w:pPr>
        <w:pBdr>
          <w:top w:val="nil"/>
          <w:left w:val="nil"/>
          <w:bottom w:val="nil"/>
          <w:right w:val="nil"/>
          <w:between w:val="nil"/>
        </w:pBdr>
        <w:jc w:val="both"/>
        <w:rPr>
          <w:rFonts w:ascii="Arial" w:eastAsia="Arial" w:hAnsi="Arial" w:cs="Arial"/>
          <w:color w:val="000000"/>
        </w:rPr>
      </w:pPr>
      <w:r w:rsidRPr="00F34C30">
        <w:rPr>
          <w:rFonts w:ascii="Arial" w:eastAsia="Arial" w:hAnsi="Arial" w:cs="Arial"/>
          <w:color w:val="000000"/>
        </w:rPr>
        <w:t xml:space="preserve">In general, biofilm formation by </w:t>
      </w:r>
      <w:r w:rsidRPr="00F34C30">
        <w:rPr>
          <w:rFonts w:ascii="Arial" w:eastAsia="Arial" w:hAnsi="Arial" w:cs="Arial"/>
          <w:i/>
          <w:iCs/>
          <w:color w:val="000000"/>
        </w:rPr>
        <w:t xml:space="preserve">P. </w:t>
      </w:r>
      <w:proofErr w:type="spellStart"/>
      <w:r w:rsidRPr="00F34C30">
        <w:rPr>
          <w:rFonts w:ascii="Arial" w:eastAsia="Arial" w:hAnsi="Arial" w:cs="Arial"/>
          <w:i/>
          <w:iCs/>
          <w:color w:val="000000"/>
        </w:rPr>
        <w:t>multocida</w:t>
      </w:r>
      <w:proofErr w:type="spellEnd"/>
      <w:r w:rsidRPr="00F34C30">
        <w:rPr>
          <w:rFonts w:ascii="Arial" w:eastAsia="Arial" w:hAnsi="Arial" w:cs="Arial"/>
          <w:color w:val="000000"/>
        </w:rPr>
        <w:t xml:space="preserve"> is an adaptive mechanism that provides an advantage for bacterial survival in unfavorable environments, such as exposure to antibiotics or the host's immune response. This biofilm can protect the bacterial community by forming a protective layer of extracellular polysaccharide material that prevents drug penetration and phagocytosis by immune cells</w:t>
      </w:r>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{"citationID":"hMSS07ks","properties":{"formattedCitation":"(Costerton et al., 1999)","plainCitation":"(Costerton et al., 1999)","noteIndex":0},"citationItems":[{"id":166,"uris":["http://zotero.org/users/6623259/items/TWI9TZWH"],"itemData":{"id":166,"type":"article-journal","abstract":"Bacteria that attach to surfaces aggregate in a hydrated polymeric matrix of their own synthesis to form biofilms. Formation of these sessile communities and their inherent resistance to antimicrobial agents are at the root of many persistent and chronic bacterial infections. Studies of biofilms have revealed differentiated, structured groups of cells with community properties. Recent advances in our understanding of the genetic and molecular basis of bacterial community behavior point to therapeutic targets that may provide a means for the control of biofilm infections.","container-title":"Science","DOI":"10.1126/science.284.5418.1318","ISSN":"0036-8075, 1095-9203","issue":"5418","journalAbbreviation":"Science","language":"en","page":"1318-1322","source":"DOI.org (Crossref)","title":"Bacterial Biofilms: A Common Cause of Persistent Infections","title-short":"Bacterial Biofilms","volume":"284","author":[{"family":"Costerton","given":"J. W."},{"family":"Stewart","given":"Philip S."},{"family":"Greenberg","given":"E. P."}],"issued":{"date-parts":[["1999",5,21]]}}}],"schema":"https://github.com/citation-style-language/schema/raw/master/csl-citation.json"} </w:instrText>
      </w:r>
      <w:r>
        <w:rPr>
          <w:rFonts w:ascii="Arial" w:eastAsia="Arial" w:hAnsi="Arial" w:cs="Arial"/>
          <w:color w:val="000000"/>
        </w:rPr>
        <w:fldChar w:fldCharType="separate"/>
      </w:r>
      <w:r w:rsidRPr="00F34C30">
        <w:rPr>
          <w:rFonts w:ascii="Arial" w:hAnsi="Arial" w:cs="Arial"/>
        </w:rPr>
        <w:t>(Costerton et al., 1999)</w:t>
      </w:r>
      <w:r>
        <w:rPr>
          <w:rFonts w:ascii="Arial" w:eastAsia="Arial" w:hAnsi="Arial" w:cs="Arial"/>
          <w:color w:val="000000"/>
        </w:rPr>
        <w:fldChar w:fldCharType="end"/>
      </w:r>
      <w:r w:rsidRPr="00F34C30">
        <w:rPr>
          <w:rFonts w:ascii="Arial" w:eastAsia="Arial" w:hAnsi="Arial" w:cs="Arial"/>
          <w:color w:val="000000"/>
        </w:rPr>
        <w:t xml:space="preserve">. In the context of respiratory infections, biofilm formation can strengthen chronic colonization on mucosal surfaces and increase pathogenic potential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{"citationID":"N27v5rQj","properties":{"formattedCitation":"(Duquesne et al., 2017)","plainCitation":"(Duquesne et al., 2017)","noteIndex":0},"citationItems":[{"id":168,"uris":["http://zotero.org/users/6623259/items/PGHQVG4I"],"itemData":{"id":168,"type":"article-journal","container-title":"Veterinary Microbiology","DOI":"10.1016/j.vetmic.2017.08.010","ISSN":"03781135","journalAbbreviation":"Veterinary Microbiology","language":"en","page":"64-70","source":"DOI.org (Crossref)","title":"Development of a multilocus sequence typing scheme for Rhodococcus equi","volume":"210","author":[{"family":"Duquesne","given":"Fabien"},{"family":"Houssin","given":"Emilie"},{"family":"Sévin","given":"Corinne"},{"family":"Duytschaever","given":"Lucille"},{"family":"Tapprest","given":"Jackie"},{"family":"Fretin","given":"David"},{"family":"Hébert","given":"Laurent"},{"family":"Laugier","given":"Claire"},{"family":"Petry","given":"Sandrine"}],"issued":{"date-parts":[["2017",10]]}}}],"schema":"https://github.com/citation-style-language/schema/raw/master/csl-citation.json"} </w:instrText>
      </w:r>
      <w:r>
        <w:rPr>
          <w:rFonts w:ascii="Arial" w:eastAsia="Arial" w:hAnsi="Arial" w:cs="Arial"/>
          <w:color w:val="000000"/>
        </w:rPr>
        <w:fldChar w:fldCharType="separate"/>
      </w:r>
      <w:r w:rsidRPr="00F34C30">
        <w:rPr>
          <w:rFonts w:ascii="Arial" w:hAnsi="Arial" w:cs="Arial"/>
        </w:rPr>
        <w:t>(Duquesne et al., 2017)</w:t>
      </w:r>
      <w:r>
        <w:rPr>
          <w:rFonts w:ascii="Arial" w:eastAsia="Arial" w:hAnsi="Arial" w:cs="Arial"/>
          <w:color w:val="000000"/>
        </w:rPr>
        <w:fldChar w:fldCharType="end"/>
      </w:r>
      <w:r w:rsidRPr="00F34C30">
        <w:rPr>
          <w:rFonts w:ascii="Arial" w:eastAsia="Arial" w:hAnsi="Arial" w:cs="Arial"/>
          <w:color w:val="000000"/>
        </w:rPr>
        <w:t>.</w:t>
      </w:r>
    </w:p>
    <w:p w14:paraId="33A28486" w14:textId="77777777" w:rsidR="00F11BA4" w:rsidRDefault="00F11BA4" w:rsidP="00825FD9">
      <w:pPr>
        <w:pBdr>
          <w:top w:val="nil"/>
          <w:left w:val="nil"/>
          <w:bottom w:val="nil"/>
          <w:right w:val="nil"/>
          <w:between w:val="nil"/>
        </w:pBdr>
        <w:jc w:val="both"/>
        <w:rPr>
          <w:rFonts w:ascii="Arial" w:eastAsia="Arial" w:hAnsi="Arial" w:cs="Arial"/>
          <w:color w:val="000000"/>
        </w:rPr>
      </w:pPr>
    </w:p>
    <w:p w14:paraId="636F46FB" w14:textId="3E36CD29" w:rsidR="002B1E4F" w:rsidRDefault="00D92F80" w:rsidP="00825FD9">
      <w:pPr>
        <w:pBdr>
          <w:top w:val="nil"/>
          <w:left w:val="nil"/>
          <w:bottom w:val="nil"/>
          <w:right w:val="nil"/>
          <w:between w:val="nil"/>
        </w:pBdr>
        <w:jc w:val="both"/>
        <w:rPr>
          <w:rFonts w:ascii="Arial" w:eastAsia="Arial" w:hAnsi="Arial" w:cs="Arial"/>
          <w:color w:val="000000"/>
        </w:rPr>
      </w:pPr>
      <w:r w:rsidRPr="00D92F80">
        <w:rPr>
          <w:rFonts w:ascii="Arial" w:eastAsia="Arial" w:hAnsi="Arial" w:cs="Arial"/>
          <w:color w:val="000000"/>
        </w:rPr>
        <w:t xml:space="preserve">Genetic and environmental factors that affect the expression of biofilm genes, including adhesin genes and outer membrane proteins, further support the intricacy of the link between biofilms and virulence.  Prior studies have demonstrated a strong correlation between the expression of specific genes and the development of biofilms as well as the severity of the ensuing illness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{"citationID":"YDbkj9vq","properties":{"formattedCitation":"(Wilson &amp; Ho, 2013)","plainCitation":"(Wilson &amp; Ho, 2013)","noteIndex":0},"citationItems":[{"id":169,"uris":["http://zotero.org/users/6623259/items/2V52SEWN"],"itemData":{"id":169,"type":"article-journal","abstract":"SUMMARY\n            \n              In a world where most emerging and reemerging infectious diseases are zoonotic in nature and our contacts with both domestic and wild animals abound, there is growing awareness of the potential for human acquisition of animal diseases. Like other\n              Pasteurellaceae\n              ,\n              Pasteurella\n              species are highly prevalent among animal populations, where they are often found as part of the normal microbiota of the oral, nasopharyngeal, and upper respiratory tracts. Many\n              Pasteurella\n              species are opportunistic pathogens that can cause endemic disease and are associated increasingly with epizootic outbreaks. Zoonotic transmission to humans usually occurs through animal bites or contact with nasal secretions, with\n              P. multocida\n              being the most prevalent isolate observed in human infections. Here we review recent comparative genomics and molecular pathogenesis studies that have advanced our understanding of the multiple virulence mechanisms employed by\n              Pasteurella\n              species to establish acute and chronic infections. We also summarize efforts being explored to enhance our ability to rapidly and accurately identify and distinguish among clinical isolates and to control pasteurellosis by improved development of new vaccines and treatment regimens.","container-title":"Clinical Microbiology Reviews","DOI":"10.1128/CMR.00024-13","ISSN":"0893-8512, 1098-6618","issue":"3","journalAbbreviation":"Clin Microbiol Rev","language":"en","page":"631-655","source":"DOI.org (Crossref)","title":"Pasteurella multocida: from Zoonosis to Cellular Microbiology","title-short":"Pasteurella multocida","volume":"26","author":[{"family":"Wilson","given":"Brenda A."},{"family":"Ho","given":"Mengfei"}],"issued":{"date-parts":[["2013",7]]}}}],"schema":"https://github.com/citation-style-language/schema/raw/master/csl-citation.json"} </w:instrText>
      </w:r>
      <w:r>
        <w:rPr>
          <w:rFonts w:ascii="Arial" w:eastAsia="Arial" w:hAnsi="Arial" w:cs="Arial"/>
          <w:color w:val="000000"/>
        </w:rPr>
        <w:fldChar w:fldCharType="separate"/>
      </w:r>
      <w:r w:rsidRPr="00D92F80">
        <w:rPr>
          <w:rFonts w:ascii="Arial" w:hAnsi="Arial" w:cs="Arial"/>
        </w:rPr>
        <w:t>(Wilson &amp; Ho, 2013)</w:t>
      </w:r>
      <w:r>
        <w:rPr>
          <w:rFonts w:ascii="Arial" w:eastAsia="Arial" w:hAnsi="Arial" w:cs="Arial"/>
          <w:color w:val="000000"/>
        </w:rPr>
        <w:fldChar w:fldCharType="end"/>
      </w:r>
      <w:r w:rsidRPr="00D92F80">
        <w:rPr>
          <w:rFonts w:ascii="Arial" w:eastAsia="Arial" w:hAnsi="Arial" w:cs="Arial"/>
          <w:color w:val="000000"/>
        </w:rPr>
        <w:t xml:space="preserve">.  Furthermore, there is an intriguing correlation between the development of the biofilm and the formation of capsules; as the biofilm grows, the </w:t>
      </w:r>
      <w:r w:rsidRPr="00D92F80">
        <w:rPr>
          <w:rFonts w:ascii="Arial" w:eastAsia="Arial" w:hAnsi="Arial" w:cs="Arial"/>
          <w:color w:val="000000"/>
        </w:rPr>
        <w:lastRenderedPageBreak/>
        <w:t xml:space="preserve">synthesis of capsules may decrease, which could impact the adhesive qualities and interactions with the host's immune system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{"citationID":"OJ5qUgAc","properties":{"formattedCitation":"(Prajapati et al., 2020)","plainCitation":"(Prajapati et al., 2020)","noteIndex":0},"citationItems":[{"id":173,"uris":["http://zotero.org/users/6623259/items/3FR6VKZL"],"itemData":{"id":173,"type":"article-journal","container-title":"Biofouling","DOI":"10.1080/08927014.2020.1833192","ISSN":"0892-7014, 1029-2454","issue":"8","journalAbbreviation":"Biofouling","language":"en","page":"938-950","source":"DOI.org (Crossref)","title":"Variability in &lt;i&gt;in vitro&lt;/i&gt; biofilm production and antimicrobial sensitivity pattern among &lt;i&gt;Pasteurella multocida&lt;/i&gt; strains","volume":"36","author":[{"family":"Prajapati","given":"Awadhesh"},{"family":"Chanda","given":"Mohammed Mudassar"},{"family":"Dhayalan","given":"Arul"},{"family":"Yogisharadhya","given":"Revanaiah"},{"family":"Chaudhary","given":"Jitendra Kumar"},{"family":"Mohanty","given":"Nihar Nalini"},{"family":"Shivachandra","given":"Sathish Bhadravati"}],"issued":{"date-parts":[["2020",9,13]]}}}],"schema":"https://github.com/citation-style-language/schema/raw/master/csl-citation.json"}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(Prajapati et al., 2020)</w:t>
      </w:r>
      <w:r w:rsidR="00F11BA4">
        <w:rPr>
          <w:rFonts w:ascii="Arial" w:eastAsia="Arial" w:hAnsi="Arial" w:cs="Arial"/>
          <w:color w:val="000000"/>
        </w:rPr>
        <w:fldChar w:fldCharType="end"/>
      </w:r>
      <w:r w:rsidRPr="00D92F80">
        <w:rPr>
          <w:rFonts w:ascii="Arial" w:eastAsia="Arial" w:hAnsi="Arial" w:cs="Arial"/>
          <w:color w:val="000000"/>
        </w:rPr>
        <w:t>.</w:t>
      </w:r>
    </w:p>
    <w:p w14:paraId="7B7ADFBD" w14:textId="77777777" w:rsidR="00D92F80" w:rsidRPr="00825FD9" w:rsidRDefault="00D92F80" w:rsidP="00825FD9">
      <w:pPr>
        <w:pBdr>
          <w:top w:val="nil"/>
          <w:left w:val="nil"/>
          <w:bottom w:val="nil"/>
          <w:right w:val="nil"/>
          <w:between w:val="nil"/>
        </w:pBdr>
        <w:jc w:val="both"/>
        <w:rPr>
          <w:rFonts w:ascii="Arial" w:eastAsia="Arial" w:hAnsi="Arial" w:cs="Arial"/>
          <w:color w:val="000000"/>
        </w:rPr>
      </w:pPr>
    </w:p>
    <w:p w14:paraId="7C47AA6A" w14:textId="43537DD3" w:rsidR="00F11BA4" w:rsidRPr="003C780A" w:rsidRDefault="00F11BA4" w:rsidP="00F11BA4">
      <w:pPr>
        <w:pBdr>
          <w:top w:val="nil"/>
          <w:left w:val="nil"/>
          <w:bottom w:val="nil"/>
          <w:right w:val="nil"/>
          <w:between w:val="nil"/>
        </w:pBdr>
        <w:jc w:val="both"/>
        <w:rPr>
          <w:rFonts w:ascii="Arial" w:eastAsia="Arial" w:hAnsi="Arial" w:cs="Arial"/>
          <w:color w:val="000000"/>
        </w:rPr>
      </w:pPr>
      <w:r w:rsidRPr="003C780A">
        <w:rPr>
          <w:rFonts w:ascii="Arial" w:eastAsia="Arial" w:hAnsi="Arial" w:cs="Arial"/>
          <w:color w:val="000000"/>
        </w:rPr>
        <w:t xml:space="preserve">The clinical implications of these results are highly relevant, particularly in treatment strategies for infections caused by </w:t>
      </w:r>
      <w:r w:rsidRPr="003C780A">
        <w:rPr>
          <w:rFonts w:ascii="Arial" w:eastAsia="Arial" w:hAnsi="Arial" w:cs="Arial"/>
          <w:i/>
          <w:iCs/>
          <w:color w:val="000000"/>
        </w:rPr>
        <w:t xml:space="preserve">P. </w:t>
      </w:r>
      <w:proofErr w:type="spellStart"/>
      <w:r w:rsidRPr="003C780A">
        <w:rPr>
          <w:rFonts w:ascii="Arial" w:eastAsia="Arial" w:hAnsi="Arial" w:cs="Arial"/>
          <w:i/>
          <w:iCs/>
          <w:color w:val="000000"/>
        </w:rPr>
        <w:t>multocida</w:t>
      </w:r>
      <w:proofErr w:type="spellEnd"/>
      <w:r w:rsidRPr="003C780A">
        <w:rPr>
          <w:rFonts w:ascii="Arial" w:eastAsia="Arial" w:hAnsi="Arial" w:cs="Arial"/>
          <w:color w:val="000000"/>
        </w:rPr>
        <w:t>. Isolates with moderate to strong biofilm-forming ability often exhibit higher resistance to conventional antimicrobials. Therefore, a therapeutic approach that combines biofilm disrupting agents or biofilm signaling pathway inhibitors is urgently needed</w:t>
      </w:r>
      <w:r w:rsidR="003C780A" w:rsidRPr="003C780A">
        <w:rPr>
          <w:rFonts w:ascii="Arial" w:eastAsia="Arial" w:hAnsi="Arial" w:cs="Arial"/>
          <w:color w:val="000000"/>
        </w:rPr>
        <w:t xml:space="preserve">. </w:t>
      </w:r>
      <w:r w:rsidRPr="003C780A">
        <w:rPr>
          <w:rFonts w:ascii="Arial" w:eastAsia="Arial" w:hAnsi="Arial" w:cs="Arial"/>
          <w:color w:val="000000"/>
        </w:rPr>
        <w:t xml:space="preserve">Research also shows that interventions targeting biofilm stability could be a new strategy in controlling diseases caused by chronic infections from these bacteria </w:t>
      </w:r>
      <w:r w:rsidR="003C780A" w:rsidRPr="003C780A">
        <w:rPr>
          <w:rFonts w:ascii="Arial" w:eastAsia="Arial" w:hAnsi="Arial" w:cs="Arial"/>
          <w:color w:val="000000"/>
        </w:rPr>
        <w:fldChar w:fldCharType="begin"/>
      </w:r>
      <w:r w:rsidR="003C780A" w:rsidRPr="003C780A">
        <w:rPr>
          <w:rFonts w:ascii="Arial" w:eastAsia="Arial" w:hAnsi="Arial" w:cs="Arial"/>
          <w:color w:val="000000"/>
        </w:rPr>
        <w:instrText xml:space="preserve"> ADDIN ZOTERO_ITEM CSL_CITATION {"citationID":"nnKpCcMz","properties":{"formattedCitation":"(Saha et al., 2021)","plainCitation":"(Saha et al., 2021)","noteIndex":0},"citationItems":[{"id":187,"uris":["http://zotero.org/users/6623259/items/8HHCZSU6"],"itemData":{"id":187,"type":"article-journal","abstract":"Background and Aim: Fowl cholera (FC) caused by Pasteurella multocida is a highly contagious bacterial disease of global importance for poultry production. The severity and incidence of FC caused by P. multocida may vary considerably depending on several factors associated with the host (including species and age of infected birds), the environment, and the bacterial strain. This study aimed to investigate the genetic diversity of multidrug-resistant P. multocida strains isolated from FC outbreaks in laying hens from commercial farms of Bangladesh. Materials and Methods: We collected 57 samples of suspected FC, including 36 live and 21 dead laying hens. P. multocida isolates were characterized by biochemical and molecular-biological methods. Results: Twenty-two strains of P. multocida were isolated from these samples through phenotypic and genotypic characterization. The strains were grouped into two distinct random amplification of polymorphic DNA (RAPD) biotypes harboring a range of pathogenic genes; exbB, ompH, ptfA, nanB, sodC, and hgbA. In this study, 90.90% and 81.82% P. multocida strains were multidrug-resistant and biofilm formers, respectively. Whole-genome sequencing of the two representative RAPD phylotypes confirmed as P. multocida type B: L2:ST122, harboring a number of virulence factors-associated genes (VFGs), and antimicrobial resistance (AMR) genes (ARGs). In addition, pan-genome analysis revealed 90 unique genes in the genomes of P. multocida predicted to be associated with versatile metabolic functions, pathogenicity, virulence, and AMR. Conclusion: This is first-ever report on the association of P. multocida genotype B: L2:ST122 and related VFGs and ARGs in the pathogenesis of FC in laying hens. This study also provides a genetic context for future researches on the evolutionary diversity of P. multocida strains and their host adaptation.","container-title":"Veterinary World","DOI":"10.14202/vetworld.2021.2527-2542","ISSN":"22310916, 09728988","journalAbbreviation":"Vet World","language":"en","license":"http://creativecommons.org/licenses/by/4.0/","page":"2527-2542","source":"DOI.org (Crossref)","title":"First report from Bangladesh on genetic diversity of multidrug-resistant Pasteurella multocida type B:2 in fowl cholera","title-short":"First report from Bangladesh on genetic diversity of multidrug-resistant Pasteurella multocida type B","author":[{"family":"Saha","given":"Otun"},{"family":"Islam","given":"M. Rafiul"},{"family":"Rahman","given":"M. Shaminur"},{"family":"Hoque","given":"M. Nazmul"},{"family":"Hossain","given":"M. Anwar"},{"family":"Sultana","given":"Munawar"}],"issued":{"date-parts":[["2021",9,26]]}}}],"schema":"https://github.com/citation-style-language/schema/raw/master/csl-citation.json"} </w:instrText>
      </w:r>
      <w:r w:rsidR="003C780A" w:rsidRPr="003C780A">
        <w:rPr>
          <w:rFonts w:ascii="Arial" w:eastAsia="Arial" w:hAnsi="Arial" w:cs="Arial"/>
          <w:color w:val="000000"/>
        </w:rPr>
        <w:fldChar w:fldCharType="separate"/>
      </w:r>
      <w:r w:rsidR="003C780A" w:rsidRPr="003C780A">
        <w:rPr>
          <w:rFonts w:ascii="Arial" w:hAnsi="Arial" w:cs="Arial"/>
        </w:rPr>
        <w:t>(Saha et al., 2021)</w:t>
      </w:r>
      <w:r w:rsidR="003C780A" w:rsidRPr="003C780A">
        <w:rPr>
          <w:rFonts w:ascii="Arial" w:eastAsia="Arial" w:hAnsi="Arial" w:cs="Arial"/>
          <w:color w:val="000000"/>
        </w:rPr>
        <w:fldChar w:fldCharType="end"/>
      </w:r>
    </w:p>
    <w:p w14:paraId="64618F21" w14:textId="77777777" w:rsidR="00F11BA4" w:rsidRPr="003C763B" w:rsidRDefault="00F11BA4" w:rsidP="00F11BA4">
      <w:pPr>
        <w:pBdr>
          <w:top w:val="nil"/>
          <w:left w:val="nil"/>
          <w:bottom w:val="nil"/>
          <w:right w:val="nil"/>
          <w:between w:val="nil"/>
        </w:pBdr>
        <w:jc w:val="both"/>
        <w:rPr>
          <w:rFonts w:ascii="Arial" w:eastAsia="Arial" w:hAnsi="Arial" w:cs="Arial"/>
          <w:color w:val="000000"/>
          <w:highlight w:val="yellow"/>
        </w:rPr>
      </w:pPr>
    </w:p>
    <w:p w14:paraId="1CDAB642" w14:textId="51EFA360" w:rsidR="00F11BA4" w:rsidRDefault="003C780A" w:rsidP="00F11BA4">
      <w:pPr>
        <w:pBdr>
          <w:top w:val="nil"/>
          <w:left w:val="nil"/>
          <w:bottom w:val="nil"/>
          <w:right w:val="nil"/>
          <w:between w:val="nil"/>
        </w:pBdr>
        <w:jc w:val="both"/>
        <w:rPr>
          <w:rFonts w:ascii="Arial" w:eastAsia="Arial" w:hAnsi="Arial" w:cs="Arial"/>
          <w:color w:val="000000"/>
          <w:lang w:val="en-US"/>
        </w:rPr>
      </w:pPr>
      <w:r w:rsidRPr="003C780A">
        <w:rPr>
          <w:rFonts w:ascii="Arial" w:eastAsia="Arial" w:hAnsi="Arial" w:cs="Arial"/>
          <w:color w:val="000000"/>
          <w:lang w:val="en-US"/>
        </w:rPr>
        <w:t xml:space="preserve">Understanding the molecular basis of biofilm formation in </w:t>
      </w:r>
      <w:r w:rsidRPr="003C780A">
        <w:rPr>
          <w:rFonts w:ascii="Arial" w:eastAsia="Arial" w:hAnsi="Arial" w:cs="Arial"/>
          <w:i/>
          <w:iCs/>
          <w:color w:val="000000"/>
          <w:lang w:val="en-US"/>
        </w:rPr>
        <w:t xml:space="preserve">P. </w:t>
      </w:r>
      <w:proofErr w:type="spellStart"/>
      <w:r w:rsidRPr="003C780A">
        <w:rPr>
          <w:rFonts w:ascii="Arial" w:eastAsia="Arial" w:hAnsi="Arial" w:cs="Arial"/>
          <w:i/>
          <w:iCs/>
          <w:color w:val="000000"/>
          <w:lang w:val="en-US"/>
        </w:rPr>
        <w:t>multocida</w:t>
      </w:r>
      <w:proofErr w:type="spellEnd"/>
      <w:r w:rsidRPr="003C780A">
        <w:rPr>
          <w:rFonts w:ascii="Arial" w:eastAsia="Arial" w:hAnsi="Arial" w:cs="Arial"/>
          <w:color w:val="000000"/>
          <w:lang w:val="en-US"/>
        </w:rPr>
        <w:t xml:space="preserve"> is crucial not only for therapy but also for disease prevention in livestock. Biofilm is increasingly recognized as a contributing factor to the persistence of diseases such as fowl cholera, pneumonic </w:t>
      </w:r>
      <w:proofErr w:type="spellStart"/>
      <w:r w:rsidRPr="003C780A">
        <w:rPr>
          <w:rFonts w:ascii="Arial" w:eastAsia="Arial" w:hAnsi="Arial" w:cs="Arial"/>
          <w:color w:val="000000"/>
          <w:lang w:val="en-US"/>
        </w:rPr>
        <w:t>pasteurellosis</w:t>
      </w:r>
      <w:proofErr w:type="spellEnd"/>
      <w:r w:rsidRPr="003C780A">
        <w:rPr>
          <w:rFonts w:ascii="Arial" w:eastAsia="Arial" w:hAnsi="Arial" w:cs="Arial"/>
          <w:color w:val="000000"/>
          <w:lang w:val="en-US"/>
        </w:rPr>
        <w:t xml:space="preserve">, and hemorrhagic </w:t>
      </w:r>
      <w:proofErr w:type="spellStart"/>
      <w:r w:rsidRPr="003C780A">
        <w:rPr>
          <w:rFonts w:ascii="Arial" w:eastAsia="Arial" w:hAnsi="Arial" w:cs="Arial"/>
          <w:color w:val="000000"/>
          <w:lang w:val="en-US"/>
        </w:rPr>
        <w:t>septicaemia</w:t>
      </w:r>
      <w:proofErr w:type="spellEnd"/>
      <w:r w:rsidRPr="003C780A">
        <w:rPr>
          <w:rFonts w:ascii="Arial" w:eastAsia="Arial" w:hAnsi="Arial" w:cs="Arial"/>
          <w:color w:val="000000"/>
          <w:lang w:val="en-US"/>
        </w:rPr>
        <w:t xml:space="preserve"> in multiple species</w:t>
      </w:r>
      <w:r>
        <w:rPr>
          <w:rFonts w:ascii="Arial" w:eastAsia="Arial" w:hAnsi="Arial" w:cs="Arial"/>
          <w:color w:val="000000"/>
          <w:lang w:val="en-US"/>
        </w:rPr>
        <w:t xml:space="preserve">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{"citationID":"rgpgMyeD","properties":{"formattedCitation":"(Kandimalla et al., 2022)","plainCitation":"(Kandimalla et al., 2022)","noteIndex":0},"citationItems":[{"id":188,"uris":["http://zotero.org/users/6623259/items/I82RGCCJ"],"itemData":{"id":188,"type":"article-journal","abstract":"Pasteurella multocida is a Gram-negative bacterium that causes haemorrhagic septicaemia in cattle and buffaloes. These organisms are involved in the formation of biofilm and can evade treatment. There is no definitive study to screen the genes associated with biofilm production associated with Pasteurella multocida. The present study describes the real-time PCR based approach for screening of genes associated with biofilm formation. Out of 10 isolates screened for biofilm formation, five of them produced biofilm on Congo red agar of which all are resistant to major antibiotics especially cotrimoxazole, nalidixic acid, enrofloxacin and tetracyclines. All the isolates show presence of genes associated with biofilm formation indicating that other factors influencing the biofilm production. We suggest that the future studies may be targeted to unravel the other factors that influence the biofilm production.","container-title":"Indian Journal of Veterinary Sciences &amp; Biotechnology","DOI":"10.48165/ijvsbt.18.5.14","ISSN":"2395-1176, 2394-0247","issue":"5","journalAbbreviation":"ijvsbt","license":"https://creativecommons.org/licenses/by-nc-nd/4.0","page":"68-74","source":"DOI.org (Crossref)","title":"Evaluation of Biofilm formation capacity of Pasteurella multocida and its relationship with antibiotic resistance","volume":"18","author":[{"family":"Kandimalla","given":"Kavitha"},{"family":"Awati","given":"Basavaraj"},{"family":"Putty","given":"Kalyani"},{"family":"Ram","given":"Vamshi Krishna Sai"},{"family":"Yella","given":"Narsimha Reddy"},{"family":"Patil","given":"Nanagouda A"},{"family":"Bhoyar","given":"Ravindra"},{"family":"Choudapur","given":"Mallinath Karabasappa"},{"family":"Karate","given":"Arun"},{"family":"Lunavat","given":"Gopala"},{"family":"Akkaldevi","given":"Jayashri"},{"family":"Ganji","given":"Vishweshwar"}],"issued":{"date-parts":[["2022",11,7]]}}}],"schema":"https://github.com/citation-style-language/schema/raw/master/csl-citation.json"} </w:instrText>
      </w:r>
      <w:r>
        <w:rPr>
          <w:rFonts w:ascii="Arial" w:eastAsia="Arial" w:hAnsi="Arial" w:cs="Arial"/>
          <w:color w:val="000000"/>
          <w:lang w:val="en-US"/>
        </w:rPr>
        <w:fldChar w:fldCharType="separate"/>
      </w:r>
      <w:r w:rsidRPr="003C780A">
        <w:rPr>
          <w:rFonts w:ascii="Arial" w:hAnsi="Arial" w:cs="Arial"/>
        </w:rPr>
        <w:t>(Kandimalla et al., 2022)</w:t>
      </w:r>
      <w:r>
        <w:rPr>
          <w:rFonts w:ascii="Arial" w:eastAsia="Arial" w:hAnsi="Arial" w:cs="Arial"/>
          <w:color w:val="000000"/>
          <w:lang w:val="en-US"/>
        </w:rPr>
        <w:fldChar w:fldCharType="end"/>
      </w:r>
      <w:r w:rsidRPr="003C780A">
        <w:rPr>
          <w:rFonts w:ascii="Arial" w:eastAsia="Arial" w:hAnsi="Arial" w:cs="Arial"/>
          <w:color w:val="000000"/>
          <w:lang w:val="en-US"/>
        </w:rPr>
        <w:t xml:space="preserve">. </w:t>
      </w:r>
    </w:p>
    <w:p w14:paraId="380B5688" w14:textId="77777777" w:rsidR="003C780A" w:rsidRDefault="003C780A" w:rsidP="00F11BA4">
      <w:pPr>
        <w:pBdr>
          <w:top w:val="nil"/>
          <w:left w:val="nil"/>
          <w:bottom w:val="nil"/>
          <w:right w:val="nil"/>
          <w:between w:val="nil"/>
        </w:pBdr>
        <w:jc w:val="both"/>
        <w:rPr>
          <w:rFonts w:ascii="Arial" w:eastAsia="Arial" w:hAnsi="Arial" w:cs="Arial"/>
          <w:color w:val="000000"/>
        </w:rPr>
      </w:pPr>
    </w:p>
    <w:p w14:paraId="40D1CEA0" w14:textId="604D2229"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6C41E88E" w14:textId="72D7BB8A" w:rsidR="00813094" w:rsidRDefault="00D92F80">
      <w:pPr>
        <w:pBdr>
          <w:top w:val="nil"/>
          <w:left w:val="nil"/>
          <w:bottom w:val="nil"/>
          <w:right w:val="nil"/>
          <w:between w:val="nil"/>
        </w:pBdr>
        <w:jc w:val="both"/>
        <w:rPr>
          <w:rFonts w:ascii="Arial" w:eastAsia="Arial" w:hAnsi="Arial" w:cs="Arial"/>
          <w:color w:val="000000"/>
        </w:rPr>
      </w:pPr>
      <w:r w:rsidRPr="00D92F80">
        <w:rPr>
          <w:rFonts w:ascii="Arial" w:eastAsia="Arial" w:hAnsi="Arial" w:cs="Arial"/>
          <w:i/>
          <w:iCs/>
          <w:color w:val="000000"/>
        </w:rPr>
        <w:t xml:space="preserve">Pasteurella </w:t>
      </w:r>
      <w:proofErr w:type="spellStart"/>
      <w:r w:rsidRPr="00D92F80">
        <w:rPr>
          <w:rFonts w:ascii="Arial" w:eastAsia="Arial" w:hAnsi="Arial" w:cs="Arial"/>
          <w:i/>
          <w:iCs/>
          <w:color w:val="000000"/>
        </w:rPr>
        <w:t>multocida</w:t>
      </w:r>
      <w:proofErr w:type="spellEnd"/>
      <w:r w:rsidRPr="00D92F80">
        <w:rPr>
          <w:rFonts w:ascii="Arial" w:eastAsia="Arial" w:hAnsi="Arial" w:cs="Arial"/>
          <w:color w:val="000000"/>
        </w:rPr>
        <w:t xml:space="preserve"> was identified in 14.3% of goats with respiratory symptoms, indicating its clinical relevance. The isolates showed varying abilities to form biofilms, with some classified as moderate biofilm formers. These findings suggest the importance of considering biofilm-associated resistance in treatment strategies for </w:t>
      </w:r>
      <w:r w:rsidRPr="00D92F80">
        <w:rPr>
          <w:rFonts w:ascii="Arial" w:eastAsia="Arial" w:hAnsi="Arial" w:cs="Arial"/>
          <w:i/>
          <w:iCs/>
          <w:color w:val="000000"/>
        </w:rPr>
        <w:t xml:space="preserve">P. </w:t>
      </w:r>
      <w:proofErr w:type="spellStart"/>
      <w:r w:rsidRPr="00D92F80">
        <w:rPr>
          <w:rFonts w:ascii="Arial" w:eastAsia="Arial" w:hAnsi="Arial" w:cs="Arial"/>
          <w:i/>
          <w:iCs/>
          <w:color w:val="000000"/>
        </w:rPr>
        <w:t>multocida</w:t>
      </w:r>
      <w:proofErr w:type="spellEnd"/>
      <w:r w:rsidRPr="00D92F80">
        <w:rPr>
          <w:rFonts w:ascii="Arial" w:eastAsia="Arial" w:hAnsi="Arial" w:cs="Arial"/>
          <w:color w:val="000000"/>
        </w:rPr>
        <w:t xml:space="preserve"> infections.</w:t>
      </w:r>
    </w:p>
    <w:p w14:paraId="2B016AE0" w14:textId="77777777" w:rsidR="00D92F80" w:rsidRDefault="00D92F80">
      <w:pPr>
        <w:pBdr>
          <w:top w:val="nil"/>
          <w:left w:val="nil"/>
          <w:bottom w:val="nil"/>
          <w:right w:val="nil"/>
          <w:between w:val="nil"/>
        </w:pBdr>
        <w:jc w:val="both"/>
        <w:rPr>
          <w:rFonts w:ascii="Arial" w:eastAsia="Arial" w:hAnsi="Arial" w:cs="Arial"/>
          <w:color w:val="000000"/>
        </w:rPr>
      </w:pPr>
    </w:p>
    <w:p w14:paraId="6B665EC2" w14:textId="77777777" w:rsidR="00813094" w:rsidRDefault="00813094">
      <w:pPr>
        <w:keepNext/>
        <w:pBdr>
          <w:top w:val="nil"/>
          <w:left w:val="nil"/>
          <w:bottom w:val="nil"/>
          <w:right w:val="nil"/>
          <w:between w:val="nil"/>
        </w:pBdr>
        <w:jc w:val="both"/>
        <w:rPr>
          <w:rFonts w:ascii="Arial" w:eastAsia="Arial" w:hAnsi="Arial" w:cs="Arial"/>
          <w:color w:val="000000"/>
        </w:rPr>
      </w:pPr>
    </w:p>
    <w:p w14:paraId="1AD9ABEC" w14:textId="77777777" w:rsidR="000F2594" w:rsidRDefault="000F2594">
      <w:pPr>
        <w:keepNext/>
        <w:pBdr>
          <w:top w:val="nil"/>
          <w:left w:val="nil"/>
          <w:bottom w:val="nil"/>
          <w:right w:val="nil"/>
          <w:between w:val="nil"/>
        </w:pBdr>
        <w:jc w:val="both"/>
        <w:rPr>
          <w:rFonts w:ascii="Arial" w:eastAsia="Arial" w:hAnsi="Arial" w:cs="Arial"/>
          <w:color w:val="000000"/>
        </w:rPr>
      </w:pPr>
    </w:p>
    <w:p w14:paraId="514E3442"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037A483" w14:textId="77777777" w:rsidR="00813094" w:rsidRDefault="00813094" w:rsidP="00F34C30">
      <w:pPr>
        <w:keepNext/>
        <w:pBdr>
          <w:top w:val="nil"/>
          <w:left w:val="nil"/>
          <w:bottom w:val="nil"/>
          <w:right w:val="nil"/>
          <w:between w:val="nil"/>
        </w:pBdr>
        <w:ind w:left="720" w:hanging="720"/>
        <w:jc w:val="both"/>
        <w:rPr>
          <w:rFonts w:ascii="Arial" w:eastAsia="Arial" w:hAnsi="Arial" w:cs="Arial"/>
          <w:b/>
          <w:smallCaps/>
          <w:color w:val="000000"/>
          <w:sz w:val="22"/>
          <w:szCs w:val="22"/>
        </w:rPr>
      </w:pPr>
    </w:p>
    <w:p w14:paraId="1F09DFD3" w14:textId="77777777" w:rsidR="00893EB8" w:rsidRPr="00893EB8" w:rsidRDefault="00114A3D" w:rsidP="000F2594">
      <w:pPr>
        <w:pStyle w:val="Bibliografa"/>
        <w:spacing w:line="240" w:lineRule="auto"/>
        <w:jc w:val="both"/>
        <w:rPr>
          <w:rFonts w:ascii="Arial" w:hAnsi="Arial" w:cs="Arial"/>
        </w:rPr>
      </w:pPr>
      <w:r w:rsidRPr="003C780A">
        <w:rPr>
          <w:rFonts w:ascii="Arial" w:eastAsia="Arial" w:hAnsi="Arial" w:cs="Arial"/>
          <w:b/>
          <w:smallCaps/>
          <w:color w:val="000000"/>
        </w:rPr>
        <w:fldChar w:fldCharType="begin"/>
      </w:r>
      <w:r w:rsidR="00F11BA4" w:rsidRPr="003C780A">
        <w:rPr>
          <w:rFonts w:ascii="Arial" w:eastAsia="Arial" w:hAnsi="Arial" w:cs="Arial"/>
          <w:b/>
          <w:smallCaps/>
          <w:color w:val="000000"/>
        </w:rPr>
        <w:instrText xml:space="preserve"> ADDIN ZOTERO_BIBL {"uncited":[],"omitted":[],"custom":[]} CSL_BIBLIOGRAPHY </w:instrText>
      </w:r>
      <w:r w:rsidRPr="003C780A">
        <w:rPr>
          <w:rFonts w:ascii="Arial" w:eastAsia="Arial" w:hAnsi="Arial" w:cs="Arial"/>
          <w:b/>
          <w:smallCaps/>
          <w:color w:val="000000"/>
        </w:rPr>
        <w:fldChar w:fldCharType="separate"/>
      </w:r>
      <w:r w:rsidR="00893EB8" w:rsidRPr="00893EB8">
        <w:rPr>
          <w:rFonts w:ascii="Arial" w:hAnsi="Arial" w:cs="Arial"/>
        </w:rPr>
        <w:t xml:space="preserve">Bitew, A., Gelaw, A., Wondimeneh, Y., Ayenew, Z., Getie, M., Tafere, W., Gebre-Eyesus, T., Yimer, M., Beyene, G. T., Bitew, M., Abayneh, T., Abebe, M., Mihret, A., Yeshitela, B., Teferi, M., &amp; Gelaw, B. (2024). Prevalence and antimicrobial susceptibility pattern of Vibrio cholerae isolates from cholera outbreak sites in Ethiopia. </w:t>
      </w:r>
      <w:r w:rsidR="00893EB8" w:rsidRPr="00893EB8">
        <w:rPr>
          <w:rFonts w:ascii="Arial" w:hAnsi="Arial" w:cs="Arial"/>
          <w:i/>
          <w:iCs/>
        </w:rPr>
        <w:t>BMC Public Health</w:t>
      </w:r>
      <w:r w:rsidR="00893EB8" w:rsidRPr="00893EB8">
        <w:rPr>
          <w:rFonts w:ascii="Arial" w:hAnsi="Arial" w:cs="Arial"/>
        </w:rPr>
        <w:t xml:space="preserve">, </w:t>
      </w:r>
      <w:r w:rsidR="00893EB8" w:rsidRPr="00893EB8">
        <w:rPr>
          <w:rFonts w:ascii="Arial" w:hAnsi="Arial" w:cs="Arial"/>
          <w:i/>
          <w:iCs/>
        </w:rPr>
        <w:t>24</w:t>
      </w:r>
      <w:r w:rsidR="00893EB8" w:rsidRPr="00893EB8">
        <w:rPr>
          <w:rFonts w:ascii="Arial" w:hAnsi="Arial" w:cs="Arial"/>
        </w:rPr>
        <w:t>(1), 2071. https://doi.org/10.1186/s12889-024-19621-4</w:t>
      </w:r>
    </w:p>
    <w:p w14:paraId="58DC6B28"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t xml:space="preserve">Costerton, J. W., Stewart, P. S., &amp; Greenberg, E. P. (1999). Bacterial Biofilms: A Common Cause of Persistent Infections. </w:t>
      </w:r>
      <w:r w:rsidRPr="00893EB8">
        <w:rPr>
          <w:rFonts w:ascii="Arial" w:hAnsi="Arial" w:cs="Arial"/>
          <w:i/>
          <w:iCs/>
        </w:rPr>
        <w:t>Science</w:t>
      </w:r>
      <w:r w:rsidRPr="00893EB8">
        <w:rPr>
          <w:rFonts w:ascii="Arial" w:hAnsi="Arial" w:cs="Arial"/>
        </w:rPr>
        <w:t xml:space="preserve">, </w:t>
      </w:r>
      <w:r w:rsidRPr="00893EB8">
        <w:rPr>
          <w:rFonts w:ascii="Arial" w:hAnsi="Arial" w:cs="Arial"/>
          <w:i/>
          <w:iCs/>
        </w:rPr>
        <w:t>284</w:t>
      </w:r>
      <w:r w:rsidRPr="00893EB8">
        <w:rPr>
          <w:rFonts w:ascii="Arial" w:hAnsi="Arial" w:cs="Arial"/>
        </w:rPr>
        <w:t>(5418), 1318–1322. https://doi.org/10.1126/science.284.5418.1318</w:t>
      </w:r>
    </w:p>
    <w:p w14:paraId="1B07BEA4"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t xml:space="preserve">Donlan, R. M., &amp; Costerton, J. W. (2002). Biofilms: Survival Mechanisms of Clinically Relevant Microorganisms. </w:t>
      </w:r>
      <w:r w:rsidRPr="00893EB8">
        <w:rPr>
          <w:rFonts w:ascii="Arial" w:hAnsi="Arial" w:cs="Arial"/>
          <w:i/>
          <w:iCs/>
        </w:rPr>
        <w:t>Clinical Microbiology Reviews</w:t>
      </w:r>
      <w:r w:rsidRPr="00893EB8">
        <w:rPr>
          <w:rFonts w:ascii="Arial" w:hAnsi="Arial" w:cs="Arial"/>
        </w:rPr>
        <w:t xml:space="preserve">, </w:t>
      </w:r>
      <w:r w:rsidRPr="00893EB8">
        <w:rPr>
          <w:rFonts w:ascii="Arial" w:hAnsi="Arial" w:cs="Arial"/>
          <w:i/>
          <w:iCs/>
        </w:rPr>
        <w:t>15</w:t>
      </w:r>
      <w:r w:rsidRPr="00893EB8">
        <w:rPr>
          <w:rFonts w:ascii="Arial" w:hAnsi="Arial" w:cs="Arial"/>
        </w:rPr>
        <w:t>(2), 167–193. https://doi.org/10.1128/CMR.15.2.167-193.2002</w:t>
      </w:r>
    </w:p>
    <w:p w14:paraId="13295CA4"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t xml:space="preserve">Duquesne, F., Houssin, E., Sévin, C., Duytschaever, L., Tapprest, J., Fretin, D., Hébert, L., Laugier, C., &amp; Petry, S. (2017). Development of a multilocus sequence typing scheme for Rhodococcus equi. </w:t>
      </w:r>
      <w:r w:rsidRPr="00893EB8">
        <w:rPr>
          <w:rFonts w:ascii="Arial" w:hAnsi="Arial" w:cs="Arial"/>
          <w:i/>
          <w:iCs/>
        </w:rPr>
        <w:t>Veterinary Microbiology</w:t>
      </w:r>
      <w:r w:rsidRPr="00893EB8">
        <w:rPr>
          <w:rFonts w:ascii="Arial" w:hAnsi="Arial" w:cs="Arial"/>
        </w:rPr>
        <w:t xml:space="preserve">, </w:t>
      </w:r>
      <w:r w:rsidRPr="00893EB8">
        <w:rPr>
          <w:rFonts w:ascii="Arial" w:hAnsi="Arial" w:cs="Arial"/>
          <w:i/>
          <w:iCs/>
        </w:rPr>
        <w:t>210</w:t>
      </w:r>
      <w:r w:rsidRPr="00893EB8">
        <w:rPr>
          <w:rFonts w:ascii="Arial" w:hAnsi="Arial" w:cs="Arial"/>
        </w:rPr>
        <w:t>, 64–70. https://doi.org/10.1016/j.vetmic.2017.08.010</w:t>
      </w:r>
    </w:p>
    <w:p w14:paraId="34D3C8DC" w14:textId="77777777" w:rsidR="00893EB8" w:rsidRPr="00401600" w:rsidRDefault="00893EB8" w:rsidP="000F2594">
      <w:pPr>
        <w:pStyle w:val="Bibliografa"/>
        <w:spacing w:line="240" w:lineRule="auto"/>
        <w:jc w:val="both"/>
        <w:rPr>
          <w:rFonts w:ascii="Arial" w:hAnsi="Arial" w:cs="Arial"/>
          <w:lang w:val="es-VE"/>
        </w:rPr>
      </w:pPr>
      <w:r w:rsidRPr="00893EB8">
        <w:rPr>
          <w:rFonts w:ascii="Arial" w:hAnsi="Arial" w:cs="Arial"/>
        </w:rPr>
        <w:t xml:space="preserve">Emery, B. D. D., Furian, T. Q., Pilatti, R. M., Chitolina, G. Z., Borges, K. A., Salle, C. T. P., &amp; Moraes, H. L. S. (2017). Evaluation of the biofilm formation capacity of Pasteurella multocida strains isolated from cases of fowl cholera and swine lungs and its relationship with pathogenicity. </w:t>
      </w:r>
      <w:r w:rsidRPr="00401600">
        <w:rPr>
          <w:rFonts w:ascii="Arial" w:hAnsi="Arial" w:cs="Arial"/>
          <w:i/>
          <w:iCs/>
          <w:lang w:val="es-VE"/>
        </w:rPr>
        <w:t xml:space="preserve">Pesquisa </w:t>
      </w:r>
      <w:proofErr w:type="spellStart"/>
      <w:r w:rsidRPr="00401600">
        <w:rPr>
          <w:rFonts w:ascii="Arial" w:hAnsi="Arial" w:cs="Arial"/>
          <w:i/>
          <w:iCs/>
          <w:lang w:val="es-VE"/>
        </w:rPr>
        <w:t>Veterinária</w:t>
      </w:r>
      <w:proofErr w:type="spellEnd"/>
      <w:r w:rsidRPr="00401600">
        <w:rPr>
          <w:rFonts w:ascii="Arial" w:hAnsi="Arial" w:cs="Arial"/>
          <w:i/>
          <w:iCs/>
          <w:lang w:val="es-VE"/>
        </w:rPr>
        <w:t xml:space="preserve"> Brasileira</w:t>
      </w:r>
      <w:r w:rsidRPr="00401600">
        <w:rPr>
          <w:rFonts w:ascii="Arial" w:hAnsi="Arial" w:cs="Arial"/>
          <w:lang w:val="es-VE"/>
        </w:rPr>
        <w:t xml:space="preserve">, </w:t>
      </w:r>
      <w:r w:rsidRPr="00401600">
        <w:rPr>
          <w:rFonts w:ascii="Arial" w:hAnsi="Arial" w:cs="Arial"/>
          <w:i/>
          <w:iCs/>
          <w:lang w:val="es-VE"/>
        </w:rPr>
        <w:t>37</w:t>
      </w:r>
      <w:r w:rsidRPr="00401600">
        <w:rPr>
          <w:rFonts w:ascii="Arial" w:hAnsi="Arial" w:cs="Arial"/>
          <w:lang w:val="es-VE"/>
        </w:rPr>
        <w:t>(10), 1041–1048. https://doi.org/10.1590/s0100-736x2017001000001</w:t>
      </w:r>
    </w:p>
    <w:p w14:paraId="3BCD6C20" w14:textId="57BB7C31" w:rsidR="00893EB8" w:rsidRPr="00893EB8" w:rsidRDefault="00893EB8" w:rsidP="000F2594">
      <w:pPr>
        <w:pStyle w:val="Bibliografa"/>
        <w:spacing w:line="240" w:lineRule="auto"/>
        <w:jc w:val="both"/>
        <w:rPr>
          <w:rFonts w:ascii="Arial" w:hAnsi="Arial" w:cs="Arial"/>
        </w:rPr>
      </w:pPr>
      <w:r w:rsidRPr="00401600">
        <w:rPr>
          <w:rFonts w:ascii="Arial" w:hAnsi="Arial" w:cs="Arial"/>
          <w:lang w:val="es-VE"/>
        </w:rPr>
        <w:t xml:space="preserve">H. A. </w:t>
      </w:r>
      <w:proofErr w:type="spellStart"/>
      <w:r w:rsidRPr="00401600">
        <w:rPr>
          <w:rFonts w:ascii="Arial" w:hAnsi="Arial" w:cs="Arial"/>
          <w:lang w:val="es-VE"/>
        </w:rPr>
        <w:t>Mushtaq</w:t>
      </w:r>
      <w:proofErr w:type="spellEnd"/>
      <w:r w:rsidRPr="00401600">
        <w:rPr>
          <w:rFonts w:ascii="Arial" w:hAnsi="Arial" w:cs="Arial"/>
          <w:lang w:val="es-VE"/>
        </w:rPr>
        <w:t xml:space="preserve">. </w:t>
      </w:r>
      <w:r w:rsidRPr="00893EB8">
        <w:rPr>
          <w:rFonts w:ascii="Arial" w:hAnsi="Arial" w:cs="Arial"/>
        </w:rPr>
        <w:t xml:space="preserve">(2023). </w:t>
      </w:r>
      <w:r w:rsidR="000F2594" w:rsidRPr="00893EB8">
        <w:rPr>
          <w:rFonts w:ascii="Arial" w:hAnsi="Arial" w:cs="Arial"/>
        </w:rPr>
        <w:t>Molecular Characterization, Antibiotic Susceptibility And Biofilm Forming Ability Of Pasteurella Multocida Isolated From The Respiratory Microbiota Of Healthy Bovines</w:t>
      </w:r>
      <w:r w:rsidRPr="00893EB8">
        <w:rPr>
          <w:rFonts w:ascii="Arial" w:hAnsi="Arial" w:cs="Arial"/>
        </w:rPr>
        <w:t xml:space="preserve">. </w:t>
      </w:r>
      <w:r w:rsidRPr="00893EB8">
        <w:rPr>
          <w:rFonts w:ascii="Arial" w:hAnsi="Arial" w:cs="Arial"/>
          <w:i/>
          <w:iCs/>
        </w:rPr>
        <w:t>Pakistan Journal of Science</w:t>
      </w:r>
      <w:r w:rsidRPr="00893EB8">
        <w:rPr>
          <w:rFonts w:ascii="Arial" w:hAnsi="Arial" w:cs="Arial"/>
        </w:rPr>
        <w:t xml:space="preserve">, </w:t>
      </w:r>
      <w:r w:rsidRPr="00893EB8">
        <w:rPr>
          <w:rFonts w:ascii="Arial" w:hAnsi="Arial" w:cs="Arial"/>
          <w:i/>
          <w:iCs/>
        </w:rPr>
        <w:t>75</w:t>
      </w:r>
      <w:r w:rsidRPr="00893EB8">
        <w:rPr>
          <w:rFonts w:ascii="Arial" w:hAnsi="Arial" w:cs="Arial"/>
        </w:rPr>
        <w:t>(03), 503–511. https://doi.org/10.57041/pjs.v75i03.994</w:t>
      </w:r>
    </w:p>
    <w:p w14:paraId="52B9D70C"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t xml:space="preserve">Hall-Stoodley, L., &amp; Stoodley, P. (2009). Evolving concepts in biofilm infections. </w:t>
      </w:r>
      <w:r w:rsidRPr="00893EB8">
        <w:rPr>
          <w:rFonts w:ascii="Arial" w:hAnsi="Arial" w:cs="Arial"/>
          <w:i/>
          <w:iCs/>
        </w:rPr>
        <w:t>Cellular Microbiology</w:t>
      </w:r>
      <w:r w:rsidRPr="00893EB8">
        <w:rPr>
          <w:rFonts w:ascii="Arial" w:hAnsi="Arial" w:cs="Arial"/>
        </w:rPr>
        <w:t xml:space="preserve">, </w:t>
      </w:r>
      <w:r w:rsidRPr="00893EB8">
        <w:rPr>
          <w:rFonts w:ascii="Arial" w:hAnsi="Arial" w:cs="Arial"/>
          <w:i/>
          <w:iCs/>
        </w:rPr>
        <w:t>11</w:t>
      </w:r>
      <w:r w:rsidRPr="00893EB8">
        <w:rPr>
          <w:rFonts w:ascii="Arial" w:hAnsi="Arial" w:cs="Arial"/>
        </w:rPr>
        <w:t>(7), 1034–1043. https://doi.org/10.1111/j.1462-5822.2009.01323.x</w:t>
      </w:r>
    </w:p>
    <w:p w14:paraId="3E7BD5E1"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lastRenderedPageBreak/>
        <w:t xml:space="preserve">Kandimalla, K., Awati, B., Putty, K., Ram, V. K. S., Yella, N. R., Patil, N. A., Bhoyar, R., Choudapur, M. K., Karate, A., Lunavat, G., Akkaldevi, J., &amp; Ganji, V. (2022). Evaluation of Biofilm formation capacity of Pasteurella multocida and its relationship with antibiotic resistance. </w:t>
      </w:r>
      <w:r w:rsidRPr="00893EB8">
        <w:rPr>
          <w:rFonts w:ascii="Arial" w:hAnsi="Arial" w:cs="Arial"/>
          <w:i/>
          <w:iCs/>
        </w:rPr>
        <w:t>Indian Journal of Veterinary Sciences &amp; Biotechnology</w:t>
      </w:r>
      <w:r w:rsidRPr="00893EB8">
        <w:rPr>
          <w:rFonts w:ascii="Arial" w:hAnsi="Arial" w:cs="Arial"/>
        </w:rPr>
        <w:t xml:space="preserve">, </w:t>
      </w:r>
      <w:r w:rsidRPr="00893EB8">
        <w:rPr>
          <w:rFonts w:ascii="Arial" w:hAnsi="Arial" w:cs="Arial"/>
          <w:i/>
          <w:iCs/>
        </w:rPr>
        <w:t>18</w:t>
      </w:r>
      <w:r w:rsidRPr="00893EB8">
        <w:rPr>
          <w:rFonts w:ascii="Arial" w:hAnsi="Arial" w:cs="Arial"/>
        </w:rPr>
        <w:t>(5), 68–74. https://doi.org/10.48165/ijvsbt.18.5.14</w:t>
      </w:r>
    </w:p>
    <w:p w14:paraId="2FC8EF82" w14:textId="77777777" w:rsidR="00893EB8" w:rsidRPr="00893EB8" w:rsidRDefault="00893EB8" w:rsidP="000F2594">
      <w:pPr>
        <w:pStyle w:val="Bibliografa"/>
        <w:spacing w:line="240" w:lineRule="auto"/>
        <w:jc w:val="both"/>
        <w:rPr>
          <w:rFonts w:ascii="Arial" w:hAnsi="Arial" w:cs="Arial"/>
        </w:rPr>
      </w:pPr>
      <w:r w:rsidRPr="00401600">
        <w:rPr>
          <w:rFonts w:ascii="Arial" w:hAnsi="Arial" w:cs="Arial"/>
          <w:lang w:val="es-VE"/>
        </w:rPr>
        <w:t xml:space="preserve">Nguyen, T. T., Nguyen, V. L. P., </w:t>
      </w:r>
      <w:proofErr w:type="spellStart"/>
      <w:r w:rsidRPr="00401600">
        <w:rPr>
          <w:rFonts w:ascii="Arial" w:hAnsi="Arial" w:cs="Arial"/>
          <w:lang w:val="es-VE"/>
        </w:rPr>
        <w:t>Truong</w:t>
      </w:r>
      <w:proofErr w:type="spellEnd"/>
      <w:r w:rsidRPr="00401600">
        <w:rPr>
          <w:rFonts w:ascii="Arial" w:hAnsi="Arial" w:cs="Arial"/>
          <w:lang w:val="es-VE"/>
        </w:rPr>
        <w:t xml:space="preserve">, T. T., Nguyen, C. T. H., &amp; Nguyen, T. K. (2024). </w:t>
      </w:r>
      <w:r w:rsidRPr="00893EB8">
        <w:rPr>
          <w:rFonts w:ascii="Arial" w:hAnsi="Arial" w:cs="Arial"/>
        </w:rPr>
        <w:t xml:space="preserve">Pathogenic and Antibiotic-Resistance Genes of Pasteurella multocida Isolated from Goats in the Mekong Delta, Vietnam. </w:t>
      </w:r>
      <w:r w:rsidRPr="00893EB8">
        <w:rPr>
          <w:rFonts w:ascii="Arial" w:hAnsi="Arial" w:cs="Arial"/>
          <w:i/>
          <w:iCs/>
        </w:rPr>
        <w:t>World’s Veterinary Journal</w:t>
      </w:r>
      <w:r w:rsidRPr="00893EB8">
        <w:rPr>
          <w:rFonts w:ascii="Arial" w:hAnsi="Arial" w:cs="Arial"/>
        </w:rPr>
        <w:t xml:space="preserve">, </w:t>
      </w:r>
      <w:r w:rsidRPr="00893EB8">
        <w:rPr>
          <w:rFonts w:ascii="Arial" w:hAnsi="Arial" w:cs="Arial"/>
          <w:i/>
          <w:iCs/>
        </w:rPr>
        <w:t>14</w:t>
      </w:r>
      <w:r w:rsidRPr="00893EB8">
        <w:rPr>
          <w:rFonts w:ascii="Arial" w:hAnsi="Arial" w:cs="Arial"/>
        </w:rPr>
        <w:t>(2), 169–177. https://doi.org/10.54203/scil.2024.wvj21</w:t>
      </w:r>
    </w:p>
    <w:p w14:paraId="4A990EBD"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t xml:space="preserve">Prajapati, A., Chanda, M. M., Dhayalan, A., Yogisharadhya, R., Chaudhary, J. K., Mohanty, N. N., &amp; Shivachandra, S. B. (2020). Variability in </w:t>
      </w:r>
      <w:r w:rsidRPr="00893EB8">
        <w:rPr>
          <w:rFonts w:ascii="Arial" w:hAnsi="Arial" w:cs="Arial"/>
          <w:i/>
          <w:iCs/>
        </w:rPr>
        <w:t>in vitro</w:t>
      </w:r>
      <w:r w:rsidRPr="00893EB8">
        <w:rPr>
          <w:rFonts w:ascii="Arial" w:hAnsi="Arial" w:cs="Arial"/>
        </w:rPr>
        <w:t xml:space="preserve"> biofilm production and antimicrobial sensitivity pattern among </w:t>
      </w:r>
      <w:r w:rsidRPr="00893EB8">
        <w:rPr>
          <w:rFonts w:ascii="Arial" w:hAnsi="Arial" w:cs="Arial"/>
          <w:i/>
          <w:iCs/>
        </w:rPr>
        <w:t>Pasteurella multocida</w:t>
      </w:r>
      <w:r w:rsidRPr="00893EB8">
        <w:rPr>
          <w:rFonts w:ascii="Arial" w:hAnsi="Arial" w:cs="Arial"/>
        </w:rPr>
        <w:t xml:space="preserve"> strains. </w:t>
      </w:r>
      <w:r w:rsidRPr="00893EB8">
        <w:rPr>
          <w:rFonts w:ascii="Arial" w:hAnsi="Arial" w:cs="Arial"/>
          <w:i/>
          <w:iCs/>
        </w:rPr>
        <w:t>Biofouling</w:t>
      </w:r>
      <w:r w:rsidRPr="00893EB8">
        <w:rPr>
          <w:rFonts w:ascii="Arial" w:hAnsi="Arial" w:cs="Arial"/>
        </w:rPr>
        <w:t xml:space="preserve">, </w:t>
      </w:r>
      <w:r w:rsidRPr="00893EB8">
        <w:rPr>
          <w:rFonts w:ascii="Arial" w:hAnsi="Arial" w:cs="Arial"/>
          <w:i/>
          <w:iCs/>
        </w:rPr>
        <w:t>36</w:t>
      </w:r>
      <w:r w:rsidRPr="00893EB8">
        <w:rPr>
          <w:rFonts w:ascii="Arial" w:hAnsi="Arial" w:cs="Arial"/>
        </w:rPr>
        <w:t>(8), 938–950. https://doi.org/10.1080/08927014.2020.1833192</w:t>
      </w:r>
    </w:p>
    <w:p w14:paraId="6CD7518F"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t xml:space="preserve">Saha, O., Islam, M. R., Rahman, M. S., Hoque, M. N., Hossain, M. A., &amp; Sultana, M. (2021). First report from Bangladesh on genetic diversity of multidrug-resistant Pasteurella multocida type B:2 in fowl cholera. </w:t>
      </w:r>
      <w:r w:rsidRPr="00893EB8">
        <w:rPr>
          <w:rFonts w:ascii="Arial" w:hAnsi="Arial" w:cs="Arial"/>
          <w:i/>
          <w:iCs/>
        </w:rPr>
        <w:t>Veterinary World</w:t>
      </w:r>
      <w:r w:rsidRPr="00893EB8">
        <w:rPr>
          <w:rFonts w:ascii="Arial" w:hAnsi="Arial" w:cs="Arial"/>
        </w:rPr>
        <w:t>, 2527–2542. https://doi.org/10.14202/vetworld.2021.2527-2542</w:t>
      </w:r>
    </w:p>
    <w:p w14:paraId="1B60C02E"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t xml:space="preserve">Tabatabaei, M., &amp; abdolahi,  fateme. (2023). Molecular Evaluation of Sheep and Goats Isolates of Pasteurella multocida and Their Antibiotic Resistance. </w:t>
      </w:r>
      <w:r w:rsidRPr="00893EB8">
        <w:rPr>
          <w:rFonts w:ascii="Arial" w:hAnsi="Arial" w:cs="Arial"/>
          <w:i/>
          <w:iCs/>
        </w:rPr>
        <w:t>Veterinary Research Forum</w:t>
      </w:r>
      <w:r w:rsidRPr="00893EB8">
        <w:rPr>
          <w:rFonts w:ascii="Arial" w:hAnsi="Arial" w:cs="Arial"/>
        </w:rPr>
        <w:t xml:space="preserve">, </w:t>
      </w:r>
      <w:r w:rsidRPr="00893EB8">
        <w:rPr>
          <w:rFonts w:ascii="Arial" w:hAnsi="Arial" w:cs="Arial"/>
          <w:i/>
          <w:iCs/>
        </w:rPr>
        <w:t>Online First</w:t>
      </w:r>
      <w:r w:rsidRPr="00893EB8">
        <w:rPr>
          <w:rFonts w:ascii="Arial" w:hAnsi="Arial" w:cs="Arial"/>
        </w:rPr>
        <w:t>. https://doi.org/10.30466/vrf.2022.556438.3524</w:t>
      </w:r>
    </w:p>
    <w:p w14:paraId="69B96778"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t xml:space="preserve">Wilson, B. A., &amp; Ho, M. (2013). Pasteurella multocida: From Zoonosis to Cellular Microbiology. </w:t>
      </w:r>
      <w:r w:rsidRPr="00893EB8">
        <w:rPr>
          <w:rFonts w:ascii="Arial" w:hAnsi="Arial" w:cs="Arial"/>
          <w:i/>
          <w:iCs/>
        </w:rPr>
        <w:t>Clinical Microbiology Reviews</w:t>
      </w:r>
      <w:r w:rsidRPr="00893EB8">
        <w:rPr>
          <w:rFonts w:ascii="Arial" w:hAnsi="Arial" w:cs="Arial"/>
        </w:rPr>
        <w:t xml:space="preserve">, </w:t>
      </w:r>
      <w:r w:rsidRPr="00893EB8">
        <w:rPr>
          <w:rFonts w:ascii="Arial" w:hAnsi="Arial" w:cs="Arial"/>
          <w:i/>
          <w:iCs/>
        </w:rPr>
        <w:t>26</w:t>
      </w:r>
      <w:r w:rsidRPr="00893EB8">
        <w:rPr>
          <w:rFonts w:ascii="Arial" w:hAnsi="Arial" w:cs="Arial"/>
        </w:rPr>
        <w:t>(3), 631–655. https://doi.org/10.1128/CMR.00024-13</w:t>
      </w:r>
    </w:p>
    <w:p w14:paraId="08C360BB" w14:textId="77777777" w:rsidR="00893EB8" w:rsidRPr="00893EB8" w:rsidRDefault="00893EB8" w:rsidP="000F2594">
      <w:pPr>
        <w:pStyle w:val="Bibliografa"/>
        <w:spacing w:line="240" w:lineRule="auto"/>
        <w:jc w:val="both"/>
        <w:rPr>
          <w:rFonts w:ascii="Arial" w:hAnsi="Arial" w:cs="Arial"/>
        </w:rPr>
      </w:pPr>
      <w:r w:rsidRPr="00893EB8">
        <w:rPr>
          <w:rFonts w:ascii="Arial" w:hAnsi="Arial" w:cs="Arial"/>
        </w:rPr>
        <w:t xml:space="preserve">WOAH. (2021). Haemorrhagic septicaemia (Chapter 3.4.10). In </w:t>
      </w:r>
      <w:r w:rsidRPr="00893EB8">
        <w:rPr>
          <w:rFonts w:ascii="Arial" w:hAnsi="Arial" w:cs="Arial"/>
          <w:i/>
          <w:iCs/>
        </w:rPr>
        <w:t>WOAH Terrestrial Manual</w:t>
      </w:r>
      <w:r w:rsidRPr="00893EB8">
        <w:rPr>
          <w:rFonts w:ascii="Arial" w:hAnsi="Arial" w:cs="Arial"/>
        </w:rPr>
        <w:t>. World Organisation for Animal Health. https://www.woah.org</w:t>
      </w:r>
    </w:p>
    <w:p w14:paraId="657F9FC3" w14:textId="694C3D29" w:rsidR="00114A3D" w:rsidRPr="003C780A" w:rsidRDefault="00114A3D" w:rsidP="000F2594">
      <w:pPr>
        <w:keepNext/>
        <w:pBdr>
          <w:top w:val="nil"/>
          <w:left w:val="nil"/>
          <w:bottom w:val="nil"/>
          <w:right w:val="nil"/>
          <w:between w:val="nil"/>
        </w:pBdr>
        <w:ind w:left="720" w:hanging="720"/>
        <w:jc w:val="both"/>
        <w:rPr>
          <w:rFonts w:ascii="Arial" w:eastAsia="Arial" w:hAnsi="Arial" w:cs="Arial"/>
          <w:b/>
          <w:smallCaps/>
          <w:color w:val="000000"/>
          <w:sz w:val="22"/>
          <w:szCs w:val="22"/>
        </w:rPr>
      </w:pPr>
      <w:r w:rsidRPr="003C780A">
        <w:rPr>
          <w:rFonts w:ascii="Arial" w:eastAsia="Arial" w:hAnsi="Arial" w:cs="Arial"/>
          <w:b/>
          <w:smallCaps/>
          <w:color w:val="000000"/>
        </w:rPr>
        <w:fldChar w:fldCharType="end"/>
      </w:r>
    </w:p>
    <w:p w14:paraId="3F493197" w14:textId="77777777" w:rsidR="00813094" w:rsidRPr="003C780A" w:rsidRDefault="00813094" w:rsidP="000F2594">
      <w:pPr>
        <w:pBdr>
          <w:top w:val="nil"/>
          <w:left w:val="nil"/>
          <w:bottom w:val="nil"/>
          <w:right w:val="nil"/>
          <w:between w:val="nil"/>
        </w:pBdr>
        <w:jc w:val="both"/>
        <w:rPr>
          <w:rFonts w:ascii="Arial" w:hAnsi="Arial" w:cs="Arial"/>
        </w:rPr>
      </w:pPr>
    </w:p>
    <w:p w14:paraId="760030D7" w14:textId="77777777" w:rsidR="00813094" w:rsidRDefault="00813094" w:rsidP="000F2594">
      <w:pPr>
        <w:pBdr>
          <w:top w:val="nil"/>
          <w:left w:val="nil"/>
          <w:bottom w:val="nil"/>
          <w:right w:val="nil"/>
          <w:between w:val="nil"/>
        </w:pBdr>
        <w:jc w:val="both"/>
      </w:pPr>
    </w:p>
    <w:p w14:paraId="005E90C9" w14:textId="77777777" w:rsidR="00813094" w:rsidRDefault="00813094" w:rsidP="000F2594">
      <w:pPr>
        <w:pBdr>
          <w:top w:val="nil"/>
          <w:left w:val="nil"/>
          <w:bottom w:val="nil"/>
          <w:right w:val="nil"/>
          <w:between w:val="nil"/>
        </w:pBdr>
        <w:jc w:val="both"/>
      </w:pPr>
    </w:p>
    <w:p w14:paraId="46E5190E" w14:textId="77777777" w:rsidR="00813094" w:rsidRDefault="00813094" w:rsidP="000F2594">
      <w:pPr>
        <w:pBdr>
          <w:top w:val="nil"/>
          <w:left w:val="nil"/>
          <w:bottom w:val="nil"/>
          <w:right w:val="nil"/>
          <w:between w:val="nil"/>
        </w:pBdr>
        <w:jc w:val="both"/>
        <w:rPr>
          <w:color w:val="000000"/>
        </w:rPr>
      </w:pPr>
    </w:p>
    <w:p w14:paraId="5DFF041B" w14:textId="77777777" w:rsidR="00813094" w:rsidRDefault="00813094" w:rsidP="000F2594">
      <w:pPr>
        <w:pBdr>
          <w:top w:val="nil"/>
          <w:left w:val="nil"/>
          <w:bottom w:val="nil"/>
          <w:right w:val="nil"/>
          <w:between w:val="nil"/>
        </w:pBdr>
        <w:jc w:val="both"/>
        <w:rPr>
          <w:rFonts w:ascii="Arial" w:eastAsia="Arial" w:hAnsi="Arial" w:cs="Arial"/>
          <w:color w:val="000000"/>
        </w:rPr>
      </w:pPr>
    </w:p>
    <w:p w14:paraId="1B4D55C1" w14:textId="77777777" w:rsidR="00813094" w:rsidRDefault="00813094" w:rsidP="000F2594">
      <w:pPr>
        <w:pBdr>
          <w:top w:val="nil"/>
          <w:left w:val="nil"/>
          <w:bottom w:val="nil"/>
          <w:right w:val="nil"/>
          <w:between w:val="nil"/>
        </w:pBdr>
        <w:jc w:val="both"/>
        <w:rPr>
          <w:rFonts w:ascii="Arial" w:eastAsia="Arial" w:hAnsi="Arial" w:cs="Arial"/>
        </w:rPr>
      </w:pPr>
    </w:p>
    <w:p w14:paraId="00DF8DB5" w14:textId="77777777" w:rsidR="00813094" w:rsidRDefault="00813094" w:rsidP="000F2594">
      <w:pPr>
        <w:pBdr>
          <w:top w:val="nil"/>
          <w:left w:val="nil"/>
          <w:bottom w:val="nil"/>
          <w:right w:val="nil"/>
          <w:between w:val="nil"/>
        </w:pBdr>
        <w:jc w:val="both"/>
        <w:rPr>
          <w:rFonts w:ascii="Arial" w:eastAsia="Arial" w:hAnsi="Arial" w:cs="Arial"/>
        </w:rPr>
      </w:pPr>
    </w:p>
    <w:p w14:paraId="1B4BFBE6" w14:textId="77777777" w:rsidR="00813094" w:rsidRDefault="00813094" w:rsidP="000F2594">
      <w:pPr>
        <w:pBdr>
          <w:top w:val="nil"/>
          <w:left w:val="nil"/>
          <w:bottom w:val="nil"/>
          <w:right w:val="nil"/>
          <w:between w:val="nil"/>
        </w:pBdr>
        <w:jc w:val="both"/>
        <w:rPr>
          <w:rFonts w:ascii="Arial" w:eastAsia="Arial" w:hAnsi="Arial" w:cs="Arial"/>
        </w:rPr>
      </w:pPr>
    </w:p>
    <w:p w14:paraId="71C0E52B" w14:textId="7BACE1C8" w:rsidR="00813094" w:rsidRDefault="00813094" w:rsidP="000F2594">
      <w:pPr>
        <w:keepNext/>
        <w:pBdr>
          <w:top w:val="nil"/>
          <w:left w:val="nil"/>
          <w:bottom w:val="nil"/>
          <w:right w:val="nil"/>
          <w:between w:val="nil"/>
        </w:pBdr>
        <w:jc w:val="both"/>
        <w:rPr>
          <w:rFonts w:ascii="Arial" w:eastAsia="Arial" w:hAnsi="Arial" w:cs="Arial"/>
          <w:smallCaps/>
          <w:color w:val="000000"/>
          <w:sz w:val="22"/>
          <w:szCs w:val="22"/>
        </w:rPr>
        <w:sectPr w:rsidR="00813094" w:rsidSect="00F32954">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1024A9A5" w14:textId="77777777" w:rsidR="00813094" w:rsidRDefault="00813094" w:rsidP="000F2594">
      <w:pPr>
        <w:keepNext/>
        <w:pBdr>
          <w:top w:val="nil"/>
          <w:left w:val="nil"/>
          <w:bottom w:val="nil"/>
          <w:right w:val="nil"/>
          <w:between w:val="nil"/>
        </w:pBdr>
        <w:jc w:val="both"/>
        <w:rPr>
          <w:rFonts w:ascii="Arial" w:eastAsia="Arial" w:hAnsi="Arial" w:cs="Arial"/>
          <w:smallCaps/>
          <w:color w:val="000000"/>
          <w:sz w:val="22"/>
          <w:szCs w:val="22"/>
        </w:rPr>
      </w:pPr>
    </w:p>
    <w:sectPr w:rsidR="00813094" w:rsidSect="00F32954">
      <w:type w:val="continuous"/>
      <w:pgSz w:w="12240" w:h="15840"/>
      <w:pgMar w:top="720" w:right="720" w:bottom="720" w:left="72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 Pc" w:date="2025-08-03T15:04:00Z" w:initials="MP">
    <w:p w14:paraId="6614776E" w14:textId="0CC7C48F" w:rsidR="002D5794" w:rsidRDefault="002D5794">
      <w:pPr>
        <w:pStyle w:val="Textocomentario"/>
      </w:pPr>
      <w:r>
        <w:rPr>
          <w:rStyle w:val="Refdecomentario"/>
        </w:rPr>
        <w:annotationRef/>
      </w:r>
      <w:r w:rsidRPr="002D5794">
        <w:t>Insert these points into the methodology</w:t>
      </w:r>
    </w:p>
  </w:comment>
  <w:comment w:id="1" w:author="Mi Pc" w:date="2025-08-03T15:04:00Z" w:initials="MP">
    <w:p w14:paraId="12214373" w14:textId="197E98E2" w:rsidR="002D5794" w:rsidRDefault="002D5794">
      <w:pPr>
        <w:pStyle w:val="Textocomentario"/>
      </w:pPr>
      <w:r>
        <w:rPr>
          <w:rStyle w:val="Refdecomentario"/>
        </w:rPr>
        <w:annotationRef/>
      </w:r>
      <w:r w:rsidRPr="002D5794">
        <w:t>Insert these points into the methodology</w:t>
      </w:r>
    </w:p>
  </w:comment>
  <w:comment w:id="2" w:author="Mi Pc" w:date="2025-08-03T14:50:00Z" w:initials="MP">
    <w:p w14:paraId="10042D63" w14:textId="0B4F7570" w:rsidR="00D50C60" w:rsidRDefault="00D50C60">
      <w:pPr>
        <w:pStyle w:val="Textocomentario"/>
      </w:pPr>
      <w:r>
        <w:rPr>
          <w:rStyle w:val="Refdecomentario"/>
        </w:rPr>
        <w:annotationRef/>
      </w:r>
      <w:r>
        <w:t>Importance of considering</w:t>
      </w:r>
    </w:p>
  </w:comment>
  <w:comment w:id="3" w:author="Mi Pc" w:date="2025-08-03T14:07:00Z" w:initials="MP">
    <w:p w14:paraId="614CCFD8" w14:textId="390A884D" w:rsidR="00401600" w:rsidRDefault="00401600">
      <w:pPr>
        <w:pStyle w:val="Textocomentario"/>
      </w:pPr>
      <w:r>
        <w:rPr>
          <w:rStyle w:val="Refdecomentario"/>
        </w:rPr>
        <w:annotationRef/>
      </w:r>
      <w:r>
        <w:t>with</w:t>
      </w:r>
    </w:p>
  </w:comment>
  <w:comment w:id="4" w:author="Mi Pc" w:date="2025-08-03T14:09:00Z" w:initials="MP">
    <w:p w14:paraId="5430A32D" w14:textId="261AF6AA" w:rsidR="00D86635" w:rsidRDefault="00D86635">
      <w:pPr>
        <w:pStyle w:val="Textocomentario"/>
      </w:pPr>
      <w:r>
        <w:rPr>
          <w:rStyle w:val="Refdecomentario"/>
        </w:rPr>
        <w:annotationRef/>
      </w:r>
      <w:r>
        <w:t>being</w:t>
      </w:r>
    </w:p>
  </w:comment>
  <w:comment w:id="5" w:author="Mi Pc" w:date="2025-08-03T14:10:00Z" w:initials="MP">
    <w:p w14:paraId="24BEFC47" w14:textId="22478E0C" w:rsidR="00BB34AF" w:rsidRDefault="00BB34AF">
      <w:pPr>
        <w:pStyle w:val="Textocomentario"/>
      </w:pPr>
      <w:r>
        <w:rPr>
          <w:rStyle w:val="Refdecomentario"/>
        </w:rPr>
        <w:annotationRef/>
      </w:r>
      <w:r>
        <w:t>accounting for</w:t>
      </w:r>
    </w:p>
  </w:comment>
  <w:comment w:id="6" w:author="Mi Pc" w:date="2025-08-03T14:13:00Z" w:initials="MP">
    <w:p w14:paraId="4C9B6D2B" w14:textId="188BDD58" w:rsidR="00281C2E" w:rsidRPr="00281C2E" w:rsidRDefault="00281C2E">
      <w:pPr>
        <w:pStyle w:val="Textocomentario"/>
        <w:rPr>
          <w:strike/>
        </w:rPr>
      </w:pPr>
      <w:r>
        <w:rPr>
          <w:rStyle w:val="Refdecomentario"/>
        </w:rPr>
        <w:annotationRef/>
      </w:r>
      <w:r>
        <w:t>bacterium</w:t>
      </w:r>
    </w:p>
  </w:comment>
  <w:comment w:id="7" w:author="Mi Pc" w:date="2025-08-03T14:12:00Z" w:initials="MP">
    <w:p w14:paraId="4326CCA0" w14:textId="3BA07DE7" w:rsidR="00A33300" w:rsidRDefault="00A33300">
      <w:pPr>
        <w:pStyle w:val="Textocomentario"/>
      </w:pPr>
      <w:r>
        <w:rPr>
          <w:rStyle w:val="Refdecomentario"/>
        </w:rPr>
        <w:annotationRef/>
      </w:r>
      <w:r>
        <w:t>Organization</w:t>
      </w:r>
    </w:p>
  </w:comment>
  <w:comment w:id="8" w:author="Mi Pc" w:date="2025-08-03T14:19:00Z" w:initials="MP">
    <w:p w14:paraId="247D10A1" w14:textId="33C6E704" w:rsidR="003876B3" w:rsidRDefault="003876B3">
      <w:pPr>
        <w:pStyle w:val="Textocomentario"/>
      </w:pPr>
      <w:r>
        <w:rPr>
          <w:rStyle w:val="Refdecomentario"/>
        </w:rPr>
        <w:annotationRef/>
      </w:r>
      <w:r>
        <w:t>With no growth 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14776E" w15:done="0"/>
  <w15:commentEx w15:paraId="12214373" w15:done="0"/>
  <w15:commentEx w15:paraId="10042D63" w15:done="0"/>
  <w15:commentEx w15:paraId="614CCFD8" w15:done="0"/>
  <w15:commentEx w15:paraId="5430A32D" w15:done="0"/>
  <w15:commentEx w15:paraId="24BEFC47" w15:done="0"/>
  <w15:commentEx w15:paraId="4C9B6D2B" w15:done="0"/>
  <w15:commentEx w15:paraId="4326CCA0" w15:done="0"/>
  <w15:commentEx w15:paraId="247D10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39F8F1" w16cex:dateUtc="2025-08-03T19:04:00Z"/>
  <w16cex:commentExtensible w16cex:durableId="2C39F8FD" w16cex:dateUtc="2025-08-03T19:04:00Z"/>
  <w16cex:commentExtensible w16cex:durableId="2C39F5A9" w16cex:dateUtc="2025-08-03T18:50:00Z"/>
  <w16cex:commentExtensible w16cex:durableId="2C39EBBD" w16cex:dateUtc="2025-08-03T18:07:00Z"/>
  <w16cex:commentExtensible w16cex:durableId="2C39EC01" w16cex:dateUtc="2025-08-03T18:09:00Z"/>
  <w16cex:commentExtensible w16cex:durableId="2C39EC50" w16cex:dateUtc="2025-08-03T18:10:00Z"/>
  <w16cex:commentExtensible w16cex:durableId="2C39ECFD" w16cex:dateUtc="2025-08-03T18:13:00Z"/>
  <w16cex:commentExtensible w16cex:durableId="2C39ECB6" w16cex:dateUtc="2025-08-03T18:12:00Z"/>
  <w16cex:commentExtensible w16cex:durableId="2C39EE84" w16cex:dateUtc="2025-08-03T1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14776E" w16cid:durableId="2C39F8F1"/>
  <w16cid:commentId w16cid:paraId="12214373" w16cid:durableId="2C39F8FD"/>
  <w16cid:commentId w16cid:paraId="10042D63" w16cid:durableId="2C39F5A9"/>
  <w16cid:commentId w16cid:paraId="614CCFD8" w16cid:durableId="2C39EBBD"/>
  <w16cid:commentId w16cid:paraId="5430A32D" w16cid:durableId="2C39EC01"/>
  <w16cid:commentId w16cid:paraId="24BEFC47" w16cid:durableId="2C39EC50"/>
  <w16cid:commentId w16cid:paraId="4C9B6D2B" w16cid:durableId="2C39ECFD"/>
  <w16cid:commentId w16cid:paraId="4326CCA0" w16cid:durableId="2C39ECB6"/>
  <w16cid:commentId w16cid:paraId="247D10A1" w16cid:durableId="2C39EE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B4A46" w14:textId="77777777" w:rsidR="00F32954" w:rsidRDefault="00F32954">
      <w:r>
        <w:separator/>
      </w:r>
    </w:p>
  </w:endnote>
  <w:endnote w:type="continuationSeparator" w:id="0">
    <w:p w14:paraId="346A71EA" w14:textId="77777777" w:rsidR="00F32954" w:rsidRDefault="00F32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imSun"/>
    <w:charset w:val="00"/>
    <w:family w:val="auto"/>
    <w:pitch w:val="default"/>
    <w:embedRegular r:id="rId1" w:fontKey="{69F5AD29-DB77-4D96-B05C-32D41DA7E62C}"/>
    <w:embedBold r:id="rId2" w:fontKey="{C037C2C3-CE72-445A-A29A-A6E415F75566}"/>
    <w:embedItalic r:id="rId3" w:fontKey="{ED80E8FE-EE03-4F96-BF67-ABC0F23F6F5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2E573610-648A-4D0C-82BE-C2BB133D6181}"/>
    <w:embedBold r:id="rId5" w:fontKey="{ABCD565D-ABC6-41F2-B74E-5C8C8F934E6A}"/>
  </w:font>
  <w:font w:name="Helvetica">
    <w:panose1 w:val="020B0604020202020204"/>
    <w:charset w:val="00"/>
    <w:family w:val="swiss"/>
    <w:pitch w:val="variable"/>
    <w:sig w:usb0="E0002EFF" w:usb1="C000785B" w:usb2="00000009" w:usb3="00000000" w:csb0="000001FF" w:csb1="00000000"/>
    <w:embedRegular r:id="rId6" w:fontKey="{E580382C-DC72-4B10-BF05-5482763615A8}"/>
  </w:font>
  <w:font w:name="Tahoma">
    <w:panose1 w:val="020B0604030504040204"/>
    <w:charset w:val="00"/>
    <w:family w:val="swiss"/>
    <w:pitch w:val="variable"/>
    <w:sig w:usb0="E1002EFF" w:usb1="C000605B" w:usb2="00000029" w:usb3="00000000" w:csb0="000101FF" w:csb1="00000000"/>
    <w:embedRegular r:id="rId7" w:fontKey="{13391B30-19DE-4624-A154-F63CA23096C9}"/>
  </w:font>
  <w:font w:name="Georgia">
    <w:panose1 w:val="02040502050405020303"/>
    <w:charset w:val="00"/>
    <w:family w:val="roman"/>
    <w:pitch w:val="variable"/>
    <w:sig w:usb0="00000287" w:usb1="00000000" w:usb2="00000000" w:usb3="00000000" w:csb0="0000009F" w:csb1="00000000"/>
    <w:embedRegular r:id="rId8" w:fontKey="{E2750051-2F5C-436D-9257-8934B720CA8E}"/>
    <w:embedItalic r:id="rId9" w:fontKey="{65C573FB-AA40-4CE0-A9C6-B3B428FACB9C}"/>
  </w:font>
  <w:font w:name="Cambria Math">
    <w:panose1 w:val="02040503050406030204"/>
    <w:charset w:val="00"/>
    <w:family w:val="roman"/>
    <w:pitch w:val="variable"/>
    <w:sig w:usb0="E00006FF" w:usb1="420024FF" w:usb2="02000000" w:usb3="00000000" w:csb0="0000019F" w:csb1="00000000"/>
    <w:embedRegular r:id="rId10" w:fontKey="{9168F93D-6969-43BE-96C3-328AFB634521}"/>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1" w:fontKey="{C9B3A5DE-EAA0-402F-B5F0-D65DB1547C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9E0C" w14:textId="77777777" w:rsidR="00813094" w:rsidRDefault="0081309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36C3" w14:textId="77777777" w:rsidR="006D4CE8" w:rsidRDefault="006D4CE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156C" w14:textId="60ABD2EE" w:rsidR="00813094" w:rsidRPr="006D4CE8" w:rsidRDefault="00813094" w:rsidP="006D4CE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F1EDD" w14:textId="77777777" w:rsidR="00813094" w:rsidRDefault="0081309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3CCC6" w14:textId="77777777" w:rsidR="00F32954" w:rsidRDefault="00F32954">
      <w:r>
        <w:separator/>
      </w:r>
    </w:p>
  </w:footnote>
  <w:footnote w:type="continuationSeparator" w:id="0">
    <w:p w14:paraId="49A1FFBF" w14:textId="77777777" w:rsidR="00F32954" w:rsidRDefault="00F32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5601" w14:textId="2D3F79B4" w:rsidR="00813094" w:rsidRDefault="00000000">
    <w:pPr>
      <w:pBdr>
        <w:top w:val="nil"/>
        <w:left w:val="nil"/>
        <w:bottom w:val="nil"/>
        <w:right w:val="nil"/>
        <w:between w:val="nil"/>
      </w:pBdr>
      <w:tabs>
        <w:tab w:val="center" w:pos="4320"/>
        <w:tab w:val="right" w:pos="8640"/>
      </w:tabs>
      <w:rPr>
        <w:color w:val="000000"/>
      </w:rPr>
    </w:pPr>
    <w:r>
      <w:rPr>
        <w:noProof/>
      </w:rPr>
      <w:pict w14:anchorId="239F3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1B51" w14:textId="5BFE4C9B" w:rsidR="00813094" w:rsidRDefault="00000000">
    <w:pPr>
      <w:pBdr>
        <w:top w:val="nil"/>
        <w:left w:val="nil"/>
        <w:bottom w:val="nil"/>
        <w:right w:val="nil"/>
        <w:between w:val="nil"/>
      </w:pBdr>
      <w:tabs>
        <w:tab w:val="center" w:pos="4320"/>
        <w:tab w:val="right" w:pos="8640"/>
      </w:tabs>
      <w:rPr>
        <w:color w:val="000000"/>
      </w:rPr>
    </w:pPr>
    <w:r>
      <w:rPr>
        <w:noProof/>
      </w:rPr>
      <w:pict w14:anchorId="1FDF7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2214" w14:textId="3FB5F1FC" w:rsidR="00813094" w:rsidRDefault="00000000">
    <w:pPr>
      <w:ind w:left="2160"/>
      <w:jc w:val="center"/>
      <w:rPr>
        <w:rFonts w:ascii="Times New Roman" w:eastAsia="Times New Roman" w:hAnsi="Times New Roman" w:cs="Times New Roman"/>
        <w:i/>
        <w:sz w:val="18"/>
        <w:szCs w:val="18"/>
      </w:rPr>
    </w:pPr>
    <w:r>
      <w:rPr>
        <w:noProof/>
      </w:rPr>
      <w:pict w14:anchorId="00971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99F51C1" w14:textId="77777777" w:rsidR="00813094" w:rsidRDefault="00D7692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100F97" w14:textId="77777777" w:rsidR="00813094" w:rsidRDefault="00D769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332C95A" w14:textId="77777777" w:rsidR="00813094" w:rsidRDefault="00D7692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E63760F" w14:textId="77777777" w:rsidR="00813094" w:rsidRDefault="00D769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8B4FAA9" w14:textId="77777777" w:rsidR="00813094" w:rsidRDefault="00D7692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200FDBC" w14:textId="77777777" w:rsidR="00813094" w:rsidRDefault="00D7692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997A" w14:textId="0DA5F49B" w:rsidR="006D4CE8" w:rsidRDefault="00000000">
    <w:pPr>
      <w:pStyle w:val="Encabezado"/>
    </w:pPr>
    <w:r>
      <w:rPr>
        <w:noProof/>
      </w:rPr>
      <w:pict w14:anchorId="56336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29A6" w14:textId="48FDA982" w:rsidR="006D4CE8" w:rsidRDefault="00000000">
    <w:pPr>
      <w:pStyle w:val="Encabezado"/>
    </w:pPr>
    <w:r>
      <w:rPr>
        <w:noProof/>
      </w:rPr>
      <w:pict w14:anchorId="414D2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42DB" w14:textId="05BF5623" w:rsidR="006D4CE8" w:rsidRDefault="00000000">
    <w:pPr>
      <w:pStyle w:val="Encabezado"/>
    </w:pPr>
    <w:r>
      <w:rPr>
        <w:noProof/>
      </w:rPr>
      <w:pict w14:anchorId="73906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9486A"/>
    <w:multiLevelType w:val="multilevel"/>
    <w:tmpl w:val="B41641D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8920145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 Pc">
    <w15:presenceInfo w15:providerId="None" w15:userId="Mi 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94"/>
    <w:rsid w:val="00007F5C"/>
    <w:rsid w:val="000F2594"/>
    <w:rsid w:val="00101725"/>
    <w:rsid w:val="00114A3D"/>
    <w:rsid w:val="0021118D"/>
    <w:rsid w:val="00281C2E"/>
    <w:rsid w:val="002B1E4F"/>
    <w:rsid w:val="002D5794"/>
    <w:rsid w:val="00315468"/>
    <w:rsid w:val="00374EE1"/>
    <w:rsid w:val="003876B3"/>
    <w:rsid w:val="003C763B"/>
    <w:rsid w:val="003C780A"/>
    <w:rsid w:val="00401600"/>
    <w:rsid w:val="004A4CBC"/>
    <w:rsid w:val="006527D6"/>
    <w:rsid w:val="0065376F"/>
    <w:rsid w:val="006B0BBE"/>
    <w:rsid w:val="006D4CE8"/>
    <w:rsid w:val="00744E11"/>
    <w:rsid w:val="007624DE"/>
    <w:rsid w:val="00790E89"/>
    <w:rsid w:val="00812A5F"/>
    <w:rsid w:val="00813094"/>
    <w:rsid w:val="00816460"/>
    <w:rsid w:val="00825FD9"/>
    <w:rsid w:val="00893EB8"/>
    <w:rsid w:val="008A590C"/>
    <w:rsid w:val="0090180F"/>
    <w:rsid w:val="00905C02"/>
    <w:rsid w:val="00A33300"/>
    <w:rsid w:val="00A517E0"/>
    <w:rsid w:val="00BB34AF"/>
    <w:rsid w:val="00D06E3E"/>
    <w:rsid w:val="00D20FBD"/>
    <w:rsid w:val="00D50C60"/>
    <w:rsid w:val="00D76920"/>
    <w:rsid w:val="00D86635"/>
    <w:rsid w:val="00D92F80"/>
    <w:rsid w:val="00DA4990"/>
    <w:rsid w:val="00E21D1B"/>
    <w:rsid w:val="00E2658F"/>
    <w:rsid w:val="00E37F6C"/>
    <w:rsid w:val="00F11BA4"/>
    <w:rsid w:val="00F25693"/>
    <w:rsid w:val="00F32954"/>
    <w:rsid w:val="00F34C30"/>
    <w:rsid w:val="00F41630"/>
    <w:rsid w:val="00FB1B9A"/>
    <w:rsid w:val="00FE4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4C7AB8"/>
  <w15:docId w15:val="{E82A06A6-4DDC-41DC-83D5-E3CAE7E0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paragraph" w:styleId="Bibliografa">
    <w:name w:val="Bibliography"/>
    <w:basedOn w:val="Normal"/>
    <w:next w:val="Normal"/>
    <w:uiPriority w:val="37"/>
    <w:unhideWhenUsed/>
    <w:rsid w:val="00114A3D"/>
    <w:pPr>
      <w:spacing w:line="480" w:lineRule="auto"/>
      <w:ind w:left="720" w:hanging="720"/>
    </w:pPr>
  </w:style>
  <w:style w:type="paragraph" w:styleId="Asuntodelcomentario">
    <w:name w:val="annotation subject"/>
    <w:basedOn w:val="Textocomentario"/>
    <w:next w:val="Textocomentario"/>
    <w:link w:val="AsuntodelcomentarioCar"/>
    <w:uiPriority w:val="99"/>
    <w:semiHidden/>
    <w:unhideWhenUsed/>
    <w:rsid w:val="00401600"/>
    <w:rPr>
      <w:rFonts w:ascii="Helvetica Neue" w:hAnsi="Helvetica Neue"/>
      <w:b/>
      <w:bCs/>
      <w:lang w:val="en" w:eastAsia="en-US"/>
    </w:rPr>
  </w:style>
  <w:style w:type="character" w:customStyle="1" w:styleId="AsuntodelcomentarioCar">
    <w:name w:val="Asunto del comentario Car"/>
    <w:basedOn w:val="TextocomentarioCar"/>
    <w:link w:val="Asuntodelcomentario"/>
    <w:uiPriority w:val="99"/>
    <w:semiHidden/>
    <w:rsid w:val="00401600"/>
    <w:rPr>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1/relationships/commentsExtended" Target="commentsExtended.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23" Type="http://schemas.openxmlformats.org/officeDocument/2006/relationships/footer" Target="footer4.xm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GNoQd0LhE5aJil7GPkMQd1Vn8g==">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6997</Words>
  <Characters>44223</Characters>
  <Application>Microsoft Office Word</Application>
  <DocSecurity>0</DocSecurity>
  <Lines>902</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Mi Pc</cp:lastModifiedBy>
  <cp:revision>16</cp:revision>
  <dcterms:created xsi:type="dcterms:W3CDTF">2025-08-03T18:07:00Z</dcterms:created>
  <dcterms:modified xsi:type="dcterms:W3CDTF">2025-08-03T19:05:00Z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0e22ce5d-ed40-49ec-9f51-d57b2925288d</vt:lpwstr>
  </property>
  <property fmtid="{D5CDD505-2E9C-101B-9397-08002B2CF9AE}" pid="3" name="ZOTERO_PREF_1">
    <vt:lpwstr>&lt;data data-version="3" zotero-version="6.0.36"&gt;&lt;session id="32qeODAO"/&gt;&lt;style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