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98" w:rsidRPr="00915A41" w:rsidRDefault="00B0721A">
      <w:pPr>
        <w:rPr>
          <w:rFonts w:ascii="Times New Roman" w:hAnsi="Times New Roman" w:cs="Times New Roman"/>
          <w:b/>
          <w:sz w:val="44"/>
          <w:szCs w:val="44"/>
        </w:rPr>
      </w:pPr>
      <w:r w:rsidRPr="00B0721A">
        <w:rPr>
          <w:rFonts w:ascii="Times New Roman" w:hAnsi="Times New Roman" w:cs="Times New Roman"/>
          <w:b/>
          <w:sz w:val="44"/>
          <w:szCs w:val="44"/>
        </w:rPr>
        <w:t>"</w:t>
      </w:r>
      <w:r w:rsidRPr="00B0721A">
        <w:rPr>
          <w:rFonts w:ascii="Times New Roman" w:hAnsi="Times New Roman" w:cs="Times New Roman"/>
          <w:b/>
          <w:sz w:val="40"/>
          <w:szCs w:val="40"/>
        </w:rPr>
        <w:t>Duchenne Muscular Dystrophy</w:t>
      </w:r>
      <w:r w:rsidR="00982FCB">
        <w:rPr>
          <w:rFonts w:ascii="Times New Roman" w:hAnsi="Times New Roman" w:cs="Times New Roman"/>
          <w:b/>
          <w:sz w:val="40"/>
          <w:szCs w:val="40"/>
        </w:rPr>
        <w:t>:Therapies</w:t>
      </w:r>
      <w:r w:rsidRPr="00B0721A">
        <w:rPr>
          <w:rFonts w:ascii="Times New Roman" w:hAnsi="Times New Roman" w:cs="Times New Roman"/>
          <w:b/>
          <w:sz w:val="40"/>
          <w:szCs w:val="40"/>
        </w:rPr>
        <w:t>, Challenges, and Research Frontiers"</w:t>
      </w:r>
    </w:p>
    <w:p w:rsidR="00D703FD" w:rsidRDefault="00D703FD" w:rsidP="00B0721A">
      <w:pPr>
        <w:rPr>
          <w:rFonts w:ascii="Times New Roman" w:hAnsi="Times New Roman" w:cs="Times New Roman"/>
          <w:b/>
          <w:sz w:val="32"/>
          <w:szCs w:val="32"/>
        </w:rPr>
      </w:pPr>
    </w:p>
    <w:p w:rsidR="00C742CE" w:rsidRDefault="00C742CE" w:rsidP="00B0721A">
      <w:pPr>
        <w:rPr>
          <w:rFonts w:ascii="Times New Roman" w:hAnsi="Times New Roman" w:cs="Times New Roman"/>
          <w:b/>
          <w:sz w:val="32"/>
          <w:szCs w:val="32"/>
        </w:rPr>
      </w:pPr>
      <w:bookmarkStart w:id="0" w:name="_GoBack"/>
      <w:bookmarkEnd w:id="0"/>
    </w:p>
    <w:p w:rsidR="00B0721A" w:rsidRPr="00A97199" w:rsidRDefault="00EE1277" w:rsidP="00B0721A">
      <w:pPr>
        <w:rPr>
          <w:sz w:val="28"/>
          <w:szCs w:val="28"/>
        </w:rPr>
      </w:pPr>
      <w:r w:rsidRPr="00A97199">
        <w:rPr>
          <w:rFonts w:ascii="Times New Roman" w:hAnsi="Times New Roman" w:cs="Times New Roman"/>
          <w:b/>
          <w:sz w:val="28"/>
          <w:szCs w:val="28"/>
        </w:rPr>
        <w:t>ABSTRACT:</w:t>
      </w:r>
    </w:p>
    <w:p w:rsidR="008D27D2" w:rsidRDefault="00153CCC" w:rsidP="00153CCC">
      <w:pPr>
        <w:spacing w:after="0" w:line="240" w:lineRule="auto"/>
        <w:rPr>
          <w:rFonts w:ascii="Times New Roman" w:eastAsia="Times New Roman" w:hAnsi="Times New Roman" w:cs="Times New Roman"/>
          <w:sz w:val="28"/>
          <w:szCs w:val="28"/>
        </w:rPr>
      </w:pPr>
      <w:r w:rsidRPr="00153CCC">
        <w:rPr>
          <w:rFonts w:ascii="Times New Roman" w:eastAsia="Times New Roman" w:hAnsi="Times New Roman" w:cs="Times New Roman"/>
          <w:b/>
          <w:sz w:val="24"/>
          <w:szCs w:val="24"/>
        </w:rPr>
        <w:t>Background:</w:t>
      </w:r>
      <w:r w:rsidRPr="00153CCC">
        <w:rPr>
          <w:rFonts w:ascii="Times New Roman" w:eastAsia="Times New Roman" w:hAnsi="Times New Roman" w:cs="Times New Roman"/>
          <w:sz w:val="28"/>
          <w:szCs w:val="28"/>
        </w:rPr>
        <w:t xml:space="preserve">Duchenne Muscular Dystrophy (DMD), a severe X-linked neuromuscular disease </w:t>
      </w:r>
      <w:r w:rsidRPr="00982FCB">
        <w:rPr>
          <w:rFonts w:ascii="Times New Roman" w:eastAsia="Times New Roman" w:hAnsi="Times New Roman" w:cs="Times New Roman"/>
          <w:sz w:val="28"/>
          <w:szCs w:val="28"/>
        </w:rPr>
        <w:t xml:space="preserve">caused by mutation of DMD gene </w:t>
      </w:r>
      <w:r w:rsidRPr="00153CCC">
        <w:rPr>
          <w:rFonts w:ascii="Times New Roman" w:eastAsia="Times New Roman" w:hAnsi="Times New Roman" w:cs="Times New Roman"/>
          <w:sz w:val="28"/>
          <w:szCs w:val="28"/>
        </w:rPr>
        <w:t xml:space="preserve">that results in progressive muscle degradation and loss of ambulation. Although it mainly affects </w:t>
      </w:r>
      <w:commentRangeStart w:id="1"/>
      <w:r w:rsidRPr="00153CCC">
        <w:rPr>
          <w:rFonts w:ascii="Times New Roman" w:eastAsia="Times New Roman" w:hAnsi="Times New Roman" w:cs="Times New Roman"/>
          <w:sz w:val="28"/>
          <w:szCs w:val="28"/>
        </w:rPr>
        <w:t>men</w:t>
      </w:r>
      <w:commentRangeEnd w:id="1"/>
      <w:r w:rsidR="00C16224">
        <w:rPr>
          <w:rStyle w:val="CommentReference"/>
        </w:rPr>
        <w:commentReference w:id="1"/>
      </w:r>
      <w:r w:rsidRPr="00153CCC">
        <w:rPr>
          <w:rFonts w:ascii="Times New Roman" w:eastAsia="Times New Roman" w:hAnsi="Times New Roman" w:cs="Times New Roman"/>
          <w:sz w:val="28"/>
          <w:szCs w:val="28"/>
        </w:rPr>
        <w:t>, female carriers may also exhibit a range of sym</w:t>
      </w:r>
      <w:r w:rsidR="008D27D2">
        <w:rPr>
          <w:rFonts w:ascii="Times New Roman" w:eastAsia="Times New Roman" w:hAnsi="Times New Roman" w:cs="Times New Roman"/>
          <w:sz w:val="28"/>
          <w:szCs w:val="28"/>
        </w:rPr>
        <w:t>ptoms.</w:t>
      </w:r>
    </w:p>
    <w:p w:rsidR="00153CCC" w:rsidRPr="00982FCB" w:rsidRDefault="00153CCC" w:rsidP="00153CCC">
      <w:pPr>
        <w:spacing w:after="0" w:line="240" w:lineRule="auto"/>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Methods:</w:t>
      </w:r>
      <w:r w:rsidRPr="00982FCB">
        <w:rPr>
          <w:rFonts w:ascii="Times New Roman" w:eastAsia="Times New Roman" w:hAnsi="Times New Roman" w:cs="Times New Roman"/>
          <w:sz w:val="28"/>
          <w:szCs w:val="28"/>
        </w:rPr>
        <w:t xml:space="preserve"> E</w:t>
      </w:r>
      <w:r w:rsidRPr="00153CCC">
        <w:rPr>
          <w:rFonts w:ascii="Times New Roman" w:eastAsia="Times New Roman" w:hAnsi="Times New Roman" w:cs="Times New Roman"/>
          <w:sz w:val="28"/>
          <w:szCs w:val="28"/>
        </w:rPr>
        <w:t>valuation of the literature was carried out using up-to-date clinical and scientific sources. Studies that addressed important facets of DMD, such as diagnosis, treatment approaches, connections between genotype and phenotype, and new therapeutic advancements, were accepted. Peer-reviewed publications, regulatory databases, and published clinical guidelines served as the sources.</w:t>
      </w:r>
    </w:p>
    <w:p w:rsidR="009E06CC" w:rsidRPr="00982FCB" w:rsidRDefault="00153CCC" w:rsidP="009E06CC">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Results:</w:t>
      </w:r>
      <w:r w:rsidR="009E06CC" w:rsidRPr="00982FCB">
        <w:rPr>
          <w:rFonts w:ascii="Times New Roman" w:eastAsia="Times New Roman" w:hAnsi="Times New Roman" w:cs="Times New Roman"/>
          <w:sz w:val="28"/>
          <w:szCs w:val="28"/>
        </w:rPr>
        <w:t xml:space="preserve">DMD usually manifests as delayed milestones, calf hypertrophy, and proximal muscular weakness in children aged </w:t>
      </w:r>
      <w:commentRangeStart w:id="2"/>
      <w:r w:rsidR="009E06CC" w:rsidRPr="00982FCB">
        <w:rPr>
          <w:rFonts w:ascii="Times New Roman" w:eastAsia="Times New Roman" w:hAnsi="Times New Roman" w:cs="Times New Roman"/>
          <w:sz w:val="28"/>
          <w:szCs w:val="28"/>
        </w:rPr>
        <w:t>2 to 5</w:t>
      </w:r>
      <w:commentRangeEnd w:id="2"/>
      <w:r w:rsidR="00D52477">
        <w:rPr>
          <w:rStyle w:val="CommentReference"/>
        </w:rPr>
        <w:commentReference w:id="2"/>
      </w:r>
      <w:r w:rsidR="009E06CC" w:rsidRPr="00982FCB">
        <w:rPr>
          <w:rFonts w:ascii="Times New Roman" w:eastAsia="Times New Roman" w:hAnsi="Times New Roman" w:cs="Times New Roman"/>
          <w:sz w:val="28"/>
          <w:szCs w:val="28"/>
        </w:rPr>
        <w:t>. Elevated serum creatine kinase (CK), genetic testing for DMD mutations, and dystrophin protein analysis are the three main methods used to make the diagnosis. The cornerstone of treatment is still corticosteroids like prednisone, deflazacort, and vamorolone, which have been shown to help postpone the loss of ambulation and maintain cardiac and pulmonary function. Eteplirsen, golodirsen, viltolarsen, and casimersen are examples of exon-skipping medicines that target particular mutations in the DMD gene and encourage the synthesis of a shortened but functional dystrophin protein. Although gene therapy with adeno-associated virus (AAV) vectors to deliver microdystrophin has obstacles such as immunological response and dosage limits, it also offers the possibility of longer-term benefit.</w:t>
      </w:r>
    </w:p>
    <w:p w:rsidR="008D27D2" w:rsidRDefault="009E06CC" w:rsidP="00F77592">
      <w:pPr>
        <w:rPr>
          <w:rFonts w:ascii="Times New Roman" w:eastAsia="Times New Roman" w:hAnsi="Times New Roman" w:cs="Times New Roman"/>
          <w:sz w:val="28"/>
          <w:szCs w:val="28"/>
        </w:rPr>
      </w:pPr>
      <w:r w:rsidRPr="00982FCB">
        <w:rPr>
          <w:rFonts w:ascii="Times New Roman" w:eastAsia="Times New Roman" w:hAnsi="Times New Roman" w:cs="Times New Roman"/>
          <w:b/>
          <w:sz w:val="28"/>
          <w:szCs w:val="28"/>
        </w:rPr>
        <w:t>Conclusions:</w:t>
      </w:r>
      <w:r w:rsidRPr="00982FCB">
        <w:rPr>
          <w:rFonts w:ascii="Times New Roman" w:eastAsia="Times New Roman" w:hAnsi="Times New Roman" w:cs="Times New Roman"/>
          <w:sz w:val="28"/>
          <w:szCs w:val="28"/>
        </w:rPr>
        <w:t xml:space="preserve"> Advances in corticosteroid therapy and molecular approaches such as exon skipping and gene therapy are reshaping the DMD treatment landscape. While clinical outcomes are improving, variability in therapeutic response, mutation-specific limitations, and access to novel therapies remain key challenges. </w:t>
      </w:r>
    </w:p>
    <w:p w:rsidR="00982FCB" w:rsidRDefault="009E06CC" w:rsidP="00F77592">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rsidR="008C6878" w:rsidRDefault="008C6878" w:rsidP="00F77592">
      <w:pPr>
        <w:rPr>
          <w:rFonts w:ascii="Times New Roman" w:hAnsi="Times New Roman" w:cs="Times New Roman"/>
          <w:sz w:val="28"/>
          <w:szCs w:val="28"/>
        </w:rPr>
      </w:pPr>
      <w:r w:rsidRPr="00982FCB">
        <w:rPr>
          <w:rFonts w:ascii="Times New Roman" w:eastAsia="Times New Roman" w:hAnsi="Times New Roman" w:cs="Times New Roman"/>
          <w:b/>
          <w:sz w:val="24"/>
          <w:szCs w:val="24"/>
        </w:rPr>
        <w:lastRenderedPageBreak/>
        <w:t xml:space="preserve">Keywords: </w:t>
      </w:r>
      <w:r w:rsidRPr="00982FCB">
        <w:rPr>
          <w:rFonts w:ascii="Times New Roman" w:hAnsi="Times New Roman" w:cs="Times New Roman"/>
          <w:sz w:val="28"/>
          <w:szCs w:val="28"/>
        </w:rPr>
        <w:t xml:space="preserve">Duchenne muscular </w:t>
      </w:r>
      <w:r w:rsidR="00915A41" w:rsidRPr="00982FCB">
        <w:rPr>
          <w:rFonts w:ascii="Times New Roman" w:hAnsi="Times New Roman" w:cs="Times New Roman"/>
          <w:sz w:val="28"/>
          <w:szCs w:val="28"/>
        </w:rPr>
        <w:t>dystrophy, corticosteroids</w:t>
      </w:r>
      <w:r w:rsidRPr="00982FCB">
        <w:rPr>
          <w:rFonts w:ascii="Times New Roman" w:hAnsi="Times New Roman" w:cs="Times New Roman"/>
          <w:sz w:val="28"/>
          <w:szCs w:val="28"/>
        </w:rPr>
        <w:t>, exon skipping, gene therapy, microdystrophin, neuromuscular disorders</w:t>
      </w:r>
      <w:r w:rsidR="00982FCB" w:rsidRPr="00982FCB">
        <w:rPr>
          <w:rFonts w:ascii="Times New Roman" w:hAnsi="Times New Roman" w:cs="Times New Roman"/>
          <w:sz w:val="28"/>
          <w:szCs w:val="28"/>
        </w:rPr>
        <w:t>.</w:t>
      </w:r>
    </w:p>
    <w:p w:rsidR="00833E59" w:rsidRPr="00982FCB" w:rsidRDefault="00833E59" w:rsidP="00F77592">
      <w:pPr>
        <w:rPr>
          <w:rFonts w:ascii="Times New Roman" w:eastAsia="Times New Roman" w:hAnsi="Times New Roman" w:cs="Times New Roman"/>
          <w:sz w:val="28"/>
          <w:szCs w:val="28"/>
        </w:rPr>
      </w:pPr>
    </w:p>
    <w:p w:rsidR="00E26C05" w:rsidRPr="00A97199" w:rsidRDefault="00833E59" w:rsidP="00F77592">
      <w:pPr>
        <w:rPr>
          <w:rFonts w:ascii="Times New Roman" w:eastAsia="Times New Roman" w:hAnsi="Times New Roman" w:cs="Times New Roman"/>
          <w:b/>
          <w:sz w:val="28"/>
          <w:szCs w:val="28"/>
        </w:rPr>
      </w:pPr>
      <w:r w:rsidRPr="00A97199">
        <w:rPr>
          <w:rFonts w:ascii="Times New Roman" w:hAnsi="Times New Roman" w:cs="Times New Roman"/>
          <w:b/>
          <w:sz w:val="28"/>
          <w:szCs w:val="28"/>
        </w:rPr>
        <w:t>INTRODUCTION:</w:t>
      </w:r>
    </w:p>
    <w:p w:rsidR="006E3D45" w:rsidRPr="007D2070" w:rsidRDefault="00E26C05" w:rsidP="00E26C05">
      <w:pPr>
        <w:pStyle w:val="NormalWeb"/>
        <w:rPr>
          <w:sz w:val="28"/>
          <w:szCs w:val="28"/>
        </w:rPr>
      </w:pPr>
      <w:r w:rsidRPr="007D2070">
        <w:rPr>
          <w:sz w:val="28"/>
          <w:szCs w:val="28"/>
        </w:rPr>
        <w:t xml:space="preserve">     Duchenne muscular dystrophy (DMD)</w:t>
      </w:r>
      <w:r w:rsidR="00D25E6B" w:rsidRPr="007D2070">
        <w:rPr>
          <w:sz w:val="28"/>
          <w:szCs w:val="28"/>
        </w:rPr>
        <w:t xml:space="preserve"> is an X-linked inherited neuromuscular disorder due to mutations in the dystrophin gene. It</w:t>
      </w:r>
      <w:r w:rsidRPr="007D2070">
        <w:rPr>
          <w:sz w:val="28"/>
          <w:szCs w:val="28"/>
        </w:rPr>
        <w:t xml:space="preserve"> is primarily caused by mutations—most commonly deletions—in the </w:t>
      </w:r>
      <w:r w:rsidRPr="007D2070">
        <w:rPr>
          <w:rStyle w:val="Emphasis"/>
          <w:sz w:val="28"/>
          <w:szCs w:val="28"/>
        </w:rPr>
        <w:t>DMD</w:t>
      </w:r>
      <w:r w:rsidRPr="007D2070">
        <w:rPr>
          <w:sz w:val="28"/>
          <w:szCs w:val="28"/>
        </w:rPr>
        <w:t xml:space="preserve"> gene located on chromosome Xp21.2. These mutations disrupt the produc</w:t>
      </w:r>
      <w:r w:rsidR="006E3D45" w:rsidRPr="007D2070">
        <w:rPr>
          <w:sz w:val="28"/>
          <w:szCs w:val="28"/>
        </w:rPr>
        <w:t>tion or function of dystrophin.</w:t>
      </w:r>
      <w:r w:rsidR="00980854">
        <w:rPr>
          <w:sz w:val="28"/>
          <w:szCs w:val="28"/>
        </w:rPr>
        <w:t>[1]</w:t>
      </w:r>
    </w:p>
    <w:p w:rsidR="00FD6D6A" w:rsidRPr="007D2070" w:rsidRDefault="006E3D45" w:rsidP="00E26C05">
      <w:pPr>
        <w:pStyle w:val="NormalWeb"/>
        <w:rPr>
          <w:sz w:val="28"/>
          <w:szCs w:val="28"/>
        </w:rPr>
      </w:pPr>
      <w:r w:rsidRPr="007D2070">
        <w:rPr>
          <w:sz w:val="28"/>
          <w:szCs w:val="28"/>
        </w:rPr>
        <w:t xml:space="preserve">Dystrophin </w:t>
      </w:r>
      <w:r w:rsidR="00E26C05" w:rsidRPr="007D2070">
        <w:rPr>
          <w:sz w:val="28"/>
          <w:szCs w:val="28"/>
        </w:rPr>
        <w:t>a critical structural protein in muscle tissue, leading to progressive muscle degeneration.</w:t>
      </w:r>
      <w:r w:rsidR="00D25E6B" w:rsidRPr="007D2070">
        <w:rPr>
          <w:sz w:val="28"/>
          <w:szCs w:val="28"/>
        </w:rPr>
        <w:t xml:space="preserve"> The clinical signs are not present at birth. The average age of diagnosis is usually at four years, when the first symptoms appear.</w:t>
      </w:r>
    </w:p>
    <w:p w:rsidR="00670E72" w:rsidRPr="007D2070" w:rsidRDefault="00670E72" w:rsidP="00670E72">
      <w:pPr>
        <w:spacing w:after="0" w:line="240" w:lineRule="auto"/>
        <w:rPr>
          <w:rFonts w:ascii="Times New Roman" w:eastAsia="Times New Roman" w:hAnsi="Times New Roman" w:cs="Times New Roman"/>
          <w:sz w:val="28"/>
          <w:szCs w:val="28"/>
        </w:rPr>
      </w:pPr>
      <w:r w:rsidRPr="007D2070">
        <w:rPr>
          <w:rFonts w:ascii="Times New Roman" w:eastAsia="Times New Roman" w:hAnsi="Times New Roman" w:cs="Times New Roman"/>
          <w:sz w:val="28"/>
          <w:szCs w:val="28"/>
        </w:rPr>
        <w:t xml:space="preserve">Clinically, this shows up as a progressive loss of muscle strength, and most people lose their capacity to walk on their own in the early stages of puberty. The type of genetic mutation and how it affects dystrophin synthesis have a significant impact on the disease's severity and course. </w:t>
      </w:r>
    </w:p>
    <w:p w:rsidR="00670E72" w:rsidRPr="007D2070" w:rsidRDefault="00670E72" w:rsidP="00670E72">
      <w:pPr>
        <w:spacing w:after="0" w:line="240" w:lineRule="auto"/>
        <w:rPr>
          <w:rFonts w:ascii="Times New Roman" w:eastAsia="Times New Roman" w:hAnsi="Times New Roman" w:cs="Times New Roman"/>
          <w:sz w:val="28"/>
          <w:szCs w:val="28"/>
        </w:rPr>
      </w:pPr>
    </w:p>
    <w:p w:rsidR="00FD6D6A" w:rsidRPr="007D2070" w:rsidRDefault="00E26C05" w:rsidP="00670E72">
      <w:pPr>
        <w:spacing w:after="0" w:line="240" w:lineRule="auto"/>
        <w:rPr>
          <w:rFonts w:ascii="Times New Roman" w:eastAsia="Times New Roman" w:hAnsi="Times New Roman" w:cs="Times New Roman"/>
          <w:sz w:val="28"/>
          <w:szCs w:val="28"/>
        </w:rPr>
      </w:pPr>
      <w:r w:rsidRPr="007D2070">
        <w:rPr>
          <w:rFonts w:ascii="Times New Roman" w:hAnsi="Times New Roman" w:cs="Times New Roman"/>
          <w:sz w:val="28"/>
          <w:szCs w:val="28"/>
        </w:rPr>
        <w:t>Variants of the disease, such as Becker muscular dystrophy (BMD) and intermediate muscular dystrophy, represent milder allelic forms.</w:t>
      </w:r>
    </w:p>
    <w:p w:rsidR="00E26C05" w:rsidRPr="007D2070" w:rsidRDefault="00E26C05" w:rsidP="00E26C05">
      <w:pPr>
        <w:pStyle w:val="NormalWeb"/>
        <w:rPr>
          <w:sz w:val="28"/>
          <w:szCs w:val="28"/>
        </w:rPr>
      </w:pPr>
      <w:r w:rsidRPr="007D2070">
        <w:rPr>
          <w:sz w:val="28"/>
          <w:szCs w:val="28"/>
        </w:rPr>
        <w:t xml:space="preserve"> Typically, individuals with intermediate muscular dystrophy lose ambulation between 13 and 16 years, while those with BMD may remain ambulatory beyond 16 years.The widespread use of corticosteroids has helped extend mobility in patients, thereby blurring the clinical distinctions between these phenotypes. Nonetheless, recognizing these differences remains clinically important, especially when disease progression appears slower than expected for classic DMD, warranting evaluation for alternative dystrophinopathies.</w:t>
      </w:r>
    </w:p>
    <w:p w:rsidR="009D1213" w:rsidRPr="007D2070" w:rsidRDefault="00E26C05" w:rsidP="009D1213">
      <w:pPr>
        <w:pStyle w:val="NormalWeb"/>
        <w:rPr>
          <w:sz w:val="28"/>
          <w:szCs w:val="28"/>
        </w:rPr>
      </w:pPr>
      <w:r w:rsidRPr="007D2070">
        <w:rPr>
          <w:sz w:val="28"/>
          <w:szCs w:val="28"/>
        </w:rPr>
        <w:t xml:space="preserve">In addition to skeletal muscle involvement, some individuals with </w:t>
      </w:r>
      <w:r w:rsidRPr="007D2070">
        <w:rPr>
          <w:rStyle w:val="Emphasis"/>
          <w:sz w:val="28"/>
          <w:szCs w:val="28"/>
        </w:rPr>
        <w:t>DMD</w:t>
      </w:r>
      <w:r w:rsidRPr="007D2070">
        <w:rPr>
          <w:sz w:val="28"/>
          <w:szCs w:val="28"/>
        </w:rPr>
        <w:t xml:space="preserve"> mutations may present with isolated cardiac manifestations, even in the absence of significant muscle weakness. </w:t>
      </w:r>
      <w:r w:rsidR="009D1213" w:rsidRPr="007D2070">
        <w:rPr>
          <w:sz w:val="28"/>
          <w:szCs w:val="28"/>
        </w:rPr>
        <w:t>The absence of dystrophin in the heart renders cardiomyocytes more sensitive to stretch-induced damage. Moreover, it pathologically alters intracellular calcium (Ca2+) concentration, neuronal nitric oxide synthase (nNOS) localization and mitochondrial function and leads to inflammation and necrosis, all contributing to the development of cardiomyopathy.</w:t>
      </w:r>
      <w:r w:rsidR="00980854">
        <w:rPr>
          <w:sz w:val="28"/>
          <w:szCs w:val="28"/>
        </w:rPr>
        <w:t>[2]</w:t>
      </w:r>
    </w:p>
    <w:p w:rsidR="00293146" w:rsidRPr="007D2070" w:rsidRDefault="00FD6D6A" w:rsidP="00E26C05">
      <w:pPr>
        <w:pStyle w:val="NormalWeb"/>
        <w:rPr>
          <w:sz w:val="28"/>
          <w:szCs w:val="28"/>
        </w:rPr>
      </w:pPr>
      <w:r w:rsidRPr="007D2070">
        <w:rPr>
          <w:sz w:val="28"/>
          <w:szCs w:val="28"/>
        </w:rPr>
        <w:lastRenderedPageBreak/>
        <w:t xml:space="preserve">     Ap</w:t>
      </w:r>
      <w:r w:rsidR="00E26C05" w:rsidRPr="007D2070">
        <w:rPr>
          <w:sz w:val="28"/>
          <w:szCs w:val="28"/>
        </w:rPr>
        <w:t>proximately 10% of female carriers also exhibit disease features, which may include muscle symptoms, cardiac complications, or cognitive impairment. While these symptoms are usually milder than those seen in affected males, some female patients can experience a disease course comparable in severity to that of male DMD patients</w:t>
      </w:r>
      <w:r w:rsidR="00915A41">
        <w:rPr>
          <w:sz w:val="28"/>
          <w:szCs w:val="28"/>
        </w:rPr>
        <w:t>.</w:t>
      </w:r>
      <w:r w:rsidR="00980854">
        <w:rPr>
          <w:sz w:val="28"/>
          <w:szCs w:val="28"/>
        </w:rPr>
        <w:t>[</w:t>
      </w:r>
      <w:commentRangeStart w:id="3"/>
      <w:r w:rsidR="00980854">
        <w:rPr>
          <w:sz w:val="28"/>
          <w:szCs w:val="28"/>
        </w:rPr>
        <w:t>3</w:t>
      </w:r>
      <w:commentRangeEnd w:id="3"/>
      <w:r w:rsidR="00C16224">
        <w:rPr>
          <w:rStyle w:val="CommentReference"/>
          <w:rFonts w:asciiTheme="minorHAnsi" w:eastAsiaTheme="minorHAnsi" w:hAnsiTheme="minorHAnsi" w:cstheme="minorBidi"/>
        </w:rPr>
        <w:commentReference w:id="3"/>
      </w:r>
      <w:r w:rsidR="00980854">
        <w:rPr>
          <w:sz w:val="28"/>
          <w:szCs w:val="28"/>
        </w:rPr>
        <w:t>]</w:t>
      </w:r>
    </w:p>
    <w:p w:rsidR="00FC4DBD" w:rsidRPr="00A97199" w:rsidRDefault="004907BC" w:rsidP="00E26C05">
      <w:pPr>
        <w:pStyle w:val="NormalWeb"/>
        <w:rPr>
          <w:sz w:val="28"/>
          <w:szCs w:val="28"/>
        </w:rPr>
      </w:pPr>
      <w:r w:rsidRPr="00A97199">
        <w:rPr>
          <w:b/>
          <w:sz w:val="28"/>
          <w:szCs w:val="28"/>
        </w:rPr>
        <w:t>DIAGNOSIS OF DMD:</w:t>
      </w:r>
    </w:p>
    <w:p w:rsidR="00497D5C" w:rsidRPr="007D2070" w:rsidRDefault="00293146" w:rsidP="00293146">
      <w:pPr>
        <w:pStyle w:val="NoSpacing"/>
        <w:rPr>
          <w:rFonts w:ascii="Times New Roman" w:hAnsi="Times New Roman" w:cs="Times New Roman"/>
          <w:sz w:val="28"/>
          <w:szCs w:val="28"/>
        </w:rPr>
      </w:pPr>
      <w:r w:rsidRPr="007D2070">
        <w:rPr>
          <w:rStyle w:val="Strong"/>
          <w:rFonts w:ascii="Times New Roman" w:hAnsi="Times New Roman" w:cs="Times New Roman"/>
          <w:b w:val="0"/>
          <w:bCs w:val="0"/>
          <w:sz w:val="28"/>
          <w:szCs w:val="28"/>
        </w:rPr>
        <w:t>1. Symptoms</w:t>
      </w:r>
      <w:r w:rsidR="00E10BC0" w:rsidRPr="007D2070">
        <w:rPr>
          <w:rFonts w:ascii="Times New Roman" w:hAnsi="Times New Roman" w:cs="Times New Roman"/>
          <w:sz w:val="28"/>
          <w:szCs w:val="28"/>
        </w:rPr>
        <w:t xml:space="preserve"> usually appear between ages </w:t>
      </w:r>
      <w:commentRangeStart w:id="4"/>
      <w:r w:rsidR="00E10BC0" w:rsidRPr="007D2070">
        <w:rPr>
          <w:rFonts w:ascii="Times New Roman" w:hAnsi="Times New Roman" w:cs="Times New Roman"/>
          <w:sz w:val="28"/>
          <w:szCs w:val="28"/>
        </w:rPr>
        <w:t>2–5</w:t>
      </w:r>
      <w:commentRangeEnd w:id="4"/>
      <w:r w:rsidR="00D52477">
        <w:rPr>
          <w:rStyle w:val="CommentReference"/>
        </w:rPr>
        <w:commentReference w:id="4"/>
      </w:r>
      <w:r w:rsidR="00E10BC0" w:rsidRPr="007D2070">
        <w:rPr>
          <w:rFonts w:ascii="Times New Roman" w:hAnsi="Times New Roman" w:cs="Times New Roman"/>
          <w:sz w:val="28"/>
          <w:szCs w:val="28"/>
        </w:rPr>
        <w:t>.</w:t>
      </w:r>
    </w:p>
    <w:p w:rsidR="00497D5C" w:rsidRPr="007D2070" w:rsidRDefault="00E10BC0" w:rsidP="00497D5C">
      <w:pPr>
        <w:pStyle w:val="NoSpacing"/>
        <w:rPr>
          <w:rFonts w:ascii="Times New Roman" w:hAnsi="Times New Roman" w:cs="Times New Roman"/>
          <w:b/>
          <w:sz w:val="28"/>
          <w:szCs w:val="28"/>
        </w:rPr>
      </w:pPr>
      <w:r w:rsidRPr="007D2070">
        <w:rPr>
          <w:rFonts w:ascii="Times New Roman" w:hAnsi="Times New Roman" w:cs="Times New Roman"/>
          <w:b/>
          <w:sz w:val="28"/>
          <w:szCs w:val="28"/>
        </w:rPr>
        <w:t>Common signs:</w:t>
      </w:r>
    </w:p>
    <w:p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Muscle weakness (especially in hips, thighs, shoulders)</w:t>
      </w:r>
    </w:p>
    <w:p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Difficulty walking or frequent falls</w:t>
      </w:r>
    </w:p>
    <w:p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Gower’s sign (using hands to push off thighs when standing)</w:t>
      </w:r>
    </w:p>
    <w:p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Calf muscle pseudo-hypertrophy</w:t>
      </w:r>
    </w:p>
    <w:p w:rsidR="00497D5C" w:rsidRPr="007D2070" w:rsidRDefault="00497D5C" w:rsidP="00497D5C">
      <w:pPr>
        <w:pStyle w:val="NoSpacing"/>
        <w:rPr>
          <w:rFonts w:ascii="Times New Roman" w:hAnsi="Times New Roman" w:cs="Times New Roman"/>
          <w:sz w:val="28"/>
          <w:szCs w:val="28"/>
        </w:rPr>
      </w:pPr>
      <w:r w:rsidRPr="007D2070">
        <w:rPr>
          <w:rFonts w:ascii="Times New Roman" w:hAnsi="Times New Roman" w:cs="Times New Roman"/>
          <w:sz w:val="28"/>
          <w:szCs w:val="28"/>
        </w:rPr>
        <w:t>Delayed motor milestones</w:t>
      </w:r>
    </w:p>
    <w:p w:rsidR="00E10BC0" w:rsidRPr="007D2070" w:rsidRDefault="00E10BC0" w:rsidP="00E26C05">
      <w:pPr>
        <w:pStyle w:val="NormalWeb"/>
        <w:rPr>
          <w:sz w:val="28"/>
          <w:szCs w:val="28"/>
        </w:rPr>
      </w:pPr>
      <w:r w:rsidRPr="007D2070">
        <w:rPr>
          <w:b/>
          <w:sz w:val="28"/>
          <w:szCs w:val="28"/>
        </w:rPr>
        <w:t xml:space="preserve">Screening for </w:t>
      </w:r>
      <w:commentRangeStart w:id="5"/>
      <w:r w:rsidRPr="007D2070">
        <w:rPr>
          <w:b/>
          <w:sz w:val="28"/>
          <w:szCs w:val="28"/>
        </w:rPr>
        <w:t>DMD</w:t>
      </w:r>
      <w:commentRangeEnd w:id="5"/>
      <w:r w:rsidR="005C6735">
        <w:rPr>
          <w:rStyle w:val="CommentReference"/>
          <w:rFonts w:asciiTheme="minorHAnsi" w:eastAsiaTheme="minorHAnsi" w:hAnsiTheme="minorHAnsi" w:cstheme="minorBidi"/>
        </w:rPr>
        <w:commentReference w:id="5"/>
      </w:r>
      <w:r w:rsidRPr="007D2070">
        <w:rPr>
          <w:b/>
          <w:sz w:val="28"/>
          <w:szCs w:val="28"/>
        </w:rPr>
        <w:t>:</w:t>
      </w:r>
    </w:p>
    <w:p w:rsidR="00E10BC0" w:rsidRPr="007D2070" w:rsidRDefault="00497D5C" w:rsidP="00497D5C">
      <w:pPr>
        <w:rPr>
          <w:rFonts w:ascii="Times New Roman" w:hAnsi="Times New Roman" w:cs="Times New Roman"/>
          <w:sz w:val="28"/>
          <w:szCs w:val="28"/>
        </w:rPr>
      </w:pPr>
      <w:r w:rsidRPr="007D2070">
        <w:rPr>
          <w:rStyle w:val="Strong"/>
          <w:rFonts w:ascii="Times New Roman" w:hAnsi="Times New Roman" w:cs="Times New Roman"/>
          <w:sz w:val="28"/>
          <w:szCs w:val="28"/>
        </w:rPr>
        <w:t>I)</w:t>
      </w:r>
      <w:r w:rsidR="00E10BC0" w:rsidRPr="007D2070">
        <w:rPr>
          <w:rStyle w:val="Strong"/>
          <w:rFonts w:ascii="Times New Roman" w:hAnsi="Times New Roman" w:cs="Times New Roman"/>
          <w:sz w:val="28"/>
          <w:szCs w:val="28"/>
        </w:rPr>
        <w:t>Serum Creatine Kinase (CK</w:t>
      </w:r>
      <w:r w:rsidR="00E10BC0" w:rsidRPr="007D2070">
        <w:rPr>
          <w:rStyle w:val="Strong"/>
          <w:rFonts w:ascii="Times New Roman" w:hAnsi="Times New Roman" w:cs="Times New Roman"/>
          <w:b w:val="0"/>
          <w:sz w:val="28"/>
          <w:szCs w:val="28"/>
        </w:rPr>
        <w:t>)</w:t>
      </w:r>
      <w:r w:rsidR="00293146" w:rsidRPr="007D2070">
        <w:rPr>
          <w:rFonts w:ascii="Times New Roman" w:hAnsi="Times New Roman" w:cs="Times New Roman"/>
          <w:b/>
          <w:sz w:val="28"/>
          <w:szCs w:val="28"/>
        </w:rPr>
        <w:t>Test</w:t>
      </w:r>
      <w:r w:rsidR="00E10BC0" w:rsidRPr="007D2070">
        <w:rPr>
          <w:rFonts w:ascii="Times New Roman" w:hAnsi="Times New Roman" w:cs="Times New Roman"/>
          <w:sz w:val="28"/>
          <w:szCs w:val="28"/>
        </w:rPr>
        <w:t>: creatine kinase concentrations markedly increased.</w:t>
      </w:r>
    </w:p>
    <w:p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w:t>
      </w:r>
      <w:r w:rsidR="00E10BC0" w:rsidRPr="007D2070">
        <w:rPr>
          <w:rFonts w:ascii="Times New Roman" w:hAnsi="Times New Roman" w:cs="Times New Roman"/>
          <w:b/>
          <w:sz w:val="28"/>
          <w:szCs w:val="28"/>
        </w:rPr>
        <w:t>Dystrophin deletion/duplication testing</w:t>
      </w:r>
      <w:r w:rsidR="00E10BC0" w:rsidRPr="007D2070">
        <w:rPr>
          <w:rFonts w:ascii="Times New Roman" w:hAnsi="Times New Roman" w:cs="Times New Roman"/>
          <w:sz w:val="28"/>
          <w:szCs w:val="28"/>
        </w:rPr>
        <w:t>: deletion or duplication mutation found</w:t>
      </w:r>
      <w:r w:rsidRPr="007D2070">
        <w:rPr>
          <w:rFonts w:ascii="Times New Roman" w:hAnsi="Times New Roman" w:cs="Times New Roman"/>
          <w:sz w:val="28"/>
          <w:szCs w:val="28"/>
        </w:rPr>
        <w:t xml:space="preserve">- </w:t>
      </w:r>
      <w:r w:rsidR="00E10BC0" w:rsidRPr="007D2070">
        <w:rPr>
          <w:rFonts w:ascii="Times New Roman" w:hAnsi="Times New Roman" w:cs="Times New Roman"/>
          <w:sz w:val="28"/>
          <w:szCs w:val="28"/>
        </w:rPr>
        <w:t>Dystrophinopathy diagnosis confirmed</w:t>
      </w:r>
    </w:p>
    <w:p w:rsidR="00E10BC0" w:rsidRPr="007D2070" w:rsidRDefault="00497D5C" w:rsidP="00497D5C">
      <w:pPr>
        <w:rPr>
          <w:rFonts w:ascii="Times New Roman" w:hAnsi="Times New Roman" w:cs="Times New Roman"/>
          <w:sz w:val="28"/>
          <w:szCs w:val="28"/>
        </w:rPr>
      </w:pPr>
      <w:r w:rsidRPr="007D2070">
        <w:rPr>
          <w:rFonts w:ascii="Times New Roman" w:hAnsi="Times New Roman" w:cs="Times New Roman"/>
          <w:b/>
          <w:sz w:val="28"/>
          <w:szCs w:val="28"/>
        </w:rPr>
        <w:t>III)</w:t>
      </w:r>
      <w:r w:rsidR="00E10BC0" w:rsidRPr="007D2070">
        <w:rPr>
          <w:rFonts w:ascii="Times New Roman" w:hAnsi="Times New Roman" w:cs="Times New Roman"/>
          <w:b/>
          <w:sz w:val="28"/>
          <w:szCs w:val="28"/>
        </w:rPr>
        <w:t xml:space="preserve">Muscle </w:t>
      </w:r>
      <w:commentRangeStart w:id="6"/>
      <w:r w:rsidR="00E10BC0" w:rsidRPr="007D2070">
        <w:rPr>
          <w:rFonts w:ascii="Times New Roman" w:hAnsi="Times New Roman" w:cs="Times New Roman"/>
          <w:b/>
          <w:sz w:val="28"/>
          <w:szCs w:val="28"/>
        </w:rPr>
        <w:t>biopsy</w:t>
      </w:r>
      <w:commentRangeEnd w:id="6"/>
      <w:r w:rsidR="005C6735">
        <w:rPr>
          <w:rStyle w:val="CommentReference"/>
        </w:rPr>
        <w:commentReference w:id="6"/>
      </w:r>
      <w:r w:rsidR="00E10BC0" w:rsidRPr="007D2070">
        <w:rPr>
          <w:rFonts w:ascii="Times New Roman" w:hAnsi="Times New Roman" w:cs="Times New Roman"/>
          <w:b/>
          <w:sz w:val="28"/>
          <w:szCs w:val="28"/>
        </w:rPr>
        <w:t>:</w:t>
      </w:r>
      <w:r w:rsidR="00E10BC0" w:rsidRPr="007D2070">
        <w:rPr>
          <w:rFonts w:ascii="Times New Roman" w:hAnsi="Times New Roman" w:cs="Times New Roman"/>
          <w:sz w:val="28"/>
          <w:szCs w:val="28"/>
        </w:rPr>
        <w:t xml:space="preserve"> dystrophin protein absent</w:t>
      </w:r>
    </w:p>
    <w:p w:rsidR="00293146" w:rsidRPr="007D2070" w:rsidRDefault="00497D5C" w:rsidP="00293146">
      <w:pPr>
        <w:pStyle w:val="Heading3"/>
        <w:rPr>
          <w:sz w:val="28"/>
          <w:szCs w:val="28"/>
        </w:rPr>
      </w:pPr>
      <w:r w:rsidRPr="007D2070">
        <w:rPr>
          <w:sz w:val="28"/>
          <w:szCs w:val="28"/>
        </w:rPr>
        <w:t>3.Additional Tests</w:t>
      </w:r>
      <w:r w:rsidR="00293146" w:rsidRPr="007D2070">
        <w:rPr>
          <w:sz w:val="28"/>
          <w:szCs w:val="28"/>
        </w:rPr>
        <w:t>:</w:t>
      </w:r>
    </w:p>
    <w:p w:rsidR="00293146"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 </w:t>
      </w:r>
      <w:r w:rsidR="00497D5C" w:rsidRPr="007D2070">
        <w:rPr>
          <w:rFonts w:ascii="Times New Roman" w:hAnsi="Times New Roman" w:cs="Times New Roman"/>
          <w:b/>
          <w:sz w:val="28"/>
          <w:szCs w:val="28"/>
        </w:rPr>
        <w:t>Electromyography (EMG):</w:t>
      </w:r>
      <w:r w:rsidR="00497D5C" w:rsidRPr="007D2070">
        <w:rPr>
          <w:rFonts w:ascii="Times New Roman" w:hAnsi="Times New Roman" w:cs="Times New Roman"/>
          <w:sz w:val="28"/>
          <w:szCs w:val="28"/>
        </w:rPr>
        <w:t xml:space="preserve"> Myopathic changes</w:t>
      </w:r>
    </w:p>
    <w:p w:rsidR="00293146"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 </w:t>
      </w:r>
      <w:r w:rsidR="00497D5C" w:rsidRPr="007D2070">
        <w:rPr>
          <w:rFonts w:ascii="Times New Roman" w:hAnsi="Times New Roman" w:cs="Times New Roman"/>
          <w:b/>
          <w:sz w:val="28"/>
          <w:szCs w:val="28"/>
        </w:rPr>
        <w:t>Cardiac evaluation (Echocardiogram/MRI):</w:t>
      </w:r>
      <w:r w:rsidR="00497D5C" w:rsidRPr="007D2070">
        <w:rPr>
          <w:rFonts w:ascii="Times New Roman" w:hAnsi="Times New Roman" w:cs="Times New Roman"/>
          <w:sz w:val="28"/>
          <w:szCs w:val="28"/>
        </w:rPr>
        <w:t xml:space="preserve"> As DMD often affects the heart</w:t>
      </w:r>
    </w:p>
    <w:p w:rsidR="00497D5C" w:rsidRPr="007D2070" w:rsidRDefault="00293146" w:rsidP="00293146">
      <w:pPr>
        <w:rPr>
          <w:rFonts w:ascii="Times New Roman" w:hAnsi="Times New Roman" w:cs="Times New Roman"/>
          <w:sz w:val="28"/>
          <w:szCs w:val="28"/>
        </w:rPr>
      </w:pPr>
      <w:r w:rsidRPr="007D2070">
        <w:rPr>
          <w:rFonts w:ascii="Times New Roman" w:hAnsi="Times New Roman" w:cs="Times New Roman"/>
          <w:b/>
          <w:sz w:val="28"/>
          <w:szCs w:val="28"/>
        </w:rPr>
        <w:t xml:space="preserve">iii) </w:t>
      </w:r>
      <w:r w:rsidR="00497D5C" w:rsidRPr="007D2070">
        <w:rPr>
          <w:rFonts w:ascii="Times New Roman" w:hAnsi="Times New Roman" w:cs="Times New Roman"/>
          <w:b/>
          <w:sz w:val="28"/>
          <w:szCs w:val="28"/>
        </w:rPr>
        <w:t>Pulmonary function tests:</w:t>
      </w:r>
      <w:r w:rsidR="00497D5C" w:rsidRPr="007D2070">
        <w:rPr>
          <w:rFonts w:ascii="Times New Roman" w:hAnsi="Times New Roman" w:cs="Times New Roman"/>
          <w:sz w:val="28"/>
          <w:szCs w:val="28"/>
        </w:rPr>
        <w:t xml:space="preserve"> Especially in older children</w:t>
      </w:r>
    </w:p>
    <w:p w:rsidR="00FC4DBD" w:rsidRPr="00A97199" w:rsidRDefault="00A45DF9" w:rsidP="00E26C05">
      <w:pPr>
        <w:pStyle w:val="NormalWeb"/>
        <w:rPr>
          <w:b/>
          <w:sz w:val="28"/>
          <w:szCs w:val="28"/>
        </w:rPr>
      </w:pPr>
      <w:r w:rsidRPr="00A97199">
        <w:rPr>
          <w:b/>
          <w:sz w:val="28"/>
          <w:szCs w:val="28"/>
        </w:rPr>
        <w:t>2.</w:t>
      </w:r>
      <w:r w:rsidR="00E57231" w:rsidRPr="00A97199">
        <w:rPr>
          <w:b/>
          <w:sz w:val="28"/>
          <w:szCs w:val="28"/>
        </w:rPr>
        <w:t>C</w:t>
      </w:r>
      <w:r w:rsidR="00293146" w:rsidRPr="00A97199">
        <w:rPr>
          <w:b/>
          <w:sz w:val="28"/>
          <w:szCs w:val="28"/>
        </w:rPr>
        <w:t>ORTICOSTERIODS IN</w:t>
      </w:r>
      <w:r w:rsidR="00E57231" w:rsidRPr="00A97199">
        <w:rPr>
          <w:b/>
          <w:sz w:val="28"/>
          <w:szCs w:val="28"/>
        </w:rPr>
        <w:t xml:space="preserve"> DMD</w:t>
      </w:r>
      <w:r w:rsidR="00915A41" w:rsidRPr="00A97199">
        <w:rPr>
          <w:b/>
          <w:sz w:val="28"/>
          <w:szCs w:val="28"/>
        </w:rPr>
        <w:t>MANAGEMENT:</w:t>
      </w:r>
    </w:p>
    <w:p w:rsidR="00E57231" w:rsidRDefault="00E57231" w:rsidP="00E26C05">
      <w:pPr>
        <w:pStyle w:val="NormalWeb"/>
        <w:rPr>
          <w:sz w:val="28"/>
          <w:szCs w:val="28"/>
        </w:rPr>
      </w:pPr>
      <w:r w:rsidRPr="007D2070">
        <w:rPr>
          <w:sz w:val="28"/>
          <w:szCs w:val="28"/>
        </w:rPr>
        <w:t>A key component of the treatment of Duchenne muscular dystrophy (DMD) is corticosteroids. They are the only class of medications that have been shown to maintain cardiac and respiratory function, increase muscle strength, and halt the progression of disease.</w:t>
      </w:r>
    </w:p>
    <w:p w:rsidR="00293146" w:rsidRPr="007D2070" w:rsidRDefault="00293146" w:rsidP="00293146">
      <w:pPr>
        <w:shd w:val="clear" w:color="auto" w:fill="FFFFFF"/>
        <w:spacing w:line="360" w:lineRule="atLeast"/>
        <w:rPr>
          <w:rFonts w:ascii="Times New Roman" w:eastAsia="Times New Roman" w:hAnsi="Times New Roman" w:cs="Times New Roman"/>
          <w:b/>
          <w:color w:val="0A0A0A"/>
          <w:sz w:val="28"/>
          <w:szCs w:val="28"/>
        </w:rPr>
      </w:pPr>
      <w:r w:rsidRPr="00293146">
        <w:rPr>
          <w:rFonts w:ascii="Times New Roman" w:eastAsia="Times New Roman" w:hAnsi="Times New Roman" w:cs="Times New Roman"/>
          <w:b/>
          <w:color w:val="0A0A0A"/>
          <w:sz w:val="28"/>
          <w:szCs w:val="28"/>
        </w:rPr>
        <w:t xml:space="preserve">The main </w:t>
      </w:r>
      <w:commentRangeStart w:id="7"/>
      <w:r w:rsidRPr="00293146">
        <w:rPr>
          <w:rFonts w:ascii="Times New Roman" w:eastAsia="Times New Roman" w:hAnsi="Times New Roman" w:cs="Times New Roman"/>
          <w:b/>
          <w:color w:val="0A0A0A"/>
          <w:sz w:val="28"/>
          <w:szCs w:val="28"/>
        </w:rPr>
        <w:t>corticosteroids</w:t>
      </w:r>
      <w:commentRangeEnd w:id="7"/>
      <w:r w:rsidR="004F4786">
        <w:rPr>
          <w:rStyle w:val="CommentReference"/>
        </w:rPr>
        <w:commentReference w:id="7"/>
      </w:r>
      <w:r w:rsidRPr="00293146">
        <w:rPr>
          <w:rFonts w:ascii="Times New Roman" w:eastAsia="Times New Roman" w:hAnsi="Times New Roman" w:cs="Times New Roman"/>
          <w:b/>
          <w:color w:val="0A0A0A"/>
          <w:sz w:val="28"/>
          <w:szCs w:val="28"/>
        </w:rPr>
        <w:t xml:space="preserve"> used in DMD management are:</w:t>
      </w:r>
    </w:p>
    <w:p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hAnsi="Times New Roman" w:cs="Times New Roman"/>
          <w:b/>
          <w:color w:val="0A0A0A"/>
          <w:sz w:val="28"/>
          <w:szCs w:val="28"/>
          <w:shd w:val="clear" w:color="auto" w:fill="FFFFFF"/>
        </w:rPr>
        <w:lastRenderedPageBreak/>
        <w:t>Prednisone/Prednisolone:</w:t>
      </w:r>
      <w:r w:rsidR="007D2070" w:rsidRPr="007D2070">
        <w:rPr>
          <w:rFonts w:ascii="Times New Roman" w:eastAsia="Times New Roman" w:hAnsi="Times New Roman" w:cs="Times New Roman"/>
          <w:color w:val="0A0A0A"/>
          <w:sz w:val="28"/>
          <w:szCs w:val="28"/>
        </w:rPr>
        <w:t xml:space="preserve">The synthetic glucocorticoid </w:t>
      </w:r>
      <w:r w:rsidRPr="007D2070">
        <w:rPr>
          <w:rFonts w:ascii="Times New Roman" w:eastAsia="Times New Roman" w:hAnsi="Times New Roman" w:cs="Times New Roman"/>
          <w:color w:val="0A0A0A"/>
          <w:sz w:val="28"/>
          <w:szCs w:val="28"/>
        </w:rPr>
        <w:t>prednisone/prednisolone is converted to prednisolone in the liver. It works well for treating DMD, especially when used in doses between 0.75 and 1.5 mg/kg per day. It is thought that the inhibition of cytotoxic T-cell expression from necrotic muscles mediates the therapeutic benefits. According to studies, it can postpone milestones like nocturnal ventilation and loss of ambulation and reduce the advancement of the disease.</w:t>
      </w:r>
    </w:p>
    <w:p w:rsidR="007D2070" w:rsidRPr="007D2070" w:rsidRDefault="00293146" w:rsidP="007D2070">
      <w:pPr>
        <w:pStyle w:val="ListParagraph"/>
        <w:numPr>
          <w:ilvl w:val="0"/>
          <w:numId w:val="7"/>
        </w:numPr>
        <w:shd w:val="clear" w:color="auto" w:fill="FFFFFF"/>
        <w:spacing w:line="360" w:lineRule="atLeast"/>
        <w:rPr>
          <w:rFonts w:ascii="Times New Roman" w:eastAsia="Times New Roman" w:hAnsi="Times New Roman" w:cs="Times New Roman"/>
          <w:color w:val="0A0A0A"/>
          <w:sz w:val="28"/>
          <w:szCs w:val="28"/>
        </w:rPr>
      </w:pPr>
      <w:r w:rsidRPr="007D2070">
        <w:rPr>
          <w:rFonts w:ascii="Times New Roman" w:eastAsia="Times New Roman" w:hAnsi="Times New Roman" w:cs="Times New Roman"/>
          <w:b/>
          <w:color w:val="0A0A0A"/>
          <w:sz w:val="28"/>
          <w:szCs w:val="28"/>
        </w:rPr>
        <w:t>Deflazacort (Emflaza):</w:t>
      </w:r>
      <w:r w:rsidRPr="007D2070">
        <w:rPr>
          <w:rFonts w:ascii="Times New Roman" w:eastAsia="Times New Roman" w:hAnsi="Times New Roman" w:cs="Times New Roman"/>
          <w:color w:val="0A0A0A"/>
          <w:sz w:val="28"/>
          <w:szCs w:val="28"/>
        </w:rPr>
        <w:t xml:space="preserve">  </w:t>
      </w:r>
      <w:r w:rsidR="007D2070" w:rsidRPr="007D2070">
        <w:rPr>
          <w:rFonts w:ascii="Times New Roman" w:eastAsia="Times New Roman" w:hAnsi="Times New Roman" w:cs="Times New Roman"/>
          <w:color w:val="0A0A0A"/>
          <w:sz w:val="28"/>
          <w:szCs w:val="28"/>
        </w:rPr>
        <w:t>For DMD patients five years of age and up, Deflazacort (Emflaza) is an oxazoline derivative of prednisolone that has been approved. 0.9 mg/kg/day is the dosage that the FDA has approved. It is just as effective as prednisone, but it may be less likely to cause weight gain and scoliosis. Cataracts and behavioral abnormalities are linked to it.</w:t>
      </w:r>
    </w:p>
    <w:p w:rsidR="00293146" w:rsidRPr="000A753A" w:rsidRDefault="00293146" w:rsidP="007D2070">
      <w:pPr>
        <w:numPr>
          <w:ilvl w:val="0"/>
          <w:numId w:val="6"/>
        </w:numPr>
        <w:shd w:val="clear" w:color="auto" w:fill="FFFFFF"/>
        <w:spacing w:after="240" w:line="240" w:lineRule="auto"/>
        <w:rPr>
          <w:rFonts w:ascii="Times New Roman" w:eastAsia="Times New Roman" w:hAnsi="Times New Roman" w:cs="Times New Roman"/>
          <w:sz w:val="28"/>
          <w:szCs w:val="28"/>
        </w:rPr>
      </w:pPr>
      <w:r w:rsidRPr="007D2070">
        <w:rPr>
          <w:rFonts w:ascii="Times New Roman" w:eastAsia="Times New Roman" w:hAnsi="Times New Roman" w:cs="Times New Roman"/>
          <w:b/>
          <w:color w:val="0A0A0A"/>
          <w:sz w:val="28"/>
          <w:szCs w:val="28"/>
        </w:rPr>
        <w:t>Vamorolone (Agamree):</w:t>
      </w:r>
      <w:r w:rsidRPr="007D2070">
        <w:rPr>
          <w:rFonts w:ascii="Times New Roman" w:eastAsia="Times New Roman" w:hAnsi="Times New Roman" w:cs="Times New Roman"/>
          <w:color w:val="0A0A0A"/>
          <w:sz w:val="28"/>
          <w:szCs w:val="28"/>
        </w:rPr>
        <w:t xml:space="preserve"> A </w:t>
      </w:r>
      <w:r w:rsidR="007D2070" w:rsidRPr="007D2070">
        <w:rPr>
          <w:rFonts w:ascii="Times New Roman" w:eastAsia="Times New Roman" w:hAnsi="Times New Roman" w:cs="Times New Roman"/>
          <w:color w:val="0A0A0A"/>
          <w:sz w:val="28"/>
          <w:szCs w:val="28"/>
        </w:rPr>
        <w:t xml:space="preserve">new dissociative steroid that functions via the glucocorticoid receptor is </w:t>
      </w:r>
      <w:r w:rsidR="00915A41" w:rsidRPr="007D2070">
        <w:rPr>
          <w:rFonts w:ascii="Times New Roman" w:eastAsia="Times New Roman" w:hAnsi="Times New Roman" w:cs="Times New Roman"/>
          <w:color w:val="0A0A0A"/>
          <w:sz w:val="28"/>
          <w:szCs w:val="28"/>
        </w:rPr>
        <w:t>vamorolone</w:t>
      </w:r>
      <w:r w:rsidR="007D2070" w:rsidRPr="007D2070">
        <w:rPr>
          <w:rFonts w:ascii="Times New Roman" w:eastAsia="Times New Roman" w:hAnsi="Times New Roman" w:cs="Times New Roman"/>
          <w:color w:val="0A0A0A"/>
          <w:sz w:val="28"/>
          <w:szCs w:val="28"/>
        </w:rPr>
        <w:t xml:space="preserve"> (Agamree). It is authorized for DMD in patients two years of age and up, and it is said to cause less side effects than conventional corticosteroids. Additionally, it functions as an antagonist of the mineralocorticoid receptor (MR) and may be used to treat cardiomyopathy linked to DMD.</w:t>
      </w:r>
      <w:r w:rsidR="00980854">
        <w:rPr>
          <w:rFonts w:ascii="Times New Roman" w:eastAsia="Times New Roman" w:hAnsi="Times New Roman" w:cs="Times New Roman"/>
          <w:color w:val="0A0A0A"/>
          <w:sz w:val="28"/>
          <w:szCs w:val="28"/>
        </w:rPr>
        <w:t>[4]</w:t>
      </w:r>
    </w:p>
    <w:p w:rsidR="000A753A" w:rsidRPr="009A20E7" w:rsidRDefault="009A20E7" w:rsidP="009A20E7">
      <w:pPr>
        <w:shd w:val="clear" w:color="auto" w:fill="FFFFFF"/>
        <w:spacing w:after="240" w:line="240" w:lineRule="auto"/>
        <w:ind w:left="360"/>
        <w:rPr>
          <w:rFonts w:ascii="Times New Roman" w:eastAsia="Times New Roman" w:hAnsi="Times New Roman" w:cs="Times New Roman"/>
          <w:b/>
          <w:sz w:val="28"/>
          <w:szCs w:val="28"/>
        </w:rPr>
      </w:pPr>
      <w:r w:rsidRPr="009A20E7">
        <w:rPr>
          <w:rFonts w:ascii="Times New Roman" w:eastAsia="Times New Roman" w:hAnsi="Times New Roman" w:cs="Times New Roman"/>
          <w:b/>
          <w:sz w:val="28"/>
          <w:szCs w:val="28"/>
        </w:rPr>
        <w:t>BENFECTS OF CORTICOSTERIODS IN</w:t>
      </w:r>
      <w:r w:rsidR="00915A41" w:rsidRPr="009A20E7">
        <w:rPr>
          <w:rFonts w:ascii="Times New Roman" w:eastAsia="Times New Roman" w:hAnsi="Times New Roman" w:cs="Times New Roman"/>
          <w:b/>
          <w:sz w:val="28"/>
          <w:szCs w:val="28"/>
        </w:rPr>
        <w:t>DMD</w:t>
      </w:r>
      <w:r w:rsidR="00915A41">
        <w:rPr>
          <w:rFonts w:ascii="Times New Roman" w:eastAsia="Times New Roman" w:hAnsi="Times New Roman" w:cs="Times New Roman"/>
          <w:b/>
          <w:sz w:val="28"/>
          <w:szCs w:val="28"/>
        </w:rPr>
        <w:t>:</w:t>
      </w:r>
    </w:p>
    <w:p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 xml:space="preserve">Increased Muscle Strength and Function: </w:t>
      </w:r>
      <w:r w:rsidRPr="000A753A">
        <w:rPr>
          <w:rFonts w:ascii="Times New Roman" w:eastAsia="Times New Roman" w:hAnsi="Times New Roman" w:cs="Times New Roman"/>
          <w:sz w:val="28"/>
          <w:szCs w:val="28"/>
        </w:rPr>
        <w:t>Research has indicated that corticosteroids, especially in the near term (up to two years), considerably increase muscle strength and function in boys with DMD.</w:t>
      </w:r>
    </w:p>
    <w:p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Delayed Loss of Ambulation:</w:t>
      </w:r>
      <w:r w:rsidRPr="000A753A">
        <w:rPr>
          <w:rFonts w:ascii="Times New Roman" w:eastAsia="Times New Roman" w:hAnsi="Times New Roman" w:cs="Times New Roman"/>
          <w:sz w:val="28"/>
          <w:szCs w:val="28"/>
        </w:rPr>
        <w:t xml:space="preserve"> Walking ability loss is linked to long-term corticosteroid use. According to non-randomized research, ambulation may be delayed by many years when compared to those who receive no treatment.</w:t>
      </w:r>
    </w:p>
    <w:p w:rsidR="000A753A" w:rsidRP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Better Pulmonary Function:</w:t>
      </w:r>
      <w:r w:rsidRPr="000A753A">
        <w:rPr>
          <w:rFonts w:ascii="Times New Roman" w:eastAsia="Times New Roman" w:hAnsi="Times New Roman" w:cs="Times New Roman"/>
          <w:sz w:val="28"/>
          <w:szCs w:val="28"/>
        </w:rPr>
        <w:t xml:space="preserve"> One common and dangerous side effect of DMD is respiratory muscle weakening, which corticosteroids may help prevent and slow down.</w:t>
      </w:r>
    </w:p>
    <w:p w:rsidR="000A753A" w:rsidRDefault="000A753A" w:rsidP="000A753A">
      <w:pPr>
        <w:numPr>
          <w:ilvl w:val="0"/>
          <w:numId w:val="6"/>
        </w:numPr>
        <w:shd w:val="clear" w:color="auto" w:fill="FFFFFF"/>
        <w:spacing w:after="24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Decreased Need for Scoliosis Surgery:</w:t>
      </w:r>
      <w:r w:rsidRPr="000A753A">
        <w:rPr>
          <w:rFonts w:ascii="Times New Roman" w:eastAsia="Times New Roman" w:hAnsi="Times New Roman" w:cs="Times New Roman"/>
          <w:sz w:val="28"/>
          <w:szCs w:val="28"/>
        </w:rPr>
        <w:t xml:space="preserve"> Research has shown that using corticosteroids can lessen the need for spinal surgery to treat scoliosis, a curvature of the spine that can occur in boys with DMD.</w:t>
      </w:r>
    </w:p>
    <w:p w:rsidR="009A20E7" w:rsidRDefault="009A20E7" w:rsidP="009A20E7">
      <w:pPr>
        <w:spacing w:after="0" w:line="240" w:lineRule="auto"/>
        <w:rPr>
          <w:rFonts w:ascii="Times New Roman" w:eastAsia="Times New Roman" w:hAnsi="Times New Roman" w:cs="Times New Roman"/>
          <w:b/>
          <w:sz w:val="28"/>
          <w:szCs w:val="28"/>
        </w:rPr>
      </w:pPr>
    </w:p>
    <w:p w:rsidR="009A20E7" w:rsidRPr="00A45DF9"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lastRenderedPageBreak/>
        <w:t>COMPARASION OF</w:t>
      </w:r>
      <w:r w:rsidR="00915258">
        <w:rPr>
          <w:rFonts w:ascii="Times New Roman" w:eastAsia="Times New Roman" w:hAnsi="Times New Roman" w:cs="Times New Roman"/>
          <w:b/>
          <w:sz w:val="28"/>
          <w:szCs w:val="28"/>
        </w:rPr>
        <w:t>PREDNISONE</w:t>
      </w:r>
      <w:r w:rsidRPr="00A45DF9">
        <w:rPr>
          <w:rFonts w:ascii="Times New Roman" w:eastAsia="Times New Roman" w:hAnsi="Times New Roman" w:cs="Times New Roman"/>
          <w:b/>
          <w:sz w:val="28"/>
          <w:szCs w:val="28"/>
        </w:rPr>
        <w:t xml:space="preserve"> AND DEFLAZACORT</w:t>
      </w:r>
      <w:r w:rsidR="00980854">
        <w:rPr>
          <w:rFonts w:ascii="Times New Roman" w:eastAsia="Times New Roman" w:hAnsi="Times New Roman" w:cs="Times New Roman"/>
          <w:b/>
          <w:sz w:val="28"/>
          <w:szCs w:val="28"/>
        </w:rPr>
        <w:t>:</w:t>
      </w:r>
    </w:p>
    <w:p w:rsidR="00E37821" w:rsidRDefault="00E37821" w:rsidP="009A20E7">
      <w:pPr>
        <w:spacing w:after="0" w:line="240" w:lineRule="auto"/>
        <w:rPr>
          <w:rFonts w:ascii="Times New Roman" w:eastAsia="Times New Roman" w:hAnsi="Times New Roman" w:cs="Times New Roman"/>
          <w:sz w:val="24"/>
          <w:szCs w:val="24"/>
        </w:rPr>
      </w:pPr>
    </w:p>
    <w:p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sz w:val="28"/>
          <w:szCs w:val="28"/>
        </w:rPr>
        <w:t>Prednisone and deflazacort have both shown comparable advantages in enhancing motor function and slowing the advancement of DMD patients' illnesses. Nonetheless, some studies have suggested that deflazacort may be linked to somewhat improved results on specific motor function tests.</w:t>
      </w:r>
      <w:r w:rsidR="00980854">
        <w:rPr>
          <w:rFonts w:ascii="Times New Roman" w:eastAsia="Times New Roman" w:hAnsi="Times New Roman" w:cs="Times New Roman"/>
          <w:sz w:val="28"/>
          <w:szCs w:val="28"/>
        </w:rPr>
        <w:t>[5]</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Profiles of Side Effects:</w:t>
      </w:r>
      <w:r w:rsidRPr="009A20E7">
        <w:rPr>
          <w:rFonts w:ascii="Times New Roman" w:eastAsia="Times New Roman" w:hAnsi="Times New Roman" w:cs="Times New Roman"/>
          <w:b/>
          <w:sz w:val="28"/>
          <w:szCs w:val="28"/>
        </w:rPr>
        <w:br/>
        <w:t>Weight Gain and Cushingoid Appearance:</w:t>
      </w:r>
      <w:r w:rsidRPr="009A20E7">
        <w:rPr>
          <w:rFonts w:ascii="Times New Roman" w:eastAsia="Times New Roman" w:hAnsi="Times New Roman" w:cs="Times New Roman"/>
          <w:sz w:val="28"/>
          <w:szCs w:val="28"/>
        </w:rPr>
        <w:t xml:space="preserve"> Compared to deflazacort, prednisone is linked to a higher risk of weight gain and the development of Cushingoid features, such as puffiness in the face, particularly during the first year of treatment.</w:t>
      </w:r>
      <w:r w:rsidRPr="009A20E7">
        <w:rPr>
          <w:rFonts w:ascii="Times New Roman" w:eastAsia="Times New Roman" w:hAnsi="Times New Roman" w:cs="Times New Roman"/>
          <w:sz w:val="28"/>
          <w:szCs w:val="28"/>
        </w:rPr>
        <w:br/>
      </w:r>
      <w:r w:rsidRPr="009A20E7">
        <w:rPr>
          <w:rFonts w:ascii="Times New Roman" w:eastAsia="Times New Roman" w:hAnsi="Times New Roman" w:cs="Times New Roman"/>
          <w:b/>
          <w:sz w:val="28"/>
          <w:szCs w:val="28"/>
        </w:rPr>
        <w:t>Cataracts:</w:t>
      </w:r>
      <w:r w:rsidRPr="009A20E7">
        <w:rPr>
          <w:rFonts w:ascii="Times New Roman" w:eastAsia="Times New Roman" w:hAnsi="Times New Roman" w:cs="Times New Roman"/>
          <w:sz w:val="28"/>
          <w:szCs w:val="28"/>
        </w:rPr>
        <w:t xml:space="preserve"> Although they are frequently asymptomatic, deflazacort may be associated with a higher incidence of cataracts than prednisone.</w:t>
      </w:r>
    </w:p>
    <w:p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Growth Retardation:</w:t>
      </w:r>
      <w:r w:rsidRPr="009A20E7">
        <w:rPr>
          <w:rFonts w:ascii="Times New Roman" w:eastAsia="Times New Roman" w:hAnsi="Times New Roman" w:cs="Times New Roman"/>
          <w:sz w:val="28"/>
          <w:szCs w:val="28"/>
        </w:rPr>
        <w:t xml:space="preserve"> Compared to prednisone, deflazacort has been linked to more growth retardation.</w:t>
      </w:r>
    </w:p>
    <w:p w:rsidR="009A20E7" w:rsidRP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Behavioral Changes:</w:t>
      </w:r>
      <w:r w:rsidRPr="009A20E7">
        <w:rPr>
          <w:rFonts w:ascii="Times New Roman" w:eastAsia="Times New Roman" w:hAnsi="Times New Roman" w:cs="Times New Roman"/>
          <w:sz w:val="28"/>
          <w:szCs w:val="28"/>
        </w:rPr>
        <w:t xml:space="preserve"> Although both drugs might have an impact on behavior, deflazacort may be connected to more withdrawn behavior, while prednisone is occasionally linked to more aggression.</w:t>
      </w:r>
    </w:p>
    <w:p w:rsidR="009A20E7" w:rsidRDefault="009A20E7" w:rsidP="009A20E7">
      <w:pPr>
        <w:spacing w:after="0" w:line="240" w:lineRule="auto"/>
        <w:rPr>
          <w:rFonts w:ascii="Times New Roman" w:eastAsia="Times New Roman" w:hAnsi="Times New Roman" w:cs="Times New Roman"/>
          <w:sz w:val="28"/>
          <w:szCs w:val="28"/>
        </w:rPr>
      </w:pPr>
      <w:r w:rsidRPr="009A20E7">
        <w:rPr>
          <w:rFonts w:ascii="Times New Roman" w:eastAsia="Times New Roman" w:hAnsi="Times New Roman" w:cs="Times New Roman"/>
          <w:b/>
          <w:sz w:val="28"/>
          <w:szCs w:val="28"/>
        </w:rPr>
        <w:t>Bone Health:</w:t>
      </w:r>
      <w:r w:rsidRPr="009A20E7">
        <w:rPr>
          <w:rFonts w:ascii="Times New Roman" w:eastAsia="Times New Roman" w:hAnsi="Times New Roman" w:cs="Times New Roman"/>
          <w:sz w:val="28"/>
          <w:szCs w:val="28"/>
        </w:rPr>
        <w:t xml:space="preserve"> There is conflicting evidence about the effect of deflazacort on bone health. While some studies link it to increased rates of growth delay and bone fractures, others suggest it may have a lower effect on calcium metabolism and osteoporosis risk during the first ten years of treatment.</w:t>
      </w:r>
    </w:p>
    <w:p w:rsidR="00A45DF9" w:rsidRDefault="00A45DF9" w:rsidP="009A20E7">
      <w:pPr>
        <w:spacing w:after="0" w:line="240" w:lineRule="auto"/>
        <w:rPr>
          <w:rFonts w:ascii="Times New Roman" w:eastAsia="Times New Roman" w:hAnsi="Times New Roman" w:cs="Times New Roman"/>
          <w:sz w:val="28"/>
          <w:szCs w:val="28"/>
        </w:rPr>
      </w:pPr>
    </w:p>
    <w:p w:rsidR="00A45DF9" w:rsidRPr="00770F23" w:rsidRDefault="00A45DF9" w:rsidP="009A20E7">
      <w:pPr>
        <w:spacing w:after="0" w:line="240" w:lineRule="auto"/>
        <w:rPr>
          <w:rFonts w:ascii="Times New Roman" w:eastAsia="Times New Roman" w:hAnsi="Times New Roman" w:cs="Times New Roman"/>
          <w:b/>
          <w:sz w:val="28"/>
          <w:szCs w:val="28"/>
        </w:rPr>
      </w:pPr>
      <w:r w:rsidRPr="00770F23">
        <w:rPr>
          <w:rFonts w:ascii="Times New Roman" w:eastAsia="Times New Roman" w:hAnsi="Times New Roman" w:cs="Times New Roman"/>
          <w:b/>
          <w:sz w:val="28"/>
          <w:szCs w:val="28"/>
        </w:rPr>
        <w:t xml:space="preserve">3.THERAPY FOR </w:t>
      </w:r>
      <w:r w:rsidR="00915A41" w:rsidRPr="00770F23">
        <w:rPr>
          <w:rFonts w:ascii="Times New Roman" w:eastAsia="Times New Roman" w:hAnsi="Times New Roman" w:cs="Times New Roman"/>
          <w:b/>
          <w:sz w:val="28"/>
          <w:szCs w:val="28"/>
        </w:rPr>
        <w:t>DMD:</w:t>
      </w:r>
    </w:p>
    <w:p w:rsidR="00A45DF9" w:rsidRDefault="00A45DF9" w:rsidP="009A20E7">
      <w:pPr>
        <w:spacing w:after="0" w:line="240" w:lineRule="auto"/>
        <w:rPr>
          <w:rFonts w:ascii="Times New Roman" w:eastAsia="Times New Roman" w:hAnsi="Times New Roman" w:cs="Times New Roman"/>
          <w:b/>
          <w:sz w:val="28"/>
          <w:szCs w:val="28"/>
        </w:rPr>
      </w:pPr>
    </w:p>
    <w:p w:rsidR="00EE1277" w:rsidRPr="00833E59" w:rsidRDefault="00833E59" w:rsidP="00833E59">
      <w:pPr>
        <w:rPr>
          <w:rFonts w:ascii="Times New Roman" w:hAnsi="Times New Roman" w:cs="Times New Roman"/>
          <w:b/>
          <w:bCs/>
          <w:sz w:val="28"/>
          <w:szCs w:val="28"/>
        </w:rPr>
      </w:pPr>
      <w:r>
        <w:rPr>
          <w:rFonts w:ascii="Times New Roman" w:hAnsi="Times New Roman" w:cs="Times New Roman"/>
          <w:b/>
          <w:bCs/>
          <w:sz w:val="28"/>
          <w:szCs w:val="28"/>
        </w:rPr>
        <w:t>-</w:t>
      </w:r>
      <w:r w:rsidR="00EE1277" w:rsidRPr="00833E59">
        <w:rPr>
          <w:rFonts w:ascii="Times New Roman" w:hAnsi="Times New Roman" w:cs="Times New Roman"/>
          <w:b/>
          <w:bCs/>
          <w:sz w:val="28"/>
          <w:szCs w:val="28"/>
        </w:rPr>
        <w:t>Exon Skipping Technique:</w:t>
      </w:r>
      <w:r w:rsidR="00EE1277" w:rsidRPr="00833E59">
        <w:rPr>
          <w:rFonts w:ascii="Times New Roman" w:hAnsi="Times New Roman" w:cs="Times New Roman"/>
          <w:sz w:val="28"/>
          <w:szCs w:val="28"/>
        </w:rPr>
        <w:t>Exon skipping is a therapeutic strategy designed to restore the reading frame of the DMD gene, allowing the production of a truncated but partially functional dystrophin protein, similar to what is seen in the milder Becker muscular dystrophy (BMD)</w:t>
      </w:r>
      <w:r w:rsidR="00980854" w:rsidRPr="00833E59">
        <w:rPr>
          <w:rFonts w:ascii="Times New Roman" w:hAnsi="Times New Roman" w:cs="Times New Roman"/>
          <w:sz w:val="28"/>
          <w:szCs w:val="28"/>
        </w:rPr>
        <w:t xml:space="preserve"> [7</w:t>
      </w:r>
      <w:r w:rsidR="00EE1277" w:rsidRPr="00833E59">
        <w:rPr>
          <w:rFonts w:ascii="Times New Roman" w:hAnsi="Times New Roman" w:cs="Times New Roman"/>
          <w:sz w:val="28"/>
          <w:szCs w:val="28"/>
        </w:rPr>
        <w:t>].</w:t>
      </w:r>
    </w:p>
    <w:p w:rsidR="00EE1277" w:rsidRPr="00867CAA" w:rsidRDefault="00EE1277" w:rsidP="00EE1277">
      <w:pPr>
        <w:rPr>
          <w:rFonts w:ascii="Times New Roman" w:hAnsi="Times New Roman" w:cs="Times New Roman"/>
          <w:b/>
          <w:bCs/>
          <w:sz w:val="28"/>
          <w:szCs w:val="28"/>
        </w:rPr>
      </w:pPr>
      <w:r w:rsidRPr="00867CAA">
        <w:rPr>
          <w:rFonts w:ascii="Times New Roman" w:hAnsi="Times New Roman" w:cs="Times New Roman"/>
          <w:b/>
          <w:bCs/>
          <w:sz w:val="28"/>
          <w:szCs w:val="28"/>
        </w:rPr>
        <w:t>Mechanism of Exon Skipping</w:t>
      </w:r>
    </w:p>
    <w:p w:rsidR="00EE1277" w:rsidRPr="00867CAA" w:rsidRDefault="00EE1277" w:rsidP="00EE1277">
      <w:pPr>
        <w:jc w:val="both"/>
        <w:rPr>
          <w:rFonts w:ascii="Times New Roman" w:hAnsi="Times New Roman" w:cs="Times New Roman"/>
          <w:sz w:val="28"/>
          <w:szCs w:val="28"/>
        </w:rPr>
      </w:pPr>
      <w:r w:rsidRPr="00867CAA">
        <w:rPr>
          <w:rFonts w:ascii="Times New Roman" w:hAnsi="Times New Roman" w:cs="Times New Roman"/>
          <w:sz w:val="28"/>
          <w:szCs w:val="28"/>
        </w:rPr>
        <w:t xml:space="preserve">Antisense oligonucleotides (AONs) are artificial RNA-like molecules that attach to particular pre-mRNA regions and are used in exon skipping. A shortened but functional dystrophin protein can be translated because these AONs "mask" certain exons during splicing, causing them to be skipped and thereby restoring the reading frame. </w:t>
      </w:r>
      <w:r w:rsidR="00980854">
        <w:rPr>
          <w:rFonts w:ascii="Times New Roman" w:hAnsi="Times New Roman" w:cs="Times New Roman"/>
          <w:sz w:val="28"/>
          <w:szCs w:val="28"/>
        </w:rPr>
        <w:t>[7,8</w:t>
      </w:r>
      <w:r w:rsidRPr="00867CAA">
        <w:rPr>
          <w:rFonts w:ascii="Times New Roman" w:hAnsi="Times New Roman" w:cs="Times New Roman"/>
          <w:sz w:val="28"/>
          <w:szCs w:val="28"/>
        </w:rPr>
        <w:t>].</w:t>
      </w:r>
    </w:p>
    <w:p w:rsidR="00EE1277" w:rsidRPr="00507DD3" w:rsidRDefault="00C04078" w:rsidP="00EE1277">
      <w:pPr>
        <w:rPr>
          <w:rFonts w:ascii="Times New Roman" w:hAnsi="Times New Roman" w:cs="Times New Roman"/>
          <w:b/>
          <w:bCs/>
          <w:sz w:val="28"/>
          <w:szCs w:val="28"/>
        </w:rPr>
      </w:pPr>
      <w:r>
        <w:rPr>
          <w:rFonts w:ascii="Times New Roman" w:hAnsi="Times New Roman" w:cs="Times New Roman"/>
          <w:b/>
          <w:bCs/>
          <w:sz w:val="28"/>
          <w:szCs w:val="28"/>
        </w:rPr>
        <w:t>Table 1 :</w:t>
      </w:r>
      <w:r w:rsidR="00EE1277" w:rsidRPr="00507DD3">
        <w:rPr>
          <w:rFonts w:ascii="Times New Roman" w:hAnsi="Times New Roman" w:cs="Times New Roman"/>
          <w:b/>
          <w:bCs/>
          <w:sz w:val="28"/>
          <w:szCs w:val="28"/>
        </w:rPr>
        <w:t>Approved Exon Skipping Therapies</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96"/>
        <w:gridCol w:w="1382"/>
        <w:gridCol w:w="1271"/>
        <w:gridCol w:w="2103"/>
        <w:gridCol w:w="3666"/>
      </w:tblGrid>
      <w:tr w:rsidR="00EE1277" w:rsidRPr="00507DD3" w:rsidTr="00370223">
        <w:trPr>
          <w:tblHeader/>
          <w:tblCellSpacing w:w="15" w:type="dxa"/>
        </w:trPr>
        <w:tc>
          <w:tcPr>
            <w:tcW w:w="0" w:type="auto"/>
            <w:vAlign w:val="center"/>
            <w:hideMark/>
          </w:tcPr>
          <w:p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lastRenderedPageBreak/>
              <w:t>Drug Name</w:t>
            </w:r>
          </w:p>
        </w:tc>
        <w:tc>
          <w:tcPr>
            <w:tcW w:w="1384" w:type="dxa"/>
            <w:vAlign w:val="center"/>
            <w:hideMark/>
          </w:tcPr>
          <w:p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Exon Target</w:t>
            </w:r>
          </w:p>
        </w:tc>
        <w:tc>
          <w:tcPr>
            <w:tcW w:w="1245" w:type="dxa"/>
            <w:vAlign w:val="center"/>
            <w:hideMark/>
          </w:tcPr>
          <w:p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Approval</w:t>
            </w:r>
          </w:p>
        </w:tc>
        <w:tc>
          <w:tcPr>
            <w:tcW w:w="2094" w:type="dxa"/>
            <w:vAlign w:val="center"/>
            <w:hideMark/>
          </w:tcPr>
          <w:p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Manufacturer</w:t>
            </w:r>
          </w:p>
        </w:tc>
        <w:tc>
          <w:tcPr>
            <w:tcW w:w="3765" w:type="dxa"/>
            <w:vAlign w:val="center"/>
            <w:hideMark/>
          </w:tcPr>
          <w:p w:rsidR="00EE1277" w:rsidRPr="00507DD3" w:rsidRDefault="00EE1277" w:rsidP="00370223">
            <w:pPr>
              <w:jc w:val="center"/>
              <w:rPr>
                <w:rFonts w:ascii="Times New Roman" w:hAnsi="Times New Roman" w:cs="Times New Roman"/>
                <w:b/>
                <w:bCs/>
                <w:sz w:val="28"/>
                <w:szCs w:val="28"/>
              </w:rPr>
            </w:pPr>
            <w:r w:rsidRPr="00507DD3">
              <w:rPr>
                <w:rFonts w:ascii="Times New Roman" w:hAnsi="Times New Roman" w:cs="Times New Roman"/>
                <w:b/>
                <w:bCs/>
                <w:sz w:val="28"/>
                <w:szCs w:val="28"/>
              </w:rPr>
              <w:t>Note</w:t>
            </w:r>
          </w:p>
        </w:tc>
      </w:tr>
      <w:tr w:rsidR="00EE1277" w:rsidRPr="00507DD3" w:rsidTr="00370223">
        <w:trPr>
          <w:tblCellSpacing w:w="15" w:type="dxa"/>
        </w:trPr>
        <w:tc>
          <w:tcPr>
            <w:tcW w:w="0" w:type="auto"/>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Eteplirsen</w:t>
            </w:r>
          </w:p>
        </w:tc>
        <w:tc>
          <w:tcPr>
            <w:tcW w:w="138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51</w:t>
            </w:r>
          </w:p>
        </w:tc>
        <w:tc>
          <w:tcPr>
            <w:tcW w:w="124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(2016)</w:t>
            </w:r>
          </w:p>
        </w:tc>
        <w:tc>
          <w:tcPr>
            <w:tcW w:w="209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First exon-skipping drug approved.</w:t>
            </w:r>
          </w:p>
        </w:tc>
      </w:tr>
      <w:tr w:rsidR="00EE1277" w:rsidRPr="00507DD3" w:rsidTr="00370223">
        <w:trPr>
          <w:tblCellSpacing w:w="15" w:type="dxa"/>
        </w:trPr>
        <w:tc>
          <w:tcPr>
            <w:tcW w:w="0" w:type="auto"/>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Golodirsen</w:t>
            </w:r>
          </w:p>
        </w:tc>
        <w:tc>
          <w:tcPr>
            <w:tcW w:w="138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(2019)</w:t>
            </w:r>
          </w:p>
        </w:tc>
        <w:tc>
          <w:tcPr>
            <w:tcW w:w="209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Used for mutations amenable to exon 53 skipping.</w:t>
            </w:r>
          </w:p>
        </w:tc>
      </w:tr>
      <w:tr w:rsidR="00EE1277" w:rsidRPr="00507DD3" w:rsidTr="00370223">
        <w:trPr>
          <w:tblCellSpacing w:w="15" w:type="dxa"/>
        </w:trPr>
        <w:tc>
          <w:tcPr>
            <w:tcW w:w="0" w:type="auto"/>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Viltolarsen</w:t>
            </w:r>
          </w:p>
        </w:tc>
        <w:tc>
          <w:tcPr>
            <w:tcW w:w="138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53</w:t>
            </w:r>
          </w:p>
        </w:tc>
        <w:tc>
          <w:tcPr>
            <w:tcW w:w="124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(2020)</w:t>
            </w:r>
          </w:p>
        </w:tc>
        <w:tc>
          <w:tcPr>
            <w:tcW w:w="209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NS Pharma</w:t>
            </w:r>
          </w:p>
        </w:tc>
        <w:tc>
          <w:tcPr>
            <w:tcW w:w="376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Similar to the Golodirsen mechanism.</w:t>
            </w:r>
          </w:p>
        </w:tc>
      </w:tr>
      <w:tr w:rsidR="00EE1277" w:rsidRPr="00507DD3" w:rsidTr="00370223">
        <w:trPr>
          <w:tblCellSpacing w:w="15" w:type="dxa"/>
        </w:trPr>
        <w:tc>
          <w:tcPr>
            <w:tcW w:w="0" w:type="auto"/>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b/>
                <w:bCs/>
                <w:sz w:val="28"/>
                <w:szCs w:val="28"/>
              </w:rPr>
              <w:t>Casimersen</w:t>
            </w:r>
          </w:p>
        </w:tc>
        <w:tc>
          <w:tcPr>
            <w:tcW w:w="138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Exon 45</w:t>
            </w:r>
          </w:p>
        </w:tc>
        <w:tc>
          <w:tcPr>
            <w:tcW w:w="124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FDA (2021)</w:t>
            </w:r>
          </w:p>
        </w:tc>
        <w:tc>
          <w:tcPr>
            <w:tcW w:w="2094"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Sarepta Therapeutics</w:t>
            </w:r>
          </w:p>
        </w:tc>
        <w:tc>
          <w:tcPr>
            <w:tcW w:w="3765" w:type="dxa"/>
            <w:vAlign w:val="center"/>
            <w:hideMark/>
          </w:tcPr>
          <w:p w:rsidR="00EE1277" w:rsidRPr="00507DD3" w:rsidRDefault="00EE1277" w:rsidP="00370223">
            <w:pPr>
              <w:rPr>
                <w:rFonts w:ascii="Times New Roman" w:hAnsi="Times New Roman" w:cs="Times New Roman"/>
                <w:sz w:val="28"/>
                <w:szCs w:val="28"/>
              </w:rPr>
            </w:pPr>
            <w:r w:rsidRPr="00507DD3">
              <w:rPr>
                <w:rFonts w:ascii="Times New Roman" w:hAnsi="Times New Roman" w:cs="Times New Roman"/>
                <w:sz w:val="28"/>
                <w:szCs w:val="28"/>
              </w:rPr>
              <w:t>Targets a different mutation set.</w:t>
            </w:r>
          </w:p>
        </w:tc>
      </w:tr>
    </w:tbl>
    <w:p w:rsidR="00EE1277" w:rsidRPr="00507DD3" w:rsidRDefault="00EE1277" w:rsidP="00EE1277">
      <w:pPr>
        <w:rPr>
          <w:rFonts w:ascii="Times New Roman" w:hAnsi="Times New Roman" w:cs="Times New Roman"/>
          <w:sz w:val="28"/>
          <w:szCs w:val="28"/>
        </w:rPr>
      </w:pPr>
    </w:p>
    <w:p w:rsidR="00EE1277" w:rsidRPr="00507DD3" w:rsidRDefault="00EE1277" w:rsidP="00EE1277">
      <w:pPr>
        <w:rPr>
          <w:rFonts w:ascii="Times New Roman" w:hAnsi="Times New Roman" w:cs="Times New Roman"/>
          <w:sz w:val="28"/>
          <w:szCs w:val="28"/>
        </w:rPr>
      </w:pPr>
      <w:r w:rsidRPr="00507DD3">
        <w:rPr>
          <w:rFonts w:ascii="Times New Roman" w:hAnsi="Times New Roman" w:cs="Times New Roman"/>
          <w:b/>
          <w:bCs/>
          <w:sz w:val="28"/>
          <w:szCs w:val="28"/>
        </w:rPr>
        <w:t>Note:</w:t>
      </w:r>
      <w:r w:rsidRPr="00507DD3">
        <w:rPr>
          <w:rFonts w:ascii="Times New Roman" w:hAnsi="Times New Roman" w:cs="Times New Roman"/>
          <w:sz w:val="28"/>
          <w:szCs w:val="28"/>
        </w:rPr>
        <w:t xml:space="preserve"> These therapies are mutation-specific and only benefit subsets of patients (e.g., ~13% of DMD patients are amenable to exon 51 skipping)</w:t>
      </w:r>
      <w:r w:rsidR="00980854" w:rsidRPr="00507DD3">
        <w:rPr>
          <w:rFonts w:ascii="Times New Roman" w:hAnsi="Times New Roman" w:cs="Times New Roman"/>
          <w:sz w:val="28"/>
          <w:szCs w:val="28"/>
        </w:rPr>
        <w:t xml:space="preserve"> [9,11</w:t>
      </w:r>
      <w:r w:rsidRPr="00507DD3">
        <w:rPr>
          <w:rFonts w:ascii="Times New Roman" w:hAnsi="Times New Roman" w:cs="Times New Roman"/>
          <w:sz w:val="28"/>
          <w:szCs w:val="28"/>
        </w:rPr>
        <w:t>].</w:t>
      </w:r>
    </w:p>
    <w:p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Efficacy and Limitations</w:t>
      </w:r>
    </w:p>
    <w:p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Exon-skipping therapies increase dystrophin levels, but the clinical benefit (e.g., improved muscle strength or function) remains modest.</w:t>
      </w:r>
    </w:p>
    <w:p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Long-term benefits are still being studied in post-market surveillance and clinical trials.</w:t>
      </w:r>
    </w:p>
    <w:p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Intravenous or subcutaneous delivery of AONs is required weekly or biweekly.</w:t>
      </w:r>
    </w:p>
    <w:p w:rsidR="00EE1277" w:rsidRPr="00507DD3" w:rsidRDefault="00EE1277" w:rsidP="00EE1277">
      <w:pPr>
        <w:numPr>
          <w:ilvl w:val="0"/>
          <w:numId w:val="10"/>
        </w:numPr>
        <w:spacing w:line="278" w:lineRule="auto"/>
        <w:jc w:val="both"/>
        <w:rPr>
          <w:rFonts w:ascii="Times New Roman" w:hAnsi="Times New Roman" w:cs="Times New Roman"/>
          <w:sz w:val="28"/>
          <w:szCs w:val="28"/>
        </w:rPr>
      </w:pPr>
      <w:r w:rsidRPr="00507DD3">
        <w:rPr>
          <w:rFonts w:ascii="Times New Roman" w:hAnsi="Times New Roman" w:cs="Times New Roman"/>
          <w:sz w:val="28"/>
          <w:szCs w:val="28"/>
        </w:rPr>
        <w:t>New generations of AONs with enhanced delivery and stability (e.g., peptide-conjugated AONs, morpholino backbones) are in development</w:t>
      </w:r>
      <w:r w:rsidR="00980854" w:rsidRPr="00507DD3">
        <w:rPr>
          <w:rFonts w:ascii="Times New Roman" w:hAnsi="Times New Roman" w:cs="Times New Roman"/>
          <w:sz w:val="28"/>
          <w:szCs w:val="28"/>
        </w:rPr>
        <w:t xml:space="preserve"> [7,10,11</w:t>
      </w:r>
      <w:r w:rsidRPr="00507DD3">
        <w:rPr>
          <w:rFonts w:ascii="Times New Roman" w:hAnsi="Times New Roman" w:cs="Times New Roman"/>
          <w:sz w:val="28"/>
          <w:szCs w:val="28"/>
        </w:rPr>
        <w:t>].</w:t>
      </w:r>
    </w:p>
    <w:p w:rsidR="00EE1277" w:rsidRPr="00507DD3" w:rsidRDefault="00EE1277" w:rsidP="00EE1277">
      <w:pPr>
        <w:rPr>
          <w:rFonts w:ascii="Times New Roman" w:hAnsi="Times New Roman" w:cs="Times New Roman"/>
          <w:b/>
          <w:bCs/>
          <w:sz w:val="28"/>
          <w:szCs w:val="28"/>
        </w:rPr>
      </w:pPr>
      <w:r w:rsidRPr="00507DD3">
        <w:rPr>
          <w:rFonts w:ascii="Times New Roman" w:hAnsi="Times New Roman" w:cs="Times New Roman"/>
          <w:b/>
          <w:bCs/>
          <w:sz w:val="28"/>
          <w:szCs w:val="28"/>
        </w:rPr>
        <w:t>Recent Advances &amp; Research</w:t>
      </w:r>
    </w:p>
    <w:p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Peptide-Conjugated PMOs (PPMOs)</w:t>
      </w:r>
      <w:r w:rsidRPr="00507DD3">
        <w:rPr>
          <w:rFonts w:ascii="Times New Roman" w:hAnsi="Times New Roman" w:cs="Times New Roman"/>
          <w:sz w:val="28"/>
          <w:szCs w:val="28"/>
        </w:rPr>
        <w:t xml:space="preserve"> – These are PMO-based AONs linked with cell-penetrating peptides to improve delivery</w:t>
      </w:r>
      <w:r w:rsidR="004D6863" w:rsidRPr="00507DD3">
        <w:rPr>
          <w:rFonts w:ascii="Times New Roman" w:hAnsi="Times New Roman" w:cs="Times New Roman"/>
          <w:sz w:val="28"/>
          <w:szCs w:val="28"/>
        </w:rPr>
        <w:t xml:space="preserve"> [10</w:t>
      </w:r>
      <w:r w:rsidRPr="00507DD3">
        <w:rPr>
          <w:rFonts w:ascii="Times New Roman" w:hAnsi="Times New Roman" w:cs="Times New Roman"/>
          <w:sz w:val="28"/>
          <w:szCs w:val="28"/>
        </w:rPr>
        <w:t>].</w:t>
      </w:r>
    </w:p>
    <w:p w:rsidR="00EE1277" w:rsidRPr="00507DD3" w:rsidRDefault="00EE1277" w:rsidP="00EE1277">
      <w:pPr>
        <w:numPr>
          <w:ilvl w:val="1"/>
          <w:numId w:val="11"/>
        </w:numPr>
        <w:spacing w:line="278" w:lineRule="auto"/>
        <w:rPr>
          <w:rFonts w:ascii="Times New Roman" w:hAnsi="Times New Roman" w:cs="Times New Roman"/>
          <w:sz w:val="28"/>
          <w:szCs w:val="28"/>
        </w:rPr>
      </w:pPr>
      <w:r w:rsidRPr="00507DD3">
        <w:rPr>
          <w:rFonts w:ascii="Times New Roman" w:hAnsi="Times New Roman" w:cs="Times New Roman"/>
          <w:sz w:val="28"/>
          <w:szCs w:val="28"/>
        </w:rPr>
        <w:t xml:space="preserve">Example: </w:t>
      </w:r>
      <w:r w:rsidRPr="00507DD3">
        <w:rPr>
          <w:rFonts w:ascii="Times New Roman" w:hAnsi="Times New Roman" w:cs="Times New Roman"/>
          <w:b/>
          <w:bCs/>
          <w:sz w:val="28"/>
          <w:szCs w:val="28"/>
        </w:rPr>
        <w:t>SRP-5051</w:t>
      </w:r>
      <w:r w:rsidRPr="00507DD3">
        <w:rPr>
          <w:rFonts w:ascii="Times New Roman" w:hAnsi="Times New Roman" w:cs="Times New Roman"/>
          <w:sz w:val="28"/>
          <w:szCs w:val="28"/>
        </w:rPr>
        <w:t>, a next-generation PPMO targeting exon 51.</w:t>
      </w:r>
    </w:p>
    <w:p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lastRenderedPageBreak/>
        <w:t>Multi-exon skipping</w:t>
      </w:r>
      <w:r w:rsidRPr="00507DD3">
        <w:rPr>
          <w:rFonts w:ascii="Times New Roman" w:hAnsi="Times New Roman" w:cs="Times New Roman"/>
          <w:sz w:val="28"/>
          <w:szCs w:val="28"/>
        </w:rPr>
        <w:t xml:space="preserve"> – Efforts are underway to skip multiple exons simultaneously (e.g., 45–55) to treat a broader range of mutations</w:t>
      </w:r>
      <w:r w:rsidR="004D6863" w:rsidRPr="00507DD3">
        <w:rPr>
          <w:rFonts w:ascii="Times New Roman" w:hAnsi="Times New Roman" w:cs="Times New Roman"/>
          <w:sz w:val="28"/>
          <w:szCs w:val="28"/>
        </w:rPr>
        <w:t xml:space="preserve"> [14</w:t>
      </w:r>
      <w:r w:rsidRPr="00507DD3">
        <w:rPr>
          <w:rFonts w:ascii="Times New Roman" w:hAnsi="Times New Roman" w:cs="Times New Roman"/>
          <w:sz w:val="28"/>
          <w:szCs w:val="28"/>
        </w:rPr>
        <w:t>].</w:t>
      </w:r>
    </w:p>
    <w:p w:rsidR="00EE1277" w:rsidRPr="00507DD3" w:rsidRDefault="00EE1277" w:rsidP="00EE1277">
      <w:pPr>
        <w:numPr>
          <w:ilvl w:val="0"/>
          <w:numId w:val="11"/>
        </w:numPr>
        <w:spacing w:line="278" w:lineRule="auto"/>
        <w:rPr>
          <w:rFonts w:ascii="Times New Roman" w:hAnsi="Times New Roman" w:cs="Times New Roman"/>
          <w:sz w:val="28"/>
          <w:szCs w:val="28"/>
        </w:rPr>
      </w:pPr>
      <w:r w:rsidRPr="00507DD3">
        <w:rPr>
          <w:rFonts w:ascii="Times New Roman" w:hAnsi="Times New Roman" w:cs="Times New Roman"/>
          <w:b/>
          <w:bCs/>
          <w:sz w:val="28"/>
          <w:szCs w:val="28"/>
        </w:rPr>
        <w:t>Combination with gene editing</w:t>
      </w:r>
      <w:r w:rsidRPr="00507DD3">
        <w:rPr>
          <w:rFonts w:ascii="Times New Roman" w:hAnsi="Times New Roman" w:cs="Times New Roman"/>
          <w:sz w:val="28"/>
          <w:szCs w:val="28"/>
        </w:rPr>
        <w:t xml:space="preserve"> – Potential for synergy with CRISPR/Cas9 to induce exon skipping or correct mutations directly</w:t>
      </w:r>
      <w:r w:rsidR="004D6863" w:rsidRPr="00507DD3">
        <w:rPr>
          <w:rFonts w:ascii="Times New Roman" w:hAnsi="Times New Roman" w:cs="Times New Roman"/>
          <w:sz w:val="28"/>
          <w:szCs w:val="28"/>
        </w:rPr>
        <w:t xml:space="preserve"> [11</w:t>
      </w:r>
      <w:r w:rsidRPr="00507DD3">
        <w:rPr>
          <w:rFonts w:ascii="Times New Roman" w:hAnsi="Times New Roman" w:cs="Times New Roman"/>
          <w:sz w:val="28"/>
          <w:szCs w:val="28"/>
        </w:rPr>
        <w:t>].</w:t>
      </w:r>
    </w:p>
    <w:p w:rsidR="00EE1277" w:rsidRPr="00507DD3" w:rsidRDefault="00833E59" w:rsidP="00833E59">
      <w:pPr>
        <w:tabs>
          <w:tab w:val="left" w:pos="6108"/>
        </w:tabs>
        <w:rPr>
          <w:rFonts w:ascii="Times New Roman" w:hAnsi="Times New Roman" w:cs="Times New Roman"/>
          <w:b/>
          <w:bCs/>
          <w:sz w:val="28"/>
          <w:szCs w:val="28"/>
        </w:rPr>
      </w:pPr>
      <w:r>
        <w:rPr>
          <w:rFonts w:ascii="Times New Roman" w:hAnsi="Times New Roman" w:cs="Times New Roman"/>
          <w:b/>
          <w:bCs/>
          <w:sz w:val="28"/>
          <w:szCs w:val="28"/>
        </w:rPr>
        <w:t>-</w:t>
      </w:r>
      <w:r w:rsidR="00EE1277" w:rsidRPr="00507DD3">
        <w:rPr>
          <w:rFonts w:ascii="Times New Roman" w:hAnsi="Times New Roman" w:cs="Times New Roman"/>
          <w:b/>
          <w:bCs/>
          <w:sz w:val="28"/>
          <w:szCs w:val="28"/>
        </w:rPr>
        <w:t>Gene Ther</w:t>
      </w:r>
      <w:r>
        <w:rPr>
          <w:rFonts w:ascii="Times New Roman" w:hAnsi="Times New Roman" w:cs="Times New Roman"/>
          <w:b/>
          <w:bCs/>
          <w:sz w:val="28"/>
          <w:szCs w:val="28"/>
        </w:rPr>
        <w:t>apy and Microdystrophin Delivery:</w:t>
      </w:r>
    </w:p>
    <w:p w:rsidR="00EE1277" w:rsidRPr="00507DD3" w:rsidRDefault="00EE1277" w:rsidP="00EE1277">
      <w:pPr>
        <w:jc w:val="both"/>
        <w:rPr>
          <w:rFonts w:ascii="Times New Roman" w:hAnsi="Times New Roman" w:cs="Times New Roman"/>
          <w:sz w:val="28"/>
          <w:szCs w:val="28"/>
        </w:rPr>
      </w:pPr>
      <w:r w:rsidRPr="00507DD3">
        <w:rPr>
          <w:rFonts w:ascii="Times New Roman" w:hAnsi="Times New Roman" w:cs="Times New Roman"/>
          <w:sz w:val="28"/>
          <w:szCs w:val="28"/>
        </w:rPr>
        <w:t>Gene therapy using microdystrophin delivery is a leading experimental approach in treating Duchenne Muscular Dystrophy (DMD). Unlike exon skipping (which modifies splicing), gene therapy aims to replace the defective dystrophin gene with a miniaturized but functional version—called microdystrophin—using viral vectors such as adeno-associated virus (AAV) vectors</w:t>
      </w:r>
      <w:r w:rsidR="004D6863" w:rsidRPr="00507DD3">
        <w:rPr>
          <w:rFonts w:ascii="Times New Roman" w:hAnsi="Times New Roman" w:cs="Times New Roman"/>
          <w:sz w:val="28"/>
          <w:szCs w:val="28"/>
        </w:rPr>
        <w:t xml:space="preserve"> [13</w:t>
      </w:r>
      <w:r w:rsidRPr="00507DD3">
        <w:rPr>
          <w:rFonts w:ascii="Times New Roman" w:hAnsi="Times New Roman" w:cs="Times New Roman"/>
          <w:sz w:val="28"/>
          <w:szCs w:val="28"/>
        </w:rPr>
        <w:t>].</w:t>
      </w:r>
    </w:p>
    <w:p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Mechanism</w:t>
      </w:r>
    </w:p>
    <w:p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b/>
          <w:bCs/>
          <w:sz w:val="28"/>
          <w:szCs w:val="28"/>
        </w:rPr>
        <w:t>AAV vectors</w:t>
      </w:r>
      <w:r w:rsidRPr="00507DD3">
        <w:rPr>
          <w:rFonts w:ascii="Times New Roman" w:hAnsi="Times New Roman" w:cs="Times New Roman"/>
          <w:sz w:val="28"/>
          <w:szCs w:val="28"/>
        </w:rPr>
        <w:t xml:space="preserve"> are used because of their </w:t>
      </w:r>
      <w:r w:rsidRPr="00507DD3">
        <w:rPr>
          <w:rFonts w:ascii="Times New Roman" w:hAnsi="Times New Roman" w:cs="Times New Roman"/>
          <w:b/>
          <w:bCs/>
          <w:sz w:val="28"/>
          <w:szCs w:val="28"/>
        </w:rPr>
        <w:t>low immunogenicity</w:t>
      </w:r>
      <w:r w:rsidRPr="00507DD3">
        <w:rPr>
          <w:rFonts w:ascii="Times New Roman" w:hAnsi="Times New Roman" w:cs="Times New Roman"/>
          <w:sz w:val="28"/>
          <w:szCs w:val="28"/>
        </w:rPr>
        <w:t xml:space="preserve"> and </w:t>
      </w:r>
      <w:r w:rsidRPr="00507DD3">
        <w:rPr>
          <w:rFonts w:ascii="Times New Roman" w:hAnsi="Times New Roman" w:cs="Times New Roman"/>
          <w:b/>
          <w:bCs/>
          <w:sz w:val="28"/>
          <w:szCs w:val="28"/>
        </w:rPr>
        <w:t>long-term expression</w:t>
      </w:r>
      <w:r w:rsidRPr="00507DD3">
        <w:rPr>
          <w:rFonts w:ascii="Times New Roman" w:hAnsi="Times New Roman" w:cs="Times New Roman"/>
          <w:sz w:val="28"/>
          <w:szCs w:val="28"/>
        </w:rPr>
        <w:t xml:space="preserve"> in muscle cells.</w:t>
      </w:r>
    </w:p>
    <w:p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b/>
          <w:bCs/>
          <w:sz w:val="28"/>
          <w:szCs w:val="28"/>
        </w:rPr>
        <w:t>Microdystrophin</w:t>
      </w:r>
      <w:r w:rsidRPr="00507DD3">
        <w:rPr>
          <w:rFonts w:ascii="Times New Roman" w:hAnsi="Times New Roman" w:cs="Times New Roman"/>
          <w:sz w:val="28"/>
          <w:szCs w:val="28"/>
        </w:rPr>
        <w:t xml:space="preserve"> contains essential domains: the N-terminal actin-binding domain, central rod domain (selected repeats), and the cysteine-rich domain.</w:t>
      </w:r>
    </w:p>
    <w:p w:rsidR="00EE1277" w:rsidRPr="00507DD3" w:rsidRDefault="00EE1277" w:rsidP="00F74535">
      <w:pPr>
        <w:numPr>
          <w:ilvl w:val="0"/>
          <w:numId w:val="12"/>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 xml:space="preserve">These are delivered via </w:t>
      </w:r>
      <w:r w:rsidRPr="00507DD3">
        <w:rPr>
          <w:rFonts w:ascii="Times New Roman" w:hAnsi="Times New Roman" w:cs="Times New Roman"/>
          <w:b/>
          <w:bCs/>
          <w:sz w:val="28"/>
          <w:szCs w:val="28"/>
        </w:rPr>
        <w:t>systemic intravenous infusion</w:t>
      </w:r>
      <w:r w:rsidRPr="00507DD3">
        <w:rPr>
          <w:rFonts w:ascii="Times New Roman" w:hAnsi="Times New Roman" w:cs="Times New Roman"/>
          <w:sz w:val="28"/>
          <w:szCs w:val="28"/>
        </w:rPr>
        <w:t xml:space="preserve"> to restore partial dystrophin function</w:t>
      </w:r>
      <w:r w:rsidR="004D6863" w:rsidRPr="00507DD3">
        <w:rPr>
          <w:rFonts w:ascii="Times New Roman" w:hAnsi="Times New Roman" w:cs="Times New Roman"/>
          <w:sz w:val="28"/>
          <w:szCs w:val="28"/>
        </w:rPr>
        <w:t xml:space="preserve"> [13, 14</w:t>
      </w:r>
      <w:r w:rsidRPr="00507DD3">
        <w:rPr>
          <w:rFonts w:ascii="Times New Roman" w:hAnsi="Times New Roman" w:cs="Times New Roman"/>
          <w:sz w:val="28"/>
          <w:szCs w:val="28"/>
        </w:rPr>
        <w:t>].</w:t>
      </w:r>
    </w:p>
    <w:p w:rsidR="00507DD3" w:rsidRPr="00507DD3" w:rsidRDefault="00C04078" w:rsidP="00EE1277">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w:t>
      </w:r>
      <w:r w:rsidR="00EE1277" w:rsidRPr="00507DD3">
        <w:rPr>
          <w:rFonts w:ascii="Times New Roman" w:eastAsia="Times New Roman" w:hAnsi="Times New Roman" w:cs="Times New Roman"/>
          <w:b/>
          <w:bCs/>
          <w:sz w:val="28"/>
          <w:szCs w:val="28"/>
        </w:rPr>
        <w:t>Key Gene Therapy Trials and Approaches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79"/>
        <w:gridCol w:w="1701"/>
        <w:gridCol w:w="3685"/>
      </w:tblGrid>
      <w:tr w:rsidR="00EE1277" w:rsidRPr="00507DD3" w:rsidTr="00370223">
        <w:trPr>
          <w:tblHeader/>
          <w:tblCellSpacing w:w="15" w:type="dxa"/>
        </w:trPr>
        <w:tc>
          <w:tcPr>
            <w:tcW w:w="3211" w:type="dxa"/>
            <w:vAlign w:val="center"/>
            <w:hideMark/>
          </w:tcPr>
          <w:p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Therapy</w:t>
            </w:r>
          </w:p>
        </w:tc>
        <w:tc>
          <w:tcPr>
            <w:tcW w:w="1671" w:type="dxa"/>
            <w:vAlign w:val="center"/>
            <w:hideMark/>
          </w:tcPr>
          <w:p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Company</w:t>
            </w:r>
          </w:p>
        </w:tc>
        <w:tc>
          <w:tcPr>
            <w:tcW w:w="3640" w:type="dxa"/>
            <w:vAlign w:val="center"/>
            <w:hideMark/>
          </w:tcPr>
          <w:p w:rsidR="00EE1277" w:rsidRPr="00507DD3" w:rsidRDefault="00EE1277" w:rsidP="00370223">
            <w:pPr>
              <w:spacing w:after="0" w:line="240" w:lineRule="auto"/>
              <w:jc w:val="center"/>
              <w:rPr>
                <w:rFonts w:ascii="Times New Roman" w:eastAsia="Times New Roman" w:hAnsi="Times New Roman" w:cs="Times New Roman"/>
                <w:b/>
                <w:bCs/>
                <w:sz w:val="28"/>
                <w:szCs w:val="28"/>
              </w:rPr>
            </w:pPr>
            <w:r w:rsidRPr="00507DD3">
              <w:rPr>
                <w:rFonts w:ascii="Times New Roman" w:eastAsia="Times New Roman" w:hAnsi="Times New Roman" w:cs="Times New Roman"/>
                <w:b/>
                <w:bCs/>
                <w:sz w:val="28"/>
                <w:szCs w:val="28"/>
              </w:rPr>
              <w:t>Status</w:t>
            </w:r>
          </w:p>
        </w:tc>
      </w:tr>
      <w:tr w:rsidR="00EE1277" w:rsidRPr="00507DD3" w:rsidTr="00370223">
        <w:trPr>
          <w:tblCellSpacing w:w="15" w:type="dxa"/>
        </w:trPr>
        <w:tc>
          <w:tcPr>
            <w:tcW w:w="321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Delandistrogenemoxeparvovec (SRP-9001)</w:t>
            </w:r>
          </w:p>
        </w:tc>
        <w:tc>
          <w:tcPr>
            <w:tcW w:w="167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 + Roche</w:t>
            </w:r>
          </w:p>
        </w:tc>
        <w:tc>
          <w:tcPr>
            <w:tcW w:w="3640"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FDA accelerated approval (2023, ages 4–5); pivotal trials ongoing</w:t>
            </w:r>
          </w:p>
        </w:tc>
      </w:tr>
      <w:tr w:rsidR="00EE1277" w:rsidRPr="00507DD3" w:rsidTr="00370223">
        <w:trPr>
          <w:tblCellSpacing w:w="15" w:type="dxa"/>
        </w:trPr>
        <w:tc>
          <w:tcPr>
            <w:tcW w:w="321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PF-06939926</w:t>
            </w:r>
          </w:p>
        </w:tc>
        <w:tc>
          <w:tcPr>
            <w:tcW w:w="167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Pfizer</w:t>
            </w:r>
          </w:p>
        </w:tc>
        <w:tc>
          <w:tcPr>
            <w:tcW w:w="3640"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Phase III (CIFFREO trial ongoing)</w:t>
            </w:r>
          </w:p>
        </w:tc>
      </w:tr>
      <w:tr w:rsidR="00EE1277" w:rsidRPr="00507DD3" w:rsidTr="00370223">
        <w:trPr>
          <w:tblCellSpacing w:w="15" w:type="dxa"/>
        </w:trPr>
        <w:tc>
          <w:tcPr>
            <w:tcW w:w="321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SRP-9003</w:t>
            </w:r>
          </w:p>
        </w:tc>
        <w:tc>
          <w:tcPr>
            <w:tcW w:w="167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Sarepta</w:t>
            </w:r>
          </w:p>
        </w:tc>
        <w:tc>
          <w:tcPr>
            <w:tcW w:w="3640"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For LGMD, relevant for delivery tech</w:t>
            </w:r>
          </w:p>
        </w:tc>
      </w:tr>
      <w:tr w:rsidR="00EE1277" w:rsidRPr="00507DD3" w:rsidTr="00370223">
        <w:trPr>
          <w:trHeight w:val="425"/>
          <w:tblCellSpacing w:w="15" w:type="dxa"/>
        </w:trPr>
        <w:tc>
          <w:tcPr>
            <w:tcW w:w="321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GNT0004</w:t>
            </w:r>
          </w:p>
        </w:tc>
        <w:tc>
          <w:tcPr>
            <w:tcW w:w="1671"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Genethon</w:t>
            </w:r>
          </w:p>
        </w:tc>
        <w:tc>
          <w:tcPr>
            <w:tcW w:w="3640" w:type="dxa"/>
            <w:vAlign w:val="center"/>
            <w:hideMark/>
          </w:tcPr>
          <w:p w:rsidR="00EE1277" w:rsidRPr="00507DD3" w:rsidRDefault="00EE1277" w:rsidP="00370223">
            <w:pPr>
              <w:spacing w:after="0" w:line="240" w:lineRule="auto"/>
              <w:rPr>
                <w:rFonts w:ascii="Times New Roman" w:eastAsia="Times New Roman" w:hAnsi="Times New Roman" w:cs="Times New Roman"/>
                <w:sz w:val="28"/>
                <w:szCs w:val="28"/>
              </w:rPr>
            </w:pPr>
            <w:r w:rsidRPr="00507DD3">
              <w:rPr>
                <w:rFonts w:ascii="Times New Roman" w:eastAsia="Times New Roman" w:hAnsi="Times New Roman" w:cs="Times New Roman"/>
                <w:sz w:val="28"/>
                <w:szCs w:val="28"/>
              </w:rPr>
              <w:t>Preclinical</w:t>
            </w:r>
          </w:p>
        </w:tc>
      </w:tr>
    </w:tbl>
    <w:p w:rsidR="00644E2C" w:rsidRDefault="00644E2C" w:rsidP="00EE1277">
      <w:pPr>
        <w:jc w:val="both"/>
        <w:rPr>
          <w:rFonts w:ascii="Times New Roman" w:hAnsi="Times New Roman" w:cs="Times New Roman"/>
          <w:sz w:val="28"/>
          <w:szCs w:val="28"/>
        </w:rPr>
      </w:pPr>
    </w:p>
    <w:p w:rsidR="00F74535" w:rsidRDefault="00F74535" w:rsidP="00EE1277">
      <w:pPr>
        <w:jc w:val="both"/>
        <w:rPr>
          <w:rFonts w:ascii="Times New Roman" w:hAnsi="Times New Roman" w:cs="Times New Roman"/>
          <w:b/>
          <w:bCs/>
          <w:sz w:val="28"/>
          <w:szCs w:val="28"/>
        </w:rPr>
      </w:pPr>
    </w:p>
    <w:p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 xml:space="preserve">Benefits </w:t>
      </w:r>
      <w:r w:rsidR="004D6863" w:rsidRPr="00507DD3">
        <w:rPr>
          <w:rFonts w:ascii="Times New Roman" w:hAnsi="Times New Roman" w:cs="Times New Roman"/>
          <w:sz w:val="28"/>
          <w:szCs w:val="28"/>
        </w:rPr>
        <w:t>[16,17</w:t>
      </w:r>
      <w:r w:rsidRPr="00507DD3">
        <w:rPr>
          <w:rFonts w:ascii="Times New Roman" w:hAnsi="Times New Roman" w:cs="Times New Roman"/>
          <w:sz w:val="28"/>
          <w:szCs w:val="28"/>
        </w:rPr>
        <w:t>]</w:t>
      </w:r>
    </w:p>
    <w:p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lastRenderedPageBreak/>
        <w:t>Enables systemic delivery of functional dystrophin.</w:t>
      </w:r>
    </w:p>
    <w:p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Aims for long-term dystrophin expression with a single dose.</w:t>
      </w:r>
    </w:p>
    <w:p w:rsidR="00EE1277" w:rsidRPr="00507DD3" w:rsidRDefault="00EE1277" w:rsidP="00F74535">
      <w:pPr>
        <w:numPr>
          <w:ilvl w:val="0"/>
          <w:numId w:val="13"/>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Potential for treating a broad range of DMD mutations, unlike exon skipping, which is mutation-specific.</w:t>
      </w:r>
    </w:p>
    <w:p w:rsidR="00EE1277" w:rsidRPr="00507DD3" w:rsidRDefault="00EE1277" w:rsidP="00EE1277">
      <w:pPr>
        <w:jc w:val="both"/>
        <w:rPr>
          <w:rFonts w:ascii="Times New Roman" w:hAnsi="Times New Roman" w:cs="Times New Roman"/>
          <w:b/>
          <w:bCs/>
          <w:sz w:val="28"/>
          <w:szCs w:val="28"/>
        </w:rPr>
      </w:pPr>
      <w:r w:rsidRPr="00507DD3">
        <w:rPr>
          <w:rFonts w:ascii="Times New Roman" w:hAnsi="Times New Roman" w:cs="Times New Roman"/>
          <w:b/>
          <w:bCs/>
          <w:sz w:val="28"/>
          <w:szCs w:val="28"/>
        </w:rPr>
        <w:t>Challenges and Limitations</w:t>
      </w:r>
      <w:r w:rsidR="004D6863" w:rsidRPr="00507DD3">
        <w:rPr>
          <w:rFonts w:ascii="Times New Roman" w:hAnsi="Times New Roman" w:cs="Times New Roman"/>
          <w:b/>
          <w:bCs/>
          <w:sz w:val="28"/>
          <w:szCs w:val="28"/>
        </w:rPr>
        <w:t xml:space="preserve"> [17</w:t>
      </w:r>
      <w:r w:rsidRPr="00507DD3">
        <w:rPr>
          <w:rFonts w:ascii="Times New Roman" w:hAnsi="Times New Roman" w:cs="Times New Roman"/>
          <w:b/>
          <w:bCs/>
          <w:sz w:val="28"/>
          <w:szCs w:val="28"/>
        </w:rPr>
        <w:t>]</w:t>
      </w:r>
    </w:p>
    <w:p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Immune response to AAV or transgene.</w:t>
      </w:r>
    </w:p>
    <w:p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Hepatotoxicity and systemic inflammation were reported in trials.</w:t>
      </w:r>
    </w:p>
    <w:p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AAV-neutralizing antibodies preclude some patients from receiving therapy.</w:t>
      </w:r>
    </w:p>
    <w:p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Durability and repeat dosing remain concerns (AAV cannot be redosed easily).</w:t>
      </w:r>
    </w:p>
    <w:p w:rsidR="00EE1277" w:rsidRPr="00507DD3" w:rsidRDefault="00EE1277" w:rsidP="00F74535">
      <w:pPr>
        <w:numPr>
          <w:ilvl w:val="0"/>
          <w:numId w:val="14"/>
        </w:numPr>
        <w:spacing w:line="240" w:lineRule="auto"/>
        <w:jc w:val="both"/>
        <w:rPr>
          <w:rFonts w:ascii="Times New Roman" w:hAnsi="Times New Roman" w:cs="Times New Roman"/>
          <w:sz w:val="28"/>
          <w:szCs w:val="28"/>
        </w:rPr>
      </w:pPr>
      <w:r w:rsidRPr="00507DD3">
        <w:rPr>
          <w:rFonts w:ascii="Times New Roman" w:hAnsi="Times New Roman" w:cs="Times New Roman"/>
          <w:sz w:val="28"/>
          <w:szCs w:val="28"/>
        </w:rPr>
        <w:t>Cardiac involvement—dystrophin restoration in the heart is still variable.</w:t>
      </w:r>
    </w:p>
    <w:p w:rsidR="00833E59" w:rsidRPr="00770F23" w:rsidRDefault="00833E59" w:rsidP="00982FCB">
      <w:pPr>
        <w:rPr>
          <w:rFonts w:ascii="Times New Roman" w:hAnsi="Times New Roman" w:cs="Times New Roman"/>
          <w:b/>
          <w:sz w:val="28"/>
          <w:szCs w:val="28"/>
        </w:rPr>
      </w:pPr>
      <w:r w:rsidRPr="00770F23">
        <w:rPr>
          <w:rFonts w:ascii="Times New Roman" w:hAnsi="Times New Roman" w:cs="Times New Roman"/>
          <w:b/>
          <w:sz w:val="28"/>
          <w:szCs w:val="28"/>
        </w:rPr>
        <w:t>CONCLUSION:</w:t>
      </w:r>
    </w:p>
    <w:p w:rsidR="00982FCB" w:rsidRDefault="00982FCB" w:rsidP="00982FCB">
      <w:pPr>
        <w:rPr>
          <w:rFonts w:ascii="Times New Roman" w:eastAsia="Times New Roman" w:hAnsi="Times New Roman" w:cs="Times New Roman"/>
          <w:sz w:val="24"/>
          <w:szCs w:val="24"/>
        </w:rPr>
      </w:pPr>
      <w:r w:rsidRPr="00982FCB">
        <w:rPr>
          <w:rFonts w:ascii="Times New Roman" w:eastAsia="Times New Roman" w:hAnsi="Times New Roman" w:cs="Times New Roman"/>
          <w:sz w:val="28"/>
          <w:szCs w:val="28"/>
        </w:rPr>
        <w:t xml:space="preserve">Advances in corticosteroid therapy and molecular approaches such as exon skipping and gene therapy are reshaping the DMD treatment landscape. While clinical outcomes are improving, variability in therapeutic response, mutation-specific limitations, and access to </w:t>
      </w:r>
      <w:bookmarkStart w:id="8" w:name="_Hlk205045202"/>
      <w:r w:rsidRPr="00982FCB">
        <w:rPr>
          <w:rFonts w:ascii="Times New Roman" w:eastAsia="Times New Roman" w:hAnsi="Times New Roman" w:cs="Times New Roman"/>
          <w:sz w:val="28"/>
          <w:szCs w:val="28"/>
        </w:rPr>
        <w:t xml:space="preserve">novel therapies </w:t>
      </w:r>
      <w:bookmarkEnd w:id="8"/>
      <w:r w:rsidRPr="00982FCB">
        <w:rPr>
          <w:rFonts w:ascii="Times New Roman" w:eastAsia="Times New Roman" w:hAnsi="Times New Roman" w:cs="Times New Roman"/>
          <w:sz w:val="28"/>
          <w:szCs w:val="28"/>
        </w:rPr>
        <w:t>remain key challenges. Further research is needed to assess long-term safety, cardiac efficacy, and real-world effectiveness of emerging treatments</w:t>
      </w:r>
      <w:r w:rsidRPr="00982FCB">
        <w:rPr>
          <w:rFonts w:ascii="Times New Roman" w:eastAsia="Times New Roman" w:hAnsi="Times New Roman" w:cs="Times New Roman"/>
          <w:sz w:val="24"/>
          <w:szCs w:val="24"/>
        </w:rPr>
        <w:t>.</w:t>
      </w:r>
    </w:p>
    <w:p w:rsidR="00644E2C" w:rsidRDefault="00644E2C" w:rsidP="00F77592">
      <w:pPr>
        <w:spacing w:line="278" w:lineRule="auto"/>
        <w:jc w:val="both"/>
        <w:rPr>
          <w:rFonts w:ascii="Times New Roman" w:hAnsi="Times New Roman" w:cs="Times New Roman"/>
          <w:b/>
          <w:sz w:val="28"/>
          <w:szCs w:val="28"/>
        </w:rPr>
      </w:pPr>
    </w:p>
    <w:p w:rsidR="00D234AF" w:rsidRPr="003A29C6" w:rsidRDefault="00D234AF" w:rsidP="00D234AF">
      <w:pPr>
        <w:jc w:val="both"/>
        <w:outlineLvl w:val="0"/>
        <w:rPr>
          <w:rFonts w:ascii="Arial" w:hAnsi="Arial" w:cs="Arial"/>
        </w:rPr>
      </w:pPr>
      <w:r w:rsidRPr="003A29C6">
        <w:rPr>
          <w:rFonts w:ascii="Arial" w:hAnsi="Arial" w:cs="Arial"/>
          <w:b/>
          <w:bCs/>
        </w:rPr>
        <w:t>COMPETING INTERESTS DISCLAIMER:</w:t>
      </w:r>
    </w:p>
    <w:p w:rsidR="00D234AF" w:rsidRDefault="00D234AF" w:rsidP="00D234AF">
      <w:r w:rsidRPr="00A10EDE">
        <w:t>Authors have declared that they have no known competing financial interests OR non-financial interests OR personal relationships that could have appeared to influence the work reported in this paper.</w:t>
      </w:r>
    </w:p>
    <w:p w:rsidR="00D234AF" w:rsidRDefault="00D234AF"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644E2C" w:rsidRDefault="00644E2C" w:rsidP="00F77592">
      <w:pPr>
        <w:spacing w:line="278" w:lineRule="auto"/>
        <w:jc w:val="both"/>
        <w:rPr>
          <w:rFonts w:ascii="Times New Roman" w:hAnsi="Times New Roman" w:cs="Times New Roman"/>
          <w:b/>
          <w:sz w:val="28"/>
          <w:szCs w:val="28"/>
        </w:rPr>
      </w:pPr>
    </w:p>
    <w:p w:rsidR="00F74535" w:rsidRDefault="00F74535" w:rsidP="00F77592">
      <w:pPr>
        <w:spacing w:line="278" w:lineRule="auto"/>
        <w:jc w:val="both"/>
        <w:rPr>
          <w:rFonts w:ascii="Times New Roman" w:hAnsi="Times New Roman" w:cs="Times New Roman"/>
          <w:b/>
          <w:sz w:val="28"/>
          <w:szCs w:val="28"/>
        </w:rPr>
      </w:pPr>
    </w:p>
    <w:p w:rsidR="00980854" w:rsidRPr="00A73800" w:rsidRDefault="00507DD3" w:rsidP="00F77592">
      <w:pPr>
        <w:spacing w:line="278" w:lineRule="auto"/>
        <w:jc w:val="both"/>
        <w:rPr>
          <w:rFonts w:ascii="Times New Roman" w:hAnsi="Times New Roman" w:cs="Times New Roman"/>
          <w:b/>
          <w:sz w:val="28"/>
          <w:szCs w:val="28"/>
        </w:rPr>
      </w:pPr>
      <w:r w:rsidRPr="00A73800">
        <w:rPr>
          <w:rFonts w:ascii="Times New Roman" w:hAnsi="Times New Roman" w:cs="Times New Roman"/>
          <w:b/>
          <w:sz w:val="28"/>
          <w:szCs w:val="28"/>
        </w:rPr>
        <w:t>References:</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b/>
          <w:sz w:val="28"/>
          <w:szCs w:val="28"/>
        </w:rPr>
        <w:t>1.</w:t>
      </w:r>
      <w:r w:rsidRPr="00507DD3">
        <w:rPr>
          <w:rFonts w:ascii="Times New Roman" w:hAnsi="Times New Roman" w:cs="Times New Roman"/>
          <w:sz w:val="28"/>
          <w:szCs w:val="28"/>
        </w:rPr>
        <w:t xml:space="preserve"> Bushby K, Finkel R, Birnkrant DJ, Case LE, Clemens PR, Cripe L, et al. Diagnosis and management of Duchenne muscular dystrophy, part 1: diagnosis, and pharmacological and psychosocial management. Lancet Neurol. 2010;9(1):77–93.</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2.Van Westering, T.L.E.; Betts, C.A.; Wood, M.J.A. Current understanding of molecular pathology and treatment of cardiomyopathy in Duchenne Muscular Dystrophy. Molecules 2015, 20, 8823–8855</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3. </w:t>
      </w:r>
      <w:commentRangeStart w:id="9"/>
      <w:r w:rsidRPr="00507DD3">
        <w:rPr>
          <w:rFonts w:ascii="Times New Roman" w:hAnsi="Times New Roman" w:cs="Times New Roman"/>
          <w:sz w:val="28"/>
          <w:szCs w:val="28"/>
        </w:rPr>
        <w:t>Bushby K, Finkel R, Birnkrant DJ, Case LE, Clemens PR, Cripe L, et al. Diagnosis and management of Duchenne muscular dystrophy, part 1: diagnosis, and pharmacological and psychosocial management. Lancet Neurol. 2010;9(1):77–93</w:t>
      </w:r>
      <w:commentRangeEnd w:id="9"/>
      <w:r w:rsidR="005C6735">
        <w:rPr>
          <w:rStyle w:val="CommentReference"/>
        </w:rPr>
        <w:commentReference w:id="9"/>
      </w:r>
      <w:r w:rsidRPr="00507DD3">
        <w:rPr>
          <w:rFonts w:ascii="Times New Roman" w:hAnsi="Times New Roman" w:cs="Times New Roman"/>
          <w:sz w:val="28"/>
          <w:szCs w:val="28"/>
        </w:rPr>
        <w:t>.</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 xml:space="preserve">4. Kourakis et al. Standard of care versus new-wave corticosteroids in the treatment of Duchenne muscular dystrophy Orphanet J Rare Dis (2021) 16:1174 </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5.Birnkrant DJ, Bushby K, Bann CM, Apkon SD, Blackwell A, Brumbaugh D, et al. Diagnosis and management of Duchenne muscular dystrophy, part 1: Diagnosis, and neuromuscular, rehabilitation, endocrine, and gastrointestinal and nutritional management. Lancet Neurol. 2018;17(3):251-67.</w:t>
      </w:r>
    </w:p>
    <w:p w:rsidR="00980854" w:rsidRPr="00507DD3" w:rsidRDefault="00980854" w:rsidP="00980854">
      <w:pPr>
        <w:rPr>
          <w:rFonts w:ascii="Times New Roman" w:hAnsi="Times New Roman" w:cs="Times New Roman"/>
          <w:sz w:val="28"/>
          <w:szCs w:val="28"/>
        </w:rPr>
      </w:pPr>
      <w:r w:rsidRPr="00507DD3">
        <w:rPr>
          <w:rFonts w:ascii="Times New Roman" w:hAnsi="Times New Roman" w:cs="Times New Roman"/>
          <w:sz w:val="28"/>
          <w:szCs w:val="28"/>
        </w:rPr>
        <w:t>6. W. Douglas Biggar et al Comparing Deflazacort and Prednisone in Duchenne Muscular Dystrophy. (2022) 463–476</w:t>
      </w:r>
    </w:p>
    <w:p w:rsidR="00EE1277" w:rsidRPr="00507DD3" w:rsidRDefault="00980854" w:rsidP="00980854">
      <w:pPr>
        <w:rPr>
          <w:rFonts w:ascii="Times New Roman" w:hAnsi="Times New Roman" w:cs="Times New Roman"/>
          <w:b/>
          <w:bCs/>
          <w:sz w:val="28"/>
          <w:szCs w:val="28"/>
        </w:rPr>
      </w:pPr>
      <w:r w:rsidRPr="00507DD3">
        <w:rPr>
          <w:rFonts w:ascii="Times New Roman" w:hAnsi="Times New Roman" w:cs="Times New Roman"/>
          <w:bCs/>
          <w:sz w:val="28"/>
          <w:szCs w:val="28"/>
        </w:rPr>
        <w:t>7.</w:t>
      </w:r>
      <w:r w:rsidR="00EE1277" w:rsidRPr="00507DD3">
        <w:rPr>
          <w:rFonts w:ascii="Times New Roman" w:hAnsi="Times New Roman" w:cs="Times New Roman"/>
          <w:sz w:val="28"/>
          <w:szCs w:val="28"/>
        </w:rPr>
        <w:t xml:space="preserve">Aartsma-Rus, A., Krieg, A. M., &amp; van Deutekom, J. C. T. (2017). Development of exon skipping therapies for Duchenne muscular dystrophy: A critical review and a perspective on the outstanding issues. </w:t>
      </w:r>
      <w:r w:rsidR="00EE1277" w:rsidRPr="00507DD3">
        <w:rPr>
          <w:rFonts w:ascii="Times New Roman" w:hAnsi="Times New Roman" w:cs="Times New Roman"/>
          <w:i/>
          <w:iCs/>
          <w:sz w:val="28"/>
          <w:szCs w:val="28"/>
        </w:rPr>
        <w:t>Nucleic Acid Therapeutics, 27</w:t>
      </w:r>
      <w:r w:rsidR="00EE1277" w:rsidRPr="00507DD3">
        <w:rPr>
          <w:rFonts w:ascii="Times New Roman" w:hAnsi="Times New Roman" w:cs="Times New Roman"/>
          <w:sz w:val="28"/>
          <w:szCs w:val="28"/>
        </w:rPr>
        <w:t>(5), 251–259.</w:t>
      </w:r>
    </w:p>
    <w:p w:rsidR="00EE1277" w:rsidRPr="00927A06" w:rsidRDefault="00980854" w:rsidP="00980854">
      <w:pPr>
        <w:spacing w:line="278" w:lineRule="auto"/>
        <w:jc w:val="both"/>
        <w:rPr>
          <w:rFonts w:ascii="Times New Roman" w:hAnsi="Times New Roman" w:cs="Times New Roman"/>
          <w:sz w:val="28"/>
          <w:szCs w:val="28"/>
        </w:rPr>
      </w:pPr>
      <w:r>
        <w:rPr>
          <w:rFonts w:ascii="Times New Roman" w:hAnsi="Times New Roman" w:cs="Times New Roman"/>
        </w:rPr>
        <w:t>8</w:t>
      </w:r>
      <w:r w:rsidRPr="00927A06">
        <w:rPr>
          <w:rFonts w:ascii="Times New Roman" w:hAnsi="Times New Roman" w:cs="Times New Roman"/>
          <w:sz w:val="28"/>
          <w:szCs w:val="28"/>
        </w:rPr>
        <w:t>.</w:t>
      </w:r>
      <w:r w:rsidR="00EE1277" w:rsidRPr="00927A06">
        <w:rPr>
          <w:rFonts w:ascii="Times New Roman" w:hAnsi="Times New Roman" w:cs="Times New Roman"/>
          <w:sz w:val="28"/>
          <w:szCs w:val="28"/>
        </w:rPr>
        <w:t xml:space="preserve">Aartsma-Rus, A., Ginjaar, I. B., &amp; Bushby, K. (2019). Exon skipping for Duchenne muscular dystrophy: A systematic review and meta-analysis. </w:t>
      </w:r>
      <w:r w:rsidR="00EE1277" w:rsidRPr="00927A06">
        <w:rPr>
          <w:rFonts w:ascii="Times New Roman" w:hAnsi="Times New Roman" w:cs="Times New Roman"/>
          <w:i/>
          <w:iCs/>
          <w:sz w:val="28"/>
          <w:szCs w:val="28"/>
        </w:rPr>
        <w:t>JAMA, 321</w:t>
      </w:r>
      <w:r w:rsidR="00EE1277" w:rsidRPr="00927A06">
        <w:rPr>
          <w:rFonts w:ascii="Times New Roman" w:hAnsi="Times New Roman" w:cs="Times New Roman"/>
          <w:sz w:val="28"/>
          <w:szCs w:val="28"/>
        </w:rPr>
        <w:t>(8), 766–779</w:t>
      </w:r>
    </w:p>
    <w:p w:rsidR="00980854"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lastRenderedPageBreak/>
        <w:t>9.</w:t>
      </w:r>
      <w:r w:rsidR="00EE1277" w:rsidRPr="00927A06">
        <w:rPr>
          <w:rFonts w:ascii="Times New Roman" w:hAnsi="Times New Roman" w:cs="Times New Roman"/>
          <w:sz w:val="28"/>
          <w:szCs w:val="28"/>
        </w:rPr>
        <w:t xml:space="preserve">Frank, D. E., Schnell, F. J., Akana, C., El-Husayni, S. H. M., Desjardins, C. A., Morgan, J., ... &amp; Charlton, C. (2020). Effect of golodirsen in boys with Duchenne muscular dystrophy. </w:t>
      </w:r>
      <w:r w:rsidR="00EE1277" w:rsidRPr="00927A06">
        <w:rPr>
          <w:rFonts w:ascii="Times New Roman" w:hAnsi="Times New Roman" w:cs="Times New Roman"/>
          <w:i/>
          <w:iCs/>
          <w:sz w:val="28"/>
          <w:szCs w:val="28"/>
        </w:rPr>
        <w:t>JAMA, 324</w:t>
      </w:r>
      <w:r w:rsidR="00EE1277" w:rsidRPr="00927A06">
        <w:rPr>
          <w:rFonts w:ascii="Times New Roman" w:hAnsi="Times New Roman" w:cs="Times New Roman"/>
          <w:sz w:val="28"/>
          <w:szCs w:val="28"/>
        </w:rPr>
        <w:t>(10), 919–929.</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10.</w:t>
      </w:r>
      <w:r w:rsidR="00EE1277" w:rsidRPr="00927A06">
        <w:rPr>
          <w:rFonts w:ascii="Times New Roman" w:hAnsi="Times New Roman" w:cs="Times New Roman"/>
          <w:sz w:val="28"/>
          <w:szCs w:val="28"/>
        </w:rPr>
        <w:t xml:space="preserve">Lim, K. R. Q., Nguyen, Q., &amp; Yokota, T. (2020). Duchenne muscular dystrophy: Current therapies, prospects, and challenges ahead. </w:t>
      </w:r>
      <w:r w:rsidR="00EE1277" w:rsidRPr="00927A06">
        <w:rPr>
          <w:rFonts w:ascii="Times New Roman" w:hAnsi="Times New Roman" w:cs="Times New Roman"/>
          <w:i/>
          <w:iCs/>
          <w:sz w:val="28"/>
          <w:szCs w:val="28"/>
        </w:rPr>
        <w:t>Journal of Personalized Medicine, 10</w:t>
      </w:r>
      <w:r w:rsidR="00EE1277" w:rsidRPr="00927A06">
        <w:rPr>
          <w:rFonts w:ascii="Times New Roman" w:hAnsi="Times New Roman" w:cs="Times New Roman"/>
          <w:sz w:val="28"/>
          <w:szCs w:val="28"/>
        </w:rPr>
        <w:t>(3), 220.</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11.</w:t>
      </w:r>
      <w:r w:rsidR="00EE1277" w:rsidRPr="00927A06">
        <w:rPr>
          <w:rFonts w:ascii="Times New Roman" w:hAnsi="Times New Roman" w:cs="Times New Roman"/>
          <w:sz w:val="28"/>
          <w:szCs w:val="28"/>
        </w:rPr>
        <w:t xml:space="preserve">Mendell, J. R., Rodino-Klapac, L. R., Sahenk, Z., Roush, K., Bird, L., Lowes, L. P., ... &amp; Walker, C. M. (2013). Eteplirsen for the treatment of Duchenne muscular dystrophy. </w:t>
      </w:r>
      <w:r w:rsidR="00EE1277" w:rsidRPr="00927A06">
        <w:rPr>
          <w:rFonts w:ascii="Times New Roman" w:hAnsi="Times New Roman" w:cs="Times New Roman"/>
          <w:i/>
          <w:iCs/>
          <w:sz w:val="28"/>
          <w:szCs w:val="28"/>
        </w:rPr>
        <w:t>Annals of Neurology, 74</w:t>
      </w:r>
      <w:r w:rsidR="00EE1277" w:rsidRPr="00927A06">
        <w:rPr>
          <w:rFonts w:ascii="Times New Roman" w:hAnsi="Times New Roman" w:cs="Times New Roman"/>
          <w:sz w:val="28"/>
          <w:szCs w:val="28"/>
        </w:rPr>
        <w:t>(5), 637–647.</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12.</w:t>
      </w:r>
      <w:r w:rsidR="00EE1277" w:rsidRPr="00927A06">
        <w:rPr>
          <w:rFonts w:ascii="Times New Roman" w:hAnsi="Times New Roman" w:cs="Times New Roman"/>
          <w:sz w:val="28"/>
          <w:szCs w:val="28"/>
        </w:rPr>
        <w:t xml:space="preserve">Nelson, C. E., Hakim, C. H., Ousterout, D. G., Thakore, P. I., Moreb, E. A., Castellanos Rivera, R. M., ... &amp; Gersbach, C. A. (2016). In vivo genome editing improves muscle function in a mouse model of Duchenne muscular dystrophy. </w:t>
      </w:r>
      <w:r w:rsidR="00EE1277" w:rsidRPr="00927A06">
        <w:rPr>
          <w:rFonts w:ascii="Times New Roman" w:hAnsi="Times New Roman" w:cs="Times New Roman"/>
          <w:i/>
          <w:iCs/>
          <w:sz w:val="28"/>
          <w:szCs w:val="28"/>
        </w:rPr>
        <w:t>Science, 351</w:t>
      </w:r>
      <w:r w:rsidR="00EE1277" w:rsidRPr="00927A06">
        <w:rPr>
          <w:rFonts w:ascii="Times New Roman" w:hAnsi="Times New Roman" w:cs="Times New Roman"/>
          <w:sz w:val="28"/>
          <w:szCs w:val="28"/>
        </w:rPr>
        <w:t>(6271), 403–407.</w:t>
      </w:r>
    </w:p>
    <w:p w:rsidR="004D6863"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13.</w:t>
      </w:r>
      <w:r w:rsidR="00EE1277" w:rsidRPr="00927A06">
        <w:rPr>
          <w:rFonts w:ascii="Times New Roman" w:hAnsi="Times New Roman" w:cs="Times New Roman"/>
          <w:sz w:val="28"/>
          <w:szCs w:val="28"/>
        </w:rPr>
        <w:t xml:space="preserve">Chamberlain, J. R., &amp; Chamberlain, J. S. (2017). Progress toward gene therapy for Duchenne muscular dystrophy. </w:t>
      </w:r>
      <w:r w:rsidR="00EE1277" w:rsidRPr="00927A06">
        <w:rPr>
          <w:rFonts w:ascii="Times New Roman" w:hAnsi="Times New Roman" w:cs="Times New Roman"/>
          <w:i/>
          <w:iCs/>
          <w:sz w:val="28"/>
          <w:szCs w:val="28"/>
        </w:rPr>
        <w:t>Molecular Therapy, 25</w:t>
      </w:r>
      <w:r w:rsidR="00EE1277" w:rsidRPr="00927A06">
        <w:rPr>
          <w:rFonts w:ascii="Times New Roman" w:hAnsi="Times New Roman" w:cs="Times New Roman"/>
          <w:sz w:val="28"/>
          <w:szCs w:val="28"/>
        </w:rPr>
        <w:t>(5), 1125–1131.</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14.</w:t>
      </w:r>
      <w:r w:rsidR="00EE1277" w:rsidRPr="00927A06">
        <w:rPr>
          <w:rFonts w:ascii="Times New Roman" w:hAnsi="Times New Roman" w:cs="Times New Roman"/>
          <w:sz w:val="28"/>
          <w:szCs w:val="28"/>
        </w:rPr>
        <w:t xml:space="preserve">Duan, D. (2018). Systemic AAV micro-dystrophin gene therapy for Duchenne muscular dystrophy. </w:t>
      </w:r>
      <w:r w:rsidR="00EE1277" w:rsidRPr="00927A06">
        <w:rPr>
          <w:rFonts w:ascii="Times New Roman" w:hAnsi="Times New Roman" w:cs="Times New Roman"/>
          <w:i/>
          <w:iCs/>
          <w:sz w:val="28"/>
          <w:szCs w:val="28"/>
        </w:rPr>
        <w:t>Molecular Therapy, 26</w:t>
      </w:r>
      <w:r w:rsidR="00EE1277" w:rsidRPr="00927A06">
        <w:rPr>
          <w:rFonts w:ascii="Times New Roman" w:hAnsi="Times New Roman" w:cs="Times New Roman"/>
          <w:sz w:val="28"/>
          <w:szCs w:val="28"/>
        </w:rPr>
        <w:t>(10), 2337–2356.</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15.</w:t>
      </w:r>
      <w:r w:rsidR="00EE1277" w:rsidRPr="00927A06">
        <w:rPr>
          <w:rFonts w:ascii="Times New Roman" w:hAnsi="Times New Roman" w:cs="Times New Roman"/>
          <w:sz w:val="28"/>
          <w:szCs w:val="28"/>
        </w:rPr>
        <w:t xml:space="preserve">Mendell, J. R., Sahenk, Z., Lehman, K., Nease, C., Lowes, L. P., Miller, N. F., ... &amp;Rodino-Klapac, L. R. (2020). Assessment of systemic delivery of rAAVrh74.MHCK7.micro-dystrophin in children with Duchenne muscular dystrophy: A nonrandomized controlled trial. </w:t>
      </w:r>
      <w:r w:rsidR="00EE1277" w:rsidRPr="00927A06">
        <w:rPr>
          <w:rFonts w:ascii="Times New Roman" w:hAnsi="Times New Roman" w:cs="Times New Roman"/>
          <w:i/>
          <w:iCs/>
          <w:sz w:val="28"/>
          <w:szCs w:val="28"/>
        </w:rPr>
        <w:t>JAMA Neurology, 77</w:t>
      </w:r>
      <w:r w:rsidR="00EE1277" w:rsidRPr="00927A06">
        <w:rPr>
          <w:rFonts w:ascii="Times New Roman" w:hAnsi="Times New Roman" w:cs="Times New Roman"/>
          <w:sz w:val="28"/>
          <w:szCs w:val="28"/>
        </w:rPr>
        <w:t>(9), 1122–1131.</w:t>
      </w:r>
    </w:p>
    <w:p w:rsidR="00EE1277" w:rsidRPr="00927A06" w:rsidRDefault="00980854" w:rsidP="00980854">
      <w:pPr>
        <w:spacing w:line="278" w:lineRule="auto"/>
        <w:jc w:val="both"/>
        <w:rPr>
          <w:rFonts w:ascii="Times New Roman" w:hAnsi="Times New Roman" w:cs="Times New Roman"/>
          <w:sz w:val="28"/>
          <w:szCs w:val="28"/>
        </w:rPr>
      </w:pPr>
      <w:r w:rsidRPr="00927A06">
        <w:rPr>
          <w:rFonts w:ascii="Times New Roman" w:hAnsi="Times New Roman" w:cs="Times New Roman"/>
          <w:sz w:val="28"/>
          <w:szCs w:val="28"/>
        </w:rPr>
        <w:t>16.</w:t>
      </w:r>
      <w:r w:rsidR="00EE1277" w:rsidRPr="00927A06">
        <w:rPr>
          <w:rFonts w:ascii="Times New Roman" w:hAnsi="Times New Roman" w:cs="Times New Roman"/>
          <w:sz w:val="28"/>
          <w:szCs w:val="28"/>
        </w:rPr>
        <w:t xml:space="preserve">Ramos, J. N., Hollinger, K., Bengtsson, N. E., Allen, J. M., Hauschka, S. D., &amp; Chamberlain, J. S. (2019). Development of novel micro-dystrophins with enhanced functionality. </w:t>
      </w:r>
      <w:r w:rsidR="00EE1277" w:rsidRPr="00927A06">
        <w:rPr>
          <w:rFonts w:ascii="Times New Roman" w:hAnsi="Times New Roman" w:cs="Times New Roman"/>
          <w:i/>
          <w:iCs/>
          <w:sz w:val="28"/>
          <w:szCs w:val="28"/>
        </w:rPr>
        <w:t>Molecular Therapy - Methods &amp; Clinical Development, 15</w:t>
      </w:r>
      <w:r w:rsidR="00EE1277" w:rsidRPr="00927A06">
        <w:rPr>
          <w:rFonts w:ascii="Times New Roman" w:hAnsi="Times New Roman" w:cs="Times New Roman"/>
          <w:sz w:val="28"/>
          <w:szCs w:val="28"/>
        </w:rPr>
        <w:t>, 157–169.</w:t>
      </w:r>
    </w:p>
    <w:p w:rsidR="00A45DF9" w:rsidRPr="00927A06" w:rsidRDefault="00980854" w:rsidP="00980854">
      <w:pPr>
        <w:spacing w:after="0" w:line="240" w:lineRule="auto"/>
        <w:rPr>
          <w:rFonts w:ascii="Times New Roman" w:eastAsia="Times New Roman" w:hAnsi="Times New Roman" w:cs="Times New Roman"/>
          <w:sz w:val="28"/>
          <w:szCs w:val="28"/>
        </w:rPr>
      </w:pPr>
      <w:r w:rsidRPr="00927A06">
        <w:rPr>
          <w:rFonts w:ascii="Times New Roman" w:hAnsi="Times New Roman" w:cs="Times New Roman"/>
          <w:sz w:val="28"/>
          <w:szCs w:val="28"/>
        </w:rPr>
        <w:t>17.</w:t>
      </w:r>
      <w:r w:rsidR="00EE1277" w:rsidRPr="00927A06">
        <w:rPr>
          <w:rFonts w:ascii="Times New Roman" w:hAnsi="Times New Roman" w:cs="Times New Roman"/>
          <w:sz w:val="28"/>
          <w:szCs w:val="28"/>
        </w:rPr>
        <w:t xml:space="preserve">Scoto, M., Finkel, R. S., Mercuri, E., &amp;Muntoni, F. (2023). Gene therapy for Duchenne muscular dystrophy: Progress and challenges. </w:t>
      </w:r>
      <w:r w:rsidR="00EE1277" w:rsidRPr="00927A06">
        <w:rPr>
          <w:rFonts w:ascii="Times New Roman" w:hAnsi="Times New Roman" w:cs="Times New Roman"/>
          <w:i/>
          <w:iCs/>
          <w:sz w:val="28"/>
          <w:szCs w:val="28"/>
        </w:rPr>
        <w:t>Nature Reviews Neurology, 19</w:t>
      </w:r>
      <w:r w:rsidR="00EE1277" w:rsidRPr="00927A06">
        <w:rPr>
          <w:rFonts w:ascii="Times New Roman" w:hAnsi="Times New Roman" w:cs="Times New Roman"/>
          <w:sz w:val="28"/>
          <w:szCs w:val="28"/>
        </w:rPr>
        <w:t>(4), 241–25</w:t>
      </w:r>
    </w:p>
    <w:p w:rsidR="00EE1277" w:rsidRPr="00927A06" w:rsidRDefault="00EE1277" w:rsidP="00EE1277">
      <w:pPr>
        <w:spacing w:after="0" w:line="240" w:lineRule="auto"/>
        <w:rPr>
          <w:rFonts w:ascii="Times New Roman" w:eastAsia="Times New Roman" w:hAnsi="Times New Roman" w:cs="Times New Roman"/>
          <w:sz w:val="28"/>
          <w:szCs w:val="28"/>
        </w:rPr>
      </w:pPr>
    </w:p>
    <w:p w:rsidR="00EE1277" w:rsidRPr="00927A06" w:rsidRDefault="00EE1277" w:rsidP="00EE1277">
      <w:pPr>
        <w:spacing w:after="0" w:line="240" w:lineRule="auto"/>
        <w:rPr>
          <w:rFonts w:ascii="Times New Roman" w:eastAsia="Times New Roman" w:hAnsi="Times New Roman" w:cs="Times New Roman"/>
          <w:sz w:val="28"/>
          <w:szCs w:val="28"/>
        </w:rPr>
      </w:pPr>
    </w:p>
    <w:p w:rsidR="00E37821" w:rsidRPr="00E26C05" w:rsidRDefault="00E37821">
      <w:pPr>
        <w:rPr>
          <w:rFonts w:ascii="Times New Roman" w:hAnsi="Times New Roman" w:cs="Times New Roman"/>
          <w:sz w:val="48"/>
          <w:szCs w:val="48"/>
        </w:rPr>
      </w:pPr>
    </w:p>
    <w:sectPr w:rsidR="00E37821" w:rsidRPr="00E26C05" w:rsidSect="002000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8-05T12:18:00Z" w:initials="h">
    <w:p w:rsidR="00C16224" w:rsidRDefault="00C16224">
      <w:pPr>
        <w:pStyle w:val="CommentText"/>
      </w:pPr>
      <w:r>
        <w:rPr>
          <w:rStyle w:val="CommentReference"/>
        </w:rPr>
        <w:annotationRef/>
      </w:r>
      <w:r>
        <w:t>Write male instead of men</w:t>
      </w:r>
    </w:p>
  </w:comment>
  <w:comment w:id="2" w:author="hp" w:date="2025-08-05T12:21:00Z" w:initials="h">
    <w:p w:rsidR="00D52477" w:rsidRDefault="00D52477">
      <w:pPr>
        <w:pStyle w:val="CommentText"/>
      </w:pPr>
      <w:r>
        <w:rPr>
          <w:rStyle w:val="CommentReference"/>
        </w:rPr>
        <w:annotationRef/>
      </w:r>
      <w:r>
        <w:t>years</w:t>
      </w:r>
    </w:p>
  </w:comment>
  <w:comment w:id="3" w:author="hp" w:date="2025-08-05T12:20:00Z" w:initials="h">
    <w:p w:rsidR="00C16224" w:rsidRDefault="00C16224">
      <w:pPr>
        <w:pStyle w:val="CommentText"/>
      </w:pPr>
      <w:r>
        <w:rPr>
          <w:rStyle w:val="CommentReference"/>
        </w:rPr>
        <w:annotationRef/>
      </w:r>
      <w:r>
        <w:t>Reference 1 and 3 are same references so kindly change the reference number</w:t>
      </w:r>
    </w:p>
  </w:comment>
  <w:comment w:id="4" w:author="hp" w:date="2025-08-05T12:21:00Z" w:initials="h">
    <w:p w:rsidR="00D52477" w:rsidRDefault="00D52477">
      <w:pPr>
        <w:pStyle w:val="CommentText"/>
      </w:pPr>
      <w:r>
        <w:rPr>
          <w:rStyle w:val="CommentReference"/>
        </w:rPr>
        <w:annotationRef/>
      </w:r>
      <w:r>
        <w:t>years</w:t>
      </w:r>
    </w:p>
  </w:comment>
  <w:comment w:id="5" w:author="hp" w:date="2025-08-05T12:09:00Z" w:initials="h">
    <w:p w:rsidR="005C6735" w:rsidRDefault="005C6735">
      <w:pPr>
        <w:pStyle w:val="CommentText"/>
      </w:pPr>
      <w:r>
        <w:rPr>
          <w:rStyle w:val="CommentReference"/>
        </w:rPr>
        <w:annotationRef/>
      </w:r>
      <w:r>
        <w:t>It’s a screening or screening test plz mention???</w:t>
      </w:r>
    </w:p>
    <w:p w:rsidR="005C6735" w:rsidRDefault="005C6735">
      <w:pPr>
        <w:pStyle w:val="CommentText"/>
      </w:pPr>
      <w:r>
        <w:t>Also mention the references of tests from where you have taken</w:t>
      </w:r>
    </w:p>
  </w:comment>
  <w:comment w:id="6" w:author="hp" w:date="2025-08-05T12:07:00Z" w:initials="h">
    <w:p w:rsidR="005C6735" w:rsidRDefault="005C6735" w:rsidP="005C6735">
      <w:pPr>
        <w:pStyle w:val="CommentText"/>
      </w:pPr>
      <w:r>
        <w:rPr>
          <w:rStyle w:val="CommentReference"/>
        </w:rPr>
        <w:annotationRef/>
      </w:r>
      <w:r>
        <w:t>I think Muscle biopsy is not a screening test, it is a confirmatory test</w:t>
      </w:r>
    </w:p>
  </w:comment>
  <w:comment w:id="7" w:author="hp" w:date="2025-08-05T12:17:00Z" w:initials="h">
    <w:p w:rsidR="004F4786" w:rsidRDefault="004F4786">
      <w:pPr>
        <w:pStyle w:val="CommentText"/>
      </w:pPr>
      <w:r>
        <w:rPr>
          <w:rStyle w:val="CommentReference"/>
        </w:rPr>
        <w:annotationRef/>
      </w:r>
      <w:r>
        <w:t xml:space="preserve"> Also add mechanism of action of corticosteroids.</w:t>
      </w:r>
    </w:p>
  </w:comment>
  <w:comment w:id="9" w:author="hp" w:date="2025-08-05T12:16:00Z" w:initials="h">
    <w:p w:rsidR="005C6735" w:rsidRDefault="005C6735">
      <w:pPr>
        <w:pStyle w:val="CommentText"/>
      </w:pPr>
      <w:r>
        <w:rPr>
          <w:rStyle w:val="CommentReference"/>
        </w:rPr>
        <w:annotationRef/>
      </w:r>
      <w:r>
        <w:t>Reference number 1 and 3 are same references, please delete one</w:t>
      </w:r>
      <w:r w:rsidR="004C7F00">
        <w:t xml:space="preserve"> and correct the references from all sites where you have mentioned these two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E52" w:rsidRDefault="00A26E52" w:rsidP="00C742CE">
      <w:pPr>
        <w:spacing w:after="0" w:line="240" w:lineRule="auto"/>
      </w:pPr>
      <w:r>
        <w:separator/>
      </w:r>
    </w:p>
  </w:endnote>
  <w:endnote w:type="continuationSeparator" w:id="1">
    <w:p w:rsidR="00A26E52" w:rsidRDefault="00A26E52" w:rsidP="00C74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C74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C742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C74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E52" w:rsidRDefault="00A26E52" w:rsidP="00C742CE">
      <w:pPr>
        <w:spacing w:after="0" w:line="240" w:lineRule="auto"/>
      </w:pPr>
      <w:r>
        <w:separator/>
      </w:r>
    </w:p>
  </w:footnote>
  <w:footnote w:type="continuationSeparator" w:id="1">
    <w:p w:rsidR="00A26E52" w:rsidRDefault="00A26E52" w:rsidP="00C74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2000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2000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2CE" w:rsidRDefault="002000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956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D0A91"/>
    <w:multiLevelType w:val="hybridMultilevel"/>
    <w:tmpl w:val="7340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6CF1"/>
    <w:multiLevelType w:val="hybridMultilevel"/>
    <w:tmpl w:val="9AAC44A8"/>
    <w:lvl w:ilvl="0" w:tplc="FE604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32395"/>
    <w:multiLevelType w:val="multilevel"/>
    <w:tmpl w:val="61F0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606BA"/>
    <w:multiLevelType w:val="hybridMultilevel"/>
    <w:tmpl w:val="DEC494E2"/>
    <w:lvl w:ilvl="0" w:tplc="5E36C80A">
      <w:start w:val="1"/>
      <w:numFmt w:val="decimal"/>
      <w:lvlText w:val="%1."/>
      <w:lvlJc w:val="left"/>
      <w:pPr>
        <w:ind w:left="792" w:hanging="432"/>
      </w:pPr>
      <w:rPr>
        <w:rFonts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34D30"/>
    <w:multiLevelType w:val="multilevel"/>
    <w:tmpl w:val="0B504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C06B6"/>
    <w:multiLevelType w:val="multilevel"/>
    <w:tmpl w:val="3B6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C716F"/>
    <w:multiLevelType w:val="hybridMultilevel"/>
    <w:tmpl w:val="FE3E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C11D0B"/>
    <w:multiLevelType w:val="hybridMultilevel"/>
    <w:tmpl w:val="959C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71040"/>
    <w:multiLevelType w:val="hybridMultilevel"/>
    <w:tmpl w:val="EF3E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5B0E88"/>
    <w:multiLevelType w:val="hybridMultilevel"/>
    <w:tmpl w:val="19DC5F76"/>
    <w:lvl w:ilvl="0" w:tplc="200E06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22837"/>
    <w:multiLevelType w:val="multilevel"/>
    <w:tmpl w:val="18A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13E61"/>
    <w:multiLevelType w:val="multilevel"/>
    <w:tmpl w:val="95568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925DA9"/>
    <w:multiLevelType w:val="multilevel"/>
    <w:tmpl w:val="B6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DE2846"/>
    <w:multiLevelType w:val="multilevel"/>
    <w:tmpl w:val="7A00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0175CE"/>
    <w:multiLevelType w:val="multilevel"/>
    <w:tmpl w:val="442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7"/>
  </w:num>
  <w:num w:numId="5">
    <w:abstractNumId w:val="0"/>
  </w:num>
  <w:num w:numId="6">
    <w:abstractNumId w:val="14"/>
  </w:num>
  <w:num w:numId="7">
    <w:abstractNumId w:val="6"/>
  </w:num>
  <w:num w:numId="8">
    <w:abstractNumId w:val="9"/>
  </w:num>
  <w:num w:numId="9">
    <w:abstractNumId w:val="3"/>
  </w:num>
  <w:num w:numId="10">
    <w:abstractNumId w:val="4"/>
  </w:num>
  <w:num w:numId="11">
    <w:abstractNumId w:val="11"/>
  </w:num>
  <w:num w:numId="12">
    <w:abstractNumId w:val="2"/>
  </w:num>
  <w:num w:numId="13">
    <w:abstractNumId w:val="12"/>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26C05"/>
    <w:rsid w:val="00092B77"/>
    <w:rsid w:val="000A3070"/>
    <w:rsid w:val="000A753A"/>
    <w:rsid w:val="00153CCC"/>
    <w:rsid w:val="00200005"/>
    <w:rsid w:val="00242730"/>
    <w:rsid w:val="00293146"/>
    <w:rsid w:val="002934BC"/>
    <w:rsid w:val="002B7C1A"/>
    <w:rsid w:val="003373A4"/>
    <w:rsid w:val="00442609"/>
    <w:rsid w:val="004907BC"/>
    <w:rsid w:val="00497D5C"/>
    <w:rsid w:val="004C7F00"/>
    <w:rsid w:val="004D6863"/>
    <w:rsid w:val="004F4786"/>
    <w:rsid w:val="00507DD3"/>
    <w:rsid w:val="00543AF4"/>
    <w:rsid w:val="005C6735"/>
    <w:rsid w:val="005C7D30"/>
    <w:rsid w:val="00644E2C"/>
    <w:rsid w:val="00670E72"/>
    <w:rsid w:val="006E3D45"/>
    <w:rsid w:val="00770F23"/>
    <w:rsid w:val="007D2070"/>
    <w:rsid w:val="00833E59"/>
    <w:rsid w:val="00867CAA"/>
    <w:rsid w:val="008C6878"/>
    <w:rsid w:val="008D27D2"/>
    <w:rsid w:val="00915258"/>
    <w:rsid w:val="00915A41"/>
    <w:rsid w:val="00927A06"/>
    <w:rsid w:val="00980854"/>
    <w:rsid w:val="00982FCB"/>
    <w:rsid w:val="009A20E7"/>
    <w:rsid w:val="009D1213"/>
    <w:rsid w:val="009E06CC"/>
    <w:rsid w:val="00A26E52"/>
    <w:rsid w:val="00A45DF9"/>
    <w:rsid w:val="00A73800"/>
    <w:rsid w:val="00A97199"/>
    <w:rsid w:val="00B0721A"/>
    <w:rsid w:val="00BB1CD0"/>
    <w:rsid w:val="00C04078"/>
    <w:rsid w:val="00C16224"/>
    <w:rsid w:val="00C742CE"/>
    <w:rsid w:val="00D234AF"/>
    <w:rsid w:val="00D25E6B"/>
    <w:rsid w:val="00D52477"/>
    <w:rsid w:val="00D703FD"/>
    <w:rsid w:val="00E10BC0"/>
    <w:rsid w:val="00E26C05"/>
    <w:rsid w:val="00E37821"/>
    <w:rsid w:val="00E57231"/>
    <w:rsid w:val="00E62A36"/>
    <w:rsid w:val="00EE1277"/>
    <w:rsid w:val="00F74535"/>
    <w:rsid w:val="00F77592"/>
    <w:rsid w:val="00F87298"/>
    <w:rsid w:val="00FC4DBD"/>
    <w:rsid w:val="00FD6D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005"/>
  </w:style>
  <w:style w:type="paragraph" w:styleId="Heading3">
    <w:name w:val="heading 3"/>
    <w:basedOn w:val="Normal"/>
    <w:link w:val="Heading3Char"/>
    <w:uiPriority w:val="9"/>
    <w:qFormat/>
    <w:rsid w:val="00497D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semiHidden/>
    <w:unhideWhenUsed/>
    <w:qFormat/>
    <w:rsid w:val="00EE127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C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6C05"/>
    <w:rPr>
      <w:i/>
      <w:iCs/>
    </w:rPr>
  </w:style>
  <w:style w:type="character" w:styleId="Strong">
    <w:name w:val="Strong"/>
    <w:basedOn w:val="DefaultParagraphFont"/>
    <w:uiPriority w:val="22"/>
    <w:qFormat/>
    <w:rsid w:val="00E10BC0"/>
    <w:rPr>
      <w:b/>
      <w:bCs/>
    </w:rPr>
  </w:style>
  <w:style w:type="paragraph" w:styleId="NoSpacing">
    <w:name w:val="No Spacing"/>
    <w:uiPriority w:val="1"/>
    <w:qFormat/>
    <w:rsid w:val="00497D5C"/>
    <w:pPr>
      <w:spacing w:after="0" w:line="240" w:lineRule="auto"/>
    </w:pPr>
  </w:style>
  <w:style w:type="character" w:customStyle="1" w:styleId="Heading3Char">
    <w:name w:val="Heading 3 Char"/>
    <w:basedOn w:val="DefaultParagraphFont"/>
    <w:link w:val="Heading3"/>
    <w:uiPriority w:val="9"/>
    <w:rsid w:val="00497D5C"/>
    <w:rPr>
      <w:rFonts w:ascii="Times New Roman" w:eastAsia="Times New Roman" w:hAnsi="Times New Roman" w:cs="Times New Roman"/>
      <w:b/>
      <w:bCs/>
      <w:sz w:val="27"/>
      <w:szCs w:val="27"/>
    </w:rPr>
  </w:style>
  <w:style w:type="character" w:customStyle="1" w:styleId="t286pc">
    <w:name w:val="t286pc"/>
    <w:basedOn w:val="DefaultParagraphFont"/>
    <w:rsid w:val="00293146"/>
  </w:style>
  <w:style w:type="paragraph" w:styleId="ListParagraph">
    <w:name w:val="List Paragraph"/>
    <w:basedOn w:val="Normal"/>
    <w:uiPriority w:val="34"/>
    <w:qFormat/>
    <w:rsid w:val="00293146"/>
    <w:pPr>
      <w:ind w:left="720"/>
      <w:contextualSpacing/>
    </w:pPr>
  </w:style>
  <w:style w:type="character" w:customStyle="1" w:styleId="Heading7Char">
    <w:name w:val="Heading 7 Char"/>
    <w:basedOn w:val="DefaultParagraphFont"/>
    <w:link w:val="Heading7"/>
    <w:uiPriority w:val="9"/>
    <w:semiHidden/>
    <w:rsid w:val="00EE1277"/>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867CAA"/>
    <w:rPr>
      <w:color w:val="0563C1" w:themeColor="hyperlink"/>
      <w:u w:val="single"/>
    </w:rPr>
  </w:style>
  <w:style w:type="paragraph" w:styleId="Header">
    <w:name w:val="header"/>
    <w:basedOn w:val="Normal"/>
    <w:link w:val="HeaderChar"/>
    <w:uiPriority w:val="99"/>
    <w:unhideWhenUsed/>
    <w:rsid w:val="00C7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CE"/>
  </w:style>
  <w:style w:type="paragraph" w:styleId="Footer">
    <w:name w:val="footer"/>
    <w:basedOn w:val="Normal"/>
    <w:link w:val="FooterChar"/>
    <w:uiPriority w:val="99"/>
    <w:unhideWhenUsed/>
    <w:rsid w:val="00C7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CE"/>
  </w:style>
  <w:style w:type="character" w:styleId="CommentReference">
    <w:name w:val="annotation reference"/>
    <w:basedOn w:val="DefaultParagraphFont"/>
    <w:uiPriority w:val="99"/>
    <w:semiHidden/>
    <w:unhideWhenUsed/>
    <w:rsid w:val="005C6735"/>
    <w:rPr>
      <w:sz w:val="16"/>
      <w:szCs w:val="16"/>
    </w:rPr>
  </w:style>
  <w:style w:type="paragraph" w:styleId="CommentText">
    <w:name w:val="annotation text"/>
    <w:basedOn w:val="Normal"/>
    <w:link w:val="CommentTextChar"/>
    <w:uiPriority w:val="99"/>
    <w:semiHidden/>
    <w:unhideWhenUsed/>
    <w:rsid w:val="005C6735"/>
    <w:pPr>
      <w:spacing w:line="240" w:lineRule="auto"/>
    </w:pPr>
    <w:rPr>
      <w:sz w:val="20"/>
      <w:szCs w:val="20"/>
    </w:rPr>
  </w:style>
  <w:style w:type="character" w:customStyle="1" w:styleId="CommentTextChar">
    <w:name w:val="Comment Text Char"/>
    <w:basedOn w:val="DefaultParagraphFont"/>
    <w:link w:val="CommentText"/>
    <w:uiPriority w:val="99"/>
    <w:semiHidden/>
    <w:rsid w:val="005C6735"/>
    <w:rPr>
      <w:sz w:val="20"/>
      <w:szCs w:val="20"/>
    </w:rPr>
  </w:style>
  <w:style w:type="paragraph" w:styleId="CommentSubject">
    <w:name w:val="annotation subject"/>
    <w:basedOn w:val="CommentText"/>
    <w:next w:val="CommentText"/>
    <w:link w:val="CommentSubjectChar"/>
    <w:uiPriority w:val="99"/>
    <w:semiHidden/>
    <w:unhideWhenUsed/>
    <w:rsid w:val="005C6735"/>
    <w:rPr>
      <w:b/>
      <w:bCs/>
    </w:rPr>
  </w:style>
  <w:style w:type="character" w:customStyle="1" w:styleId="CommentSubjectChar">
    <w:name w:val="Comment Subject Char"/>
    <w:basedOn w:val="CommentTextChar"/>
    <w:link w:val="CommentSubject"/>
    <w:uiPriority w:val="99"/>
    <w:semiHidden/>
    <w:rsid w:val="005C6735"/>
    <w:rPr>
      <w:b/>
      <w:bCs/>
    </w:rPr>
  </w:style>
  <w:style w:type="paragraph" w:styleId="BalloonText">
    <w:name w:val="Balloon Text"/>
    <w:basedOn w:val="Normal"/>
    <w:link w:val="BalloonTextChar"/>
    <w:uiPriority w:val="99"/>
    <w:semiHidden/>
    <w:unhideWhenUsed/>
    <w:rsid w:val="005C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911398">
      <w:bodyDiv w:val="1"/>
      <w:marLeft w:val="0"/>
      <w:marRight w:val="0"/>
      <w:marTop w:val="0"/>
      <w:marBottom w:val="0"/>
      <w:divBdr>
        <w:top w:val="none" w:sz="0" w:space="0" w:color="auto"/>
        <w:left w:val="none" w:sz="0" w:space="0" w:color="auto"/>
        <w:bottom w:val="none" w:sz="0" w:space="0" w:color="auto"/>
        <w:right w:val="none" w:sz="0" w:space="0" w:color="auto"/>
      </w:divBdr>
    </w:div>
    <w:div w:id="454060181">
      <w:bodyDiv w:val="1"/>
      <w:marLeft w:val="0"/>
      <w:marRight w:val="0"/>
      <w:marTop w:val="0"/>
      <w:marBottom w:val="0"/>
      <w:divBdr>
        <w:top w:val="none" w:sz="0" w:space="0" w:color="auto"/>
        <w:left w:val="none" w:sz="0" w:space="0" w:color="auto"/>
        <w:bottom w:val="none" w:sz="0" w:space="0" w:color="auto"/>
        <w:right w:val="none" w:sz="0" w:space="0" w:color="auto"/>
      </w:divBdr>
    </w:div>
    <w:div w:id="470444903">
      <w:bodyDiv w:val="1"/>
      <w:marLeft w:val="0"/>
      <w:marRight w:val="0"/>
      <w:marTop w:val="0"/>
      <w:marBottom w:val="0"/>
      <w:divBdr>
        <w:top w:val="none" w:sz="0" w:space="0" w:color="auto"/>
        <w:left w:val="none" w:sz="0" w:space="0" w:color="auto"/>
        <w:bottom w:val="none" w:sz="0" w:space="0" w:color="auto"/>
        <w:right w:val="none" w:sz="0" w:space="0" w:color="auto"/>
      </w:divBdr>
    </w:div>
    <w:div w:id="796220847">
      <w:bodyDiv w:val="1"/>
      <w:marLeft w:val="0"/>
      <w:marRight w:val="0"/>
      <w:marTop w:val="0"/>
      <w:marBottom w:val="0"/>
      <w:divBdr>
        <w:top w:val="none" w:sz="0" w:space="0" w:color="auto"/>
        <w:left w:val="none" w:sz="0" w:space="0" w:color="auto"/>
        <w:bottom w:val="none" w:sz="0" w:space="0" w:color="auto"/>
        <w:right w:val="none" w:sz="0" w:space="0" w:color="auto"/>
      </w:divBdr>
    </w:div>
    <w:div w:id="878127767">
      <w:bodyDiv w:val="1"/>
      <w:marLeft w:val="0"/>
      <w:marRight w:val="0"/>
      <w:marTop w:val="0"/>
      <w:marBottom w:val="0"/>
      <w:divBdr>
        <w:top w:val="none" w:sz="0" w:space="0" w:color="auto"/>
        <w:left w:val="none" w:sz="0" w:space="0" w:color="auto"/>
        <w:bottom w:val="none" w:sz="0" w:space="0" w:color="auto"/>
        <w:right w:val="none" w:sz="0" w:space="0" w:color="auto"/>
      </w:divBdr>
    </w:div>
    <w:div w:id="1080298926">
      <w:bodyDiv w:val="1"/>
      <w:marLeft w:val="0"/>
      <w:marRight w:val="0"/>
      <w:marTop w:val="0"/>
      <w:marBottom w:val="0"/>
      <w:divBdr>
        <w:top w:val="none" w:sz="0" w:space="0" w:color="auto"/>
        <w:left w:val="none" w:sz="0" w:space="0" w:color="auto"/>
        <w:bottom w:val="none" w:sz="0" w:space="0" w:color="auto"/>
        <w:right w:val="none" w:sz="0" w:space="0" w:color="auto"/>
      </w:divBdr>
    </w:div>
    <w:div w:id="1215894800">
      <w:bodyDiv w:val="1"/>
      <w:marLeft w:val="0"/>
      <w:marRight w:val="0"/>
      <w:marTop w:val="0"/>
      <w:marBottom w:val="0"/>
      <w:divBdr>
        <w:top w:val="none" w:sz="0" w:space="0" w:color="auto"/>
        <w:left w:val="none" w:sz="0" w:space="0" w:color="auto"/>
        <w:bottom w:val="none" w:sz="0" w:space="0" w:color="auto"/>
        <w:right w:val="none" w:sz="0" w:space="0" w:color="auto"/>
      </w:divBdr>
      <w:divsChild>
        <w:div w:id="2115897735">
          <w:marLeft w:val="0"/>
          <w:marRight w:val="0"/>
          <w:marTop w:val="240"/>
          <w:marBottom w:val="240"/>
          <w:divBdr>
            <w:top w:val="none" w:sz="0" w:space="0" w:color="auto"/>
            <w:left w:val="none" w:sz="0" w:space="0" w:color="auto"/>
            <w:bottom w:val="none" w:sz="0" w:space="0" w:color="auto"/>
            <w:right w:val="none" w:sz="0" w:space="0" w:color="auto"/>
          </w:divBdr>
        </w:div>
      </w:divsChild>
    </w:div>
    <w:div w:id="1274824494">
      <w:bodyDiv w:val="1"/>
      <w:marLeft w:val="0"/>
      <w:marRight w:val="0"/>
      <w:marTop w:val="0"/>
      <w:marBottom w:val="0"/>
      <w:divBdr>
        <w:top w:val="none" w:sz="0" w:space="0" w:color="auto"/>
        <w:left w:val="none" w:sz="0" w:space="0" w:color="auto"/>
        <w:bottom w:val="none" w:sz="0" w:space="0" w:color="auto"/>
        <w:right w:val="none" w:sz="0" w:space="0" w:color="auto"/>
      </w:divBdr>
    </w:div>
    <w:div w:id="1334528148">
      <w:bodyDiv w:val="1"/>
      <w:marLeft w:val="0"/>
      <w:marRight w:val="0"/>
      <w:marTop w:val="0"/>
      <w:marBottom w:val="0"/>
      <w:divBdr>
        <w:top w:val="none" w:sz="0" w:space="0" w:color="auto"/>
        <w:left w:val="none" w:sz="0" w:space="0" w:color="auto"/>
        <w:bottom w:val="none" w:sz="0" w:space="0" w:color="auto"/>
        <w:right w:val="none" w:sz="0" w:space="0" w:color="auto"/>
      </w:divBdr>
    </w:div>
    <w:div w:id="1490486019">
      <w:bodyDiv w:val="1"/>
      <w:marLeft w:val="0"/>
      <w:marRight w:val="0"/>
      <w:marTop w:val="0"/>
      <w:marBottom w:val="0"/>
      <w:divBdr>
        <w:top w:val="none" w:sz="0" w:space="0" w:color="auto"/>
        <w:left w:val="none" w:sz="0" w:space="0" w:color="auto"/>
        <w:bottom w:val="none" w:sz="0" w:space="0" w:color="auto"/>
        <w:right w:val="none" w:sz="0" w:space="0" w:color="auto"/>
      </w:divBdr>
    </w:div>
    <w:div w:id="1756585604">
      <w:bodyDiv w:val="1"/>
      <w:marLeft w:val="0"/>
      <w:marRight w:val="0"/>
      <w:marTop w:val="0"/>
      <w:marBottom w:val="0"/>
      <w:divBdr>
        <w:top w:val="none" w:sz="0" w:space="0" w:color="auto"/>
        <w:left w:val="none" w:sz="0" w:space="0" w:color="auto"/>
        <w:bottom w:val="none" w:sz="0" w:space="0" w:color="auto"/>
        <w:right w:val="none" w:sz="0" w:space="0" w:color="auto"/>
      </w:divBdr>
    </w:div>
    <w:div w:id="1874727300">
      <w:bodyDiv w:val="1"/>
      <w:marLeft w:val="0"/>
      <w:marRight w:val="0"/>
      <w:marTop w:val="0"/>
      <w:marBottom w:val="0"/>
      <w:divBdr>
        <w:top w:val="none" w:sz="0" w:space="0" w:color="auto"/>
        <w:left w:val="none" w:sz="0" w:space="0" w:color="auto"/>
        <w:bottom w:val="none" w:sz="0" w:space="0" w:color="auto"/>
        <w:right w:val="none" w:sz="0" w:space="0" w:color="auto"/>
      </w:divBdr>
    </w:div>
    <w:div w:id="19617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6355-72DA-4A5F-AAF1-2AE678F6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hp</cp:lastModifiedBy>
  <cp:revision>13</cp:revision>
  <dcterms:created xsi:type="dcterms:W3CDTF">2025-07-31T14:06:00Z</dcterms:created>
  <dcterms:modified xsi:type="dcterms:W3CDTF">2025-08-05T19:21:00Z</dcterms:modified>
</cp:coreProperties>
</file>