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994A7" w14:textId="77777777" w:rsidR="00D476E7" w:rsidRPr="00D476E7" w:rsidRDefault="00D476E7" w:rsidP="00D476E7">
      <w:pPr>
        <w:pStyle w:val="Heading3"/>
        <w:rPr>
          <w:rFonts w:ascii="Arial" w:hAnsi="Arial" w:cs="Arial"/>
          <w:i/>
          <w:iCs/>
          <w:sz w:val="36"/>
          <w:u w:val="single"/>
        </w:rPr>
      </w:pPr>
      <w:r w:rsidRPr="00D476E7">
        <w:rPr>
          <w:rFonts w:ascii="Arial" w:hAnsi="Arial" w:cs="Arial"/>
          <w:i/>
          <w:iCs/>
          <w:sz w:val="36"/>
          <w:u w:val="single"/>
        </w:rPr>
        <w:t>Review Article</w:t>
      </w:r>
    </w:p>
    <w:p w14:paraId="6BD6E2C5" w14:textId="77777777" w:rsidR="00461123" w:rsidRDefault="00461123" w:rsidP="00D31C07">
      <w:pPr>
        <w:pStyle w:val="Heading3"/>
        <w:jc w:val="right"/>
        <w:rPr>
          <w:rFonts w:ascii="Arial" w:hAnsi="Arial" w:cs="Arial"/>
          <w:sz w:val="36"/>
        </w:rPr>
      </w:pPr>
      <w:r w:rsidRPr="00D31C07">
        <w:rPr>
          <w:rFonts w:ascii="Arial" w:hAnsi="Arial" w:cs="Arial"/>
          <w:sz w:val="36"/>
        </w:rPr>
        <w:t xml:space="preserve">Integrative Review of Reproductive Biology in the </w:t>
      </w:r>
      <w:proofErr w:type="spellStart"/>
      <w:r w:rsidRPr="00D31C07">
        <w:rPr>
          <w:rFonts w:ascii="Arial" w:hAnsi="Arial" w:cs="Arial"/>
          <w:sz w:val="36"/>
        </w:rPr>
        <w:t>Muga</w:t>
      </w:r>
      <w:proofErr w:type="spellEnd"/>
      <w:r w:rsidRPr="00D31C07">
        <w:rPr>
          <w:rFonts w:ascii="Arial" w:hAnsi="Arial" w:cs="Arial"/>
          <w:sz w:val="36"/>
        </w:rPr>
        <w:t xml:space="preserve"> Silkworm (</w:t>
      </w:r>
      <w:proofErr w:type="spellStart"/>
      <w:r w:rsidRPr="00D31C07">
        <w:rPr>
          <w:rStyle w:val="Emphasis"/>
          <w:rFonts w:ascii="Arial" w:hAnsi="Arial" w:cs="Arial"/>
          <w:sz w:val="36"/>
        </w:rPr>
        <w:t>Antheraea</w:t>
      </w:r>
      <w:proofErr w:type="spellEnd"/>
      <w:r w:rsidRPr="00D31C07">
        <w:rPr>
          <w:rStyle w:val="Emphasis"/>
          <w:rFonts w:ascii="Arial" w:hAnsi="Arial" w:cs="Arial"/>
          <w:sz w:val="36"/>
        </w:rPr>
        <w:t xml:space="preserve"> </w:t>
      </w:r>
      <w:proofErr w:type="spellStart"/>
      <w:r w:rsidRPr="00D31C07">
        <w:rPr>
          <w:rStyle w:val="Emphasis"/>
          <w:rFonts w:ascii="Arial" w:hAnsi="Arial" w:cs="Arial"/>
          <w:sz w:val="36"/>
        </w:rPr>
        <w:t>assamensis</w:t>
      </w:r>
      <w:proofErr w:type="spellEnd"/>
      <w:r w:rsidRPr="00D31C07">
        <w:rPr>
          <w:rFonts w:ascii="Arial" w:hAnsi="Arial" w:cs="Arial"/>
          <w:sz w:val="36"/>
        </w:rPr>
        <w:t>): Anatomy, Endocrinology, Seasonality, and Seed Technology</w:t>
      </w:r>
    </w:p>
    <w:p w14:paraId="2DC68C70" w14:textId="77777777" w:rsidR="00D31C07" w:rsidRDefault="00D31C07" w:rsidP="00D31C07">
      <w:pPr>
        <w:pStyle w:val="Heading3"/>
        <w:jc w:val="right"/>
        <w:rPr>
          <w:rStyle w:val="Strong"/>
          <w:rFonts w:ascii="Arial" w:hAnsi="Arial" w:cs="Arial"/>
          <w:b/>
          <w:bCs/>
          <w:sz w:val="36"/>
        </w:rPr>
      </w:pPr>
    </w:p>
    <w:p w14:paraId="4809F40A" w14:textId="77777777" w:rsidR="00D31C07" w:rsidRDefault="00F5245D" w:rsidP="00D31C07">
      <w:pPr>
        <w:ind w:left="284" w:right="4"/>
        <w:jc w:val="right"/>
        <w:rPr>
          <w:rFonts w:ascii="Arial" w:hAnsi="Arial" w:cs="Arial"/>
        </w:rPr>
      </w:pPr>
      <w:r>
        <w:rPr>
          <w:rFonts w:ascii="Arial" w:hAnsi="Arial" w:cs="Arial"/>
        </w:rPr>
      </w:r>
      <w:r>
        <w:rPr>
          <w:rFonts w:ascii="Arial" w:hAnsi="Arial" w:cs="Arial"/>
        </w:rPr>
        <w:pict w14:anchorId="6EE44561">
          <v:shapetype id="_x0000_t32" coordsize="21600,21600" o:spt="32" o:oned="t" path="m,l21600,21600e" filled="f">
            <v:path arrowok="t" fillok="f" o:connecttype="none"/>
            <o:lock v:ext="edit" shapetype="t"/>
          </v:shapetype>
          <v:shape id="_x0000_s1026" type="#_x0000_t32" style="width:460.2pt;height:.05pt;mso-left-percent:-10001;mso-top-percent:-10001;mso-position-horizontal:absolute;mso-position-horizontal-relative:char;mso-position-vertical:absolute;mso-position-vertical-relative:line;mso-left-percent:-10001;mso-top-percent:-10001" o:connectortype="straight" strokeweight="1.5pt">
            <w10:anchorlock/>
          </v:shape>
        </w:pict>
      </w:r>
    </w:p>
    <w:p w14:paraId="40E40D48" w14:textId="112AA140" w:rsidR="00D31C07" w:rsidRPr="00D31C07" w:rsidRDefault="00D31C07" w:rsidP="00D31C07">
      <w:pPr>
        <w:pStyle w:val="Heading3"/>
        <w:rPr>
          <w:rStyle w:val="Strong"/>
          <w:rFonts w:ascii="Arial" w:hAnsi="Arial" w:cs="Arial"/>
          <w:b/>
          <w:bCs/>
          <w:sz w:val="22"/>
          <w:szCs w:val="22"/>
        </w:rPr>
      </w:pPr>
      <w:r w:rsidRPr="00D31C07">
        <w:rPr>
          <w:rStyle w:val="Strong"/>
          <w:rFonts w:ascii="Arial" w:hAnsi="Arial" w:cs="Arial"/>
          <w:b/>
          <w:bCs/>
          <w:sz w:val="22"/>
          <w:szCs w:val="22"/>
        </w:rPr>
        <w:t>ABSTRACT</w:t>
      </w:r>
    </w:p>
    <w:p w14:paraId="26BA2791" w14:textId="77777777" w:rsidR="00934158" w:rsidRPr="00D31C07" w:rsidRDefault="00934158" w:rsidP="00934158">
      <w:pPr>
        <w:pStyle w:val="NormalWeb"/>
        <w:jc w:val="both"/>
        <w:rPr>
          <w:rFonts w:ascii="Arial" w:hAnsi="Arial" w:cs="Arial"/>
          <w:sz w:val="20"/>
          <w:szCs w:val="20"/>
        </w:rPr>
      </w:pPr>
      <w:r w:rsidRPr="00D31C07">
        <w:rPr>
          <w:rFonts w:ascii="Arial" w:hAnsi="Arial" w:cs="Arial"/>
          <w:sz w:val="20"/>
          <w:szCs w:val="20"/>
        </w:rPr>
        <w:t xml:space="preserve">The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silkworm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Helfer), a mono-raced, semi-domesticated </w:t>
      </w:r>
      <w:proofErr w:type="spellStart"/>
      <w:r w:rsidRPr="00D31C07">
        <w:rPr>
          <w:rFonts w:ascii="Arial" w:hAnsi="Arial" w:cs="Arial"/>
          <w:sz w:val="20"/>
          <w:szCs w:val="20"/>
        </w:rPr>
        <w:t>saturniid</w:t>
      </w:r>
      <w:proofErr w:type="spellEnd"/>
      <w:r w:rsidRPr="00D31C07">
        <w:rPr>
          <w:rFonts w:ascii="Arial" w:hAnsi="Arial" w:cs="Arial"/>
          <w:sz w:val="20"/>
          <w:szCs w:val="20"/>
        </w:rPr>
        <w:t xml:space="preserve"> endemic to northeastern India, is globally renowned for producing golden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 a textile with unmatched luster and cultural heritage. The sustainability of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sericulture critically depends on optimizing seed production, which is intrinsically linked to the reproductive biology of the species. This review integrates the anatomical, physiological, hormonal, behavioral, and environmental aspects governing reproduction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It synthesizes recent findings on reproductive organ morphology, sperm dimorphism, endocrine regulation via juvenile hormone (JH-III), 20-hydroxyecdysone (20-E), and </w:t>
      </w:r>
      <w:proofErr w:type="spellStart"/>
      <w:r w:rsidRPr="00D31C07">
        <w:rPr>
          <w:rFonts w:ascii="Arial" w:hAnsi="Arial" w:cs="Arial"/>
          <w:sz w:val="20"/>
          <w:szCs w:val="20"/>
        </w:rPr>
        <w:t>methoprene</w:t>
      </w:r>
      <w:proofErr w:type="spellEnd"/>
      <w:r w:rsidRPr="00D31C07">
        <w:rPr>
          <w:rFonts w:ascii="Arial" w:hAnsi="Arial" w:cs="Arial"/>
          <w:sz w:val="20"/>
          <w:szCs w:val="20"/>
        </w:rPr>
        <w:t xml:space="preserve">, and evaluates the influence of mating duration, seasonality, and oviposition substrates on fecundity and fertility. Copulation duration of 7–8 hours, autumnal conditions, and biodegradable oviposition devices are consistently associated with improved reproductive outcomes. Despite significant advances, reproductive efficiency remains suboptimal due to climatic sensitivity, high egg retention, and inconsistent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practices. Critical research gaps persist in understanding neuroendocrine control, sperm viability, stress physiology, and molecular regulation. We propose a future roadmap involving high-throughput omics, genome sequencing, precision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protocols, and integrative reproductive modeling to enhance seed viability, ensure genetic conservation, and stabilize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 productivity. This review provides a comprehensive foundation for advancing reproductive biotechnology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laying the groundwork for sustainable sericulture innovation.</w:t>
      </w:r>
    </w:p>
    <w:p w14:paraId="07DE6158" w14:textId="77777777" w:rsidR="00461123" w:rsidRDefault="00461123" w:rsidP="006437D0">
      <w:pPr>
        <w:pStyle w:val="Heading3"/>
        <w:rPr>
          <w:rStyle w:val="Strong"/>
          <w:b/>
          <w:bCs/>
          <w:sz w:val="24"/>
        </w:rPr>
      </w:pPr>
    </w:p>
    <w:p w14:paraId="79492CCE" w14:textId="77777777" w:rsidR="006437D0" w:rsidRDefault="006437D0" w:rsidP="006437D0">
      <w:pPr>
        <w:pStyle w:val="Heading3"/>
        <w:rPr>
          <w:sz w:val="24"/>
        </w:rPr>
      </w:pPr>
    </w:p>
    <w:p w14:paraId="0748D1C0" w14:textId="77777777" w:rsidR="00D31C07" w:rsidRDefault="00D31C07" w:rsidP="006437D0">
      <w:pPr>
        <w:pStyle w:val="Heading3"/>
        <w:rPr>
          <w:sz w:val="24"/>
        </w:rPr>
      </w:pPr>
    </w:p>
    <w:p w14:paraId="0FA3706B" w14:textId="77777777" w:rsidR="00D31C07" w:rsidRDefault="00D31C07" w:rsidP="006437D0">
      <w:pPr>
        <w:pStyle w:val="Heading3"/>
        <w:rPr>
          <w:sz w:val="24"/>
        </w:rPr>
      </w:pPr>
    </w:p>
    <w:p w14:paraId="0C1C7F28" w14:textId="77777777" w:rsidR="00D31C07" w:rsidRDefault="00D31C07" w:rsidP="006437D0">
      <w:pPr>
        <w:pStyle w:val="Heading3"/>
        <w:rPr>
          <w:sz w:val="24"/>
        </w:rPr>
      </w:pPr>
    </w:p>
    <w:p w14:paraId="3C46E38B" w14:textId="77777777" w:rsidR="00D31C07" w:rsidRDefault="00D31C07" w:rsidP="006437D0">
      <w:pPr>
        <w:pStyle w:val="Heading3"/>
        <w:rPr>
          <w:sz w:val="24"/>
        </w:rPr>
      </w:pPr>
    </w:p>
    <w:p w14:paraId="06942650" w14:textId="77777777" w:rsidR="00D31C07" w:rsidRDefault="00D31C07" w:rsidP="006437D0">
      <w:pPr>
        <w:pStyle w:val="Heading3"/>
        <w:rPr>
          <w:sz w:val="24"/>
        </w:rPr>
      </w:pPr>
    </w:p>
    <w:p w14:paraId="7C8E843B" w14:textId="77777777" w:rsidR="00D31C07" w:rsidRPr="006437D0" w:rsidRDefault="00D31C07" w:rsidP="006437D0">
      <w:pPr>
        <w:pStyle w:val="Heading3"/>
        <w:rPr>
          <w:sz w:val="24"/>
        </w:rPr>
      </w:pPr>
    </w:p>
    <w:p w14:paraId="0273BBFB" w14:textId="77777777" w:rsidR="006437D0" w:rsidRPr="00D31C07" w:rsidRDefault="00C46D70" w:rsidP="00D31C07">
      <w:pPr>
        <w:pStyle w:val="NormalWeb"/>
        <w:jc w:val="both"/>
        <w:rPr>
          <w:rFonts w:ascii="Arial" w:hAnsi="Arial" w:cs="Arial"/>
          <w:i/>
          <w:sz w:val="20"/>
          <w:szCs w:val="20"/>
        </w:rPr>
      </w:pPr>
      <w:r w:rsidRPr="00D31C07">
        <w:rPr>
          <w:rFonts w:ascii="Arial" w:hAnsi="Arial" w:cs="Arial"/>
          <w:i/>
          <w:sz w:val="20"/>
          <w:szCs w:val="20"/>
        </w:rPr>
        <w:lastRenderedPageBreak/>
        <w:t xml:space="preserve">Keywords: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w:t>
      </w:r>
      <w:r w:rsidRPr="00D31C07">
        <w:rPr>
          <w:rFonts w:ascii="Arial" w:hAnsi="Arial" w:cs="Arial"/>
          <w:i/>
          <w:sz w:val="20"/>
          <w:szCs w:val="20"/>
        </w:rPr>
        <w:t xml:space="preserve"> fecundity, mating duration, egg retention, juvenile hormone, hatchability, </w:t>
      </w:r>
      <w:proofErr w:type="spellStart"/>
      <w:r w:rsidRPr="00D31C07">
        <w:rPr>
          <w:rFonts w:ascii="Arial" w:hAnsi="Arial" w:cs="Arial"/>
          <w:i/>
          <w:sz w:val="20"/>
          <w:szCs w:val="20"/>
        </w:rPr>
        <w:t>apyrene</w:t>
      </w:r>
      <w:proofErr w:type="spellEnd"/>
      <w:r w:rsidRPr="00D31C07">
        <w:rPr>
          <w:rFonts w:ascii="Arial" w:hAnsi="Arial" w:cs="Arial"/>
          <w:i/>
          <w:sz w:val="20"/>
          <w:szCs w:val="20"/>
        </w:rPr>
        <w:t xml:space="preserve">, </w:t>
      </w:r>
      <w:proofErr w:type="spellStart"/>
      <w:r w:rsidRPr="00D31C07">
        <w:rPr>
          <w:rFonts w:ascii="Arial" w:hAnsi="Arial" w:cs="Arial"/>
          <w:i/>
          <w:sz w:val="20"/>
          <w:szCs w:val="20"/>
        </w:rPr>
        <w:t>eupyrene</w:t>
      </w:r>
      <w:proofErr w:type="spellEnd"/>
      <w:r w:rsidRPr="00D31C07">
        <w:rPr>
          <w:rFonts w:ascii="Arial" w:hAnsi="Arial" w:cs="Arial"/>
          <w:i/>
          <w:sz w:val="20"/>
          <w:szCs w:val="20"/>
        </w:rPr>
        <w:t>, seed technology</w:t>
      </w:r>
    </w:p>
    <w:p w14:paraId="2CFF3911" w14:textId="77777777" w:rsidR="00AA32BA" w:rsidRPr="00D31C07" w:rsidRDefault="000B4986" w:rsidP="00D31C07">
      <w:pPr>
        <w:pStyle w:val="ListParagraph"/>
        <w:numPr>
          <w:ilvl w:val="0"/>
          <w:numId w:val="1"/>
        </w:numPr>
        <w:ind w:left="284" w:hanging="284"/>
        <w:rPr>
          <w:rFonts w:ascii="Arial" w:hAnsi="Arial" w:cs="Arial"/>
          <w:b/>
          <w:lang w:val="en-IN"/>
        </w:rPr>
      </w:pPr>
      <w:r w:rsidRPr="00D31C07">
        <w:rPr>
          <w:rFonts w:ascii="Arial" w:hAnsi="Arial" w:cs="Arial"/>
          <w:b/>
          <w:lang w:val="en-IN"/>
        </w:rPr>
        <w:t>INTRODUCTION</w:t>
      </w:r>
    </w:p>
    <w:p w14:paraId="563D1373" w14:textId="77777777" w:rsidR="00D642D2" w:rsidRPr="00D31C07" w:rsidRDefault="00D642D2" w:rsidP="002848C2">
      <w:pPr>
        <w:pStyle w:val="NormalWeb"/>
        <w:jc w:val="both"/>
        <w:rPr>
          <w:rFonts w:ascii="Arial" w:hAnsi="Arial" w:cs="Arial"/>
          <w:sz w:val="20"/>
          <w:szCs w:val="20"/>
        </w:rPr>
      </w:pPr>
      <w:r w:rsidRPr="00D31C07">
        <w:rPr>
          <w:rFonts w:ascii="Arial" w:hAnsi="Arial" w:cs="Arial"/>
          <w:sz w:val="20"/>
          <w:szCs w:val="20"/>
        </w:rPr>
        <w:t xml:space="preserve">The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silkworm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Helfer), a semi-domesticated lepidopteran of the family </w:t>
      </w:r>
      <w:proofErr w:type="spellStart"/>
      <w:r w:rsidRPr="00D31C07">
        <w:rPr>
          <w:rFonts w:ascii="Arial" w:hAnsi="Arial" w:cs="Arial"/>
          <w:sz w:val="20"/>
          <w:szCs w:val="20"/>
        </w:rPr>
        <w:t>Saturniidae</w:t>
      </w:r>
      <w:proofErr w:type="spellEnd"/>
      <w:r w:rsidRPr="00D31C07">
        <w:rPr>
          <w:rFonts w:ascii="Arial" w:hAnsi="Arial" w:cs="Arial"/>
          <w:sz w:val="20"/>
          <w:szCs w:val="20"/>
        </w:rPr>
        <w:t xml:space="preserve">, is endemic to the northeastern region of India and is primarily distributed across the Brahmaputra valley in Assam (Nath </w:t>
      </w:r>
      <w:r w:rsidRPr="00D31C07">
        <w:rPr>
          <w:rFonts w:ascii="Arial" w:hAnsi="Arial" w:cs="Arial"/>
          <w:i/>
          <w:sz w:val="20"/>
          <w:szCs w:val="20"/>
        </w:rPr>
        <w:t>et al.,</w:t>
      </w:r>
      <w:r w:rsidRPr="00D31C07">
        <w:rPr>
          <w:rFonts w:ascii="Arial" w:hAnsi="Arial" w:cs="Arial"/>
          <w:sz w:val="20"/>
          <w:szCs w:val="20"/>
        </w:rPr>
        <w:t xml:space="preserve"> 2025). This species is globally unique for producing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 a luxurious fiber with a natural golden sheen and a registered Geographical Indication (GI) of Assam. As a holometabolous insect,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undergoes complete metamorphosis through four distinct developmental stages: egg, larva, pupa, and adult. The species is multivoltine, completing five to six generations annually, with the life cycle duration ranging from approximately 50 days durin</w:t>
      </w:r>
      <w:r w:rsidR="007E6823" w:rsidRPr="00D31C07">
        <w:rPr>
          <w:rFonts w:ascii="Arial" w:hAnsi="Arial" w:cs="Arial"/>
          <w:sz w:val="20"/>
          <w:szCs w:val="20"/>
        </w:rPr>
        <w:t xml:space="preserve">g summer to 120 days in winter (Nath </w:t>
      </w:r>
      <w:r w:rsidR="007E6823" w:rsidRPr="00D31C07">
        <w:rPr>
          <w:rFonts w:ascii="Arial" w:hAnsi="Arial" w:cs="Arial"/>
          <w:i/>
          <w:sz w:val="20"/>
          <w:szCs w:val="20"/>
        </w:rPr>
        <w:t>et al.,</w:t>
      </w:r>
      <w:r w:rsidR="007E6823" w:rsidRPr="00D31C07">
        <w:rPr>
          <w:rFonts w:ascii="Arial" w:hAnsi="Arial" w:cs="Arial"/>
          <w:sz w:val="20"/>
          <w:szCs w:val="20"/>
        </w:rPr>
        <w:t xml:space="preserve"> 2025)</w:t>
      </w:r>
      <w:r w:rsidR="00FF2203" w:rsidRPr="00D31C07">
        <w:rPr>
          <w:rFonts w:ascii="Arial" w:hAnsi="Arial" w:cs="Arial"/>
          <w:sz w:val="20"/>
          <w:szCs w:val="20"/>
        </w:rPr>
        <w:t xml:space="preserve"> (Fig 1)</w:t>
      </w:r>
      <w:r w:rsidRPr="00D31C07">
        <w:rPr>
          <w:rFonts w:ascii="Arial" w:hAnsi="Arial" w:cs="Arial"/>
          <w:sz w:val="20"/>
          <w:szCs w:val="20"/>
        </w:rPr>
        <w:t>.</w:t>
      </w:r>
    </w:p>
    <w:p w14:paraId="001FFE32" w14:textId="77777777" w:rsidR="009571BA" w:rsidRDefault="00C50618" w:rsidP="009571BA">
      <w:pPr>
        <w:pStyle w:val="NormalWeb"/>
        <w:jc w:val="both"/>
      </w:pPr>
      <w:r>
        <w:rPr>
          <w:noProof/>
        </w:rPr>
        <w:drawing>
          <wp:inline distT="0" distB="0" distL="0" distR="0" wp14:anchorId="1DD6506B" wp14:editId="41D7D843">
            <wp:extent cx="5944428" cy="4994061"/>
            <wp:effectExtent l="19050" t="0" r="0" b="0"/>
            <wp:docPr id="3" name="Picture 4" descr="C:\Users\Admin\AppData\Local\Microsoft\Windows\INetCache\Content.Word\Doc6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AppData\Local\Microsoft\Windows\INetCache\Content.Word\Doc6_page-0001.jpg"/>
                    <pic:cNvPicPr>
                      <a:picLocks noChangeAspect="1" noChangeArrowheads="1"/>
                    </pic:cNvPicPr>
                  </pic:nvPicPr>
                  <pic:blipFill>
                    <a:blip r:embed="rId7" cstate="print"/>
                    <a:srcRect l="5568" r="7758" b="5871"/>
                    <a:stretch>
                      <a:fillRect/>
                    </a:stretch>
                  </pic:blipFill>
                  <pic:spPr bwMode="auto">
                    <a:xfrm>
                      <a:off x="0" y="0"/>
                      <a:ext cx="5945174" cy="4994688"/>
                    </a:xfrm>
                    <a:prstGeom prst="rect">
                      <a:avLst/>
                    </a:prstGeom>
                    <a:noFill/>
                    <a:ln w="9525">
                      <a:noFill/>
                      <a:miter lim="800000"/>
                      <a:headEnd/>
                      <a:tailEnd/>
                    </a:ln>
                  </pic:spPr>
                </pic:pic>
              </a:graphicData>
            </a:graphic>
          </wp:inline>
        </w:drawing>
      </w:r>
    </w:p>
    <w:p w14:paraId="6667685A" w14:textId="77777777" w:rsidR="00FF2203" w:rsidRPr="00D31C07" w:rsidRDefault="00FF2203" w:rsidP="009571BA">
      <w:pPr>
        <w:pStyle w:val="NormalWeb"/>
        <w:jc w:val="both"/>
        <w:rPr>
          <w:rFonts w:ascii="Arial" w:hAnsi="Arial" w:cs="Arial"/>
          <w:b/>
          <w:sz w:val="20"/>
        </w:rPr>
      </w:pPr>
      <w:r w:rsidRPr="00D31C07">
        <w:rPr>
          <w:rFonts w:ascii="Arial" w:hAnsi="Arial" w:cs="Arial"/>
          <w:b/>
          <w:sz w:val="20"/>
        </w:rPr>
        <w:t xml:space="preserve">Fig. 1. Life cycle of </w:t>
      </w:r>
      <w:proofErr w:type="spellStart"/>
      <w:r w:rsidRPr="00D31C07">
        <w:rPr>
          <w:rFonts w:ascii="Arial" w:hAnsi="Arial" w:cs="Arial"/>
          <w:b/>
          <w:sz w:val="20"/>
        </w:rPr>
        <w:t>muga</w:t>
      </w:r>
      <w:proofErr w:type="spellEnd"/>
      <w:r w:rsidRPr="00D31C07">
        <w:rPr>
          <w:rFonts w:ascii="Arial" w:hAnsi="Arial" w:cs="Arial"/>
          <w:b/>
          <w:sz w:val="20"/>
        </w:rPr>
        <w:t xml:space="preserve"> silkworm (</w:t>
      </w:r>
      <w:proofErr w:type="spellStart"/>
      <w:r w:rsidRPr="00D31C07">
        <w:rPr>
          <w:rStyle w:val="Emphasis"/>
          <w:rFonts w:ascii="Arial" w:hAnsi="Arial" w:cs="Arial"/>
          <w:b/>
          <w:sz w:val="20"/>
        </w:rPr>
        <w:t>Antheraea</w:t>
      </w:r>
      <w:proofErr w:type="spellEnd"/>
      <w:r w:rsidRPr="00D31C07">
        <w:rPr>
          <w:rStyle w:val="Emphasis"/>
          <w:rFonts w:ascii="Arial" w:hAnsi="Arial" w:cs="Arial"/>
          <w:b/>
          <w:sz w:val="20"/>
        </w:rPr>
        <w:t xml:space="preserve"> </w:t>
      </w:r>
      <w:proofErr w:type="spellStart"/>
      <w:r w:rsidRPr="00D31C07">
        <w:rPr>
          <w:rStyle w:val="Emphasis"/>
          <w:rFonts w:ascii="Arial" w:hAnsi="Arial" w:cs="Arial"/>
          <w:b/>
          <w:sz w:val="20"/>
        </w:rPr>
        <w:t>assamensis</w:t>
      </w:r>
      <w:proofErr w:type="spellEnd"/>
      <w:r w:rsidRPr="00D31C07">
        <w:rPr>
          <w:rFonts w:ascii="Arial" w:hAnsi="Arial" w:cs="Arial"/>
          <w:b/>
          <w:sz w:val="20"/>
        </w:rPr>
        <w:t xml:space="preserve"> Helfer)</w:t>
      </w:r>
    </w:p>
    <w:p w14:paraId="281B3AA3" w14:textId="77777777" w:rsidR="00D642D2" w:rsidRPr="00D31C07" w:rsidRDefault="00D642D2" w:rsidP="009571BA">
      <w:pPr>
        <w:pStyle w:val="NormalWeb"/>
        <w:jc w:val="both"/>
        <w:rPr>
          <w:rFonts w:ascii="Arial" w:hAnsi="Arial" w:cs="Arial"/>
          <w:sz w:val="20"/>
          <w:szCs w:val="20"/>
        </w:rPr>
      </w:pPr>
      <w:r w:rsidRPr="00D31C07">
        <w:rPr>
          <w:rFonts w:ascii="Arial" w:hAnsi="Arial" w:cs="Arial"/>
          <w:sz w:val="20"/>
          <w:szCs w:val="20"/>
        </w:rPr>
        <w:t>Among the annual generations, two</w:t>
      </w:r>
      <w:r w:rsidR="007E6823" w:rsidRPr="00D31C07">
        <w:rPr>
          <w:rFonts w:ascii="Arial" w:hAnsi="Arial" w:cs="Arial"/>
          <w:sz w:val="20"/>
          <w:szCs w:val="20"/>
        </w:rPr>
        <w:t xml:space="preserve"> are of commercial significance, </w:t>
      </w:r>
      <w:proofErr w:type="spellStart"/>
      <w:r w:rsidR="007E6823" w:rsidRPr="00D31C07">
        <w:rPr>
          <w:rFonts w:ascii="Arial" w:hAnsi="Arial" w:cs="Arial"/>
          <w:sz w:val="20"/>
          <w:szCs w:val="20"/>
        </w:rPr>
        <w:t>J</w:t>
      </w:r>
      <w:r w:rsidRPr="00D31C07">
        <w:rPr>
          <w:rFonts w:ascii="Arial" w:hAnsi="Arial" w:cs="Arial"/>
          <w:sz w:val="20"/>
          <w:szCs w:val="20"/>
        </w:rPr>
        <w:t>et</w:t>
      </w:r>
      <w:r w:rsidR="006D06A1" w:rsidRPr="00D31C07">
        <w:rPr>
          <w:rFonts w:ascii="Arial" w:hAnsi="Arial" w:cs="Arial"/>
          <w:sz w:val="20"/>
          <w:szCs w:val="20"/>
        </w:rPr>
        <w:t>hua</w:t>
      </w:r>
      <w:proofErr w:type="spellEnd"/>
      <w:r w:rsidR="006D06A1" w:rsidRPr="00D31C07">
        <w:rPr>
          <w:rFonts w:ascii="Arial" w:hAnsi="Arial" w:cs="Arial"/>
          <w:sz w:val="20"/>
          <w:szCs w:val="20"/>
        </w:rPr>
        <w:t xml:space="preserve"> (spring) and </w:t>
      </w:r>
      <w:proofErr w:type="spellStart"/>
      <w:r w:rsidR="006D06A1" w:rsidRPr="00D31C07">
        <w:rPr>
          <w:rFonts w:ascii="Arial" w:hAnsi="Arial" w:cs="Arial"/>
          <w:sz w:val="20"/>
          <w:szCs w:val="20"/>
        </w:rPr>
        <w:t>Ko</w:t>
      </w:r>
      <w:r w:rsidR="007E6823" w:rsidRPr="00D31C07">
        <w:rPr>
          <w:rFonts w:ascii="Arial" w:hAnsi="Arial" w:cs="Arial"/>
          <w:sz w:val="20"/>
          <w:szCs w:val="20"/>
        </w:rPr>
        <w:t>tia</w:t>
      </w:r>
      <w:proofErr w:type="spellEnd"/>
      <w:r w:rsidR="007E6823" w:rsidRPr="00D31C07">
        <w:rPr>
          <w:rFonts w:ascii="Arial" w:hAnsi="Arial" w:cs="Arial"/>
          <w:sz w:val="20"/>
          <w:szCs w:val="20"/>
        </w:rPr>
        <w:t xml:space="preserve"> (autumn) </w:t>
      </w:r>
      <w:r w:rsidRPr="00D31C07">
        <w:rPr>
          <w:rFonts w:ascii="Arial" w:hAnsi="Arial" w:cs="Arial"/>
          <w:sz w:val="20"/>
          <w:szCs w:val="20"/>
        </w:rPr>
        <w:t>which form the backbone of economic sericulture in the region</w:t>
      </w:r>
      <w:r w:rsidR="007E6823" w:rsidRPr="00D31C07">
        <w:rPr>
          <w:rFonts w:ascii="Arial" w:hAnsi="Arial" w:cs="Arial"/>
          <w:sz w:val="20"/>
          <w:szCs w:val="20"/>
        </w:rPr>
        <w:t xml:space="preserve"> (Saikia </w:t>
      </w:r>
      <w:r w:rsidR="007E6823" w:rsidRPr="00D31C07">
        <w:rPr>
          <w:rFonts w:ascii="Arial" w:hAnsi="Arial" w:cs="Arial"/>
          <w:i/>
          <w:sz w:val="20"/>
          <w:szCs w:val="20"/>
        </w:rPr>
        <w:t>et al.,</w:t>
      </w:r>
      <w:r w:rsidR="007E6823" w:rsidRPr="00D31C07">
        <w:rPr>
          <w:rFonts w:ascii="Arial" w:hAnsi="Arial" w:cs="Arial"/>
          <w:sz w:val="20"/>
          <w:szCs w:val="20"/>
        </w:rPr>
        <w:t xml:space="preserve"> 2023)</w:t>
      </w:r>
      <w:r w:rsidR="006D06A1" w:rsidRPr="00D31C07">
        <w:rPr>
          <w:rFonts w:ascii="Arial" w:hAnsi="Arial" w:cs="Arial"/>
          <w:sz w:val="20"/>
          <w:szCs w:val="20"/>
        </w:rPr>
        <w:t xml:space="preserve"> (Fig.2)</w:t>
      </w:r>
      <w:r w:rsidRPr="00D31C07">
        <w:rPr>
          <w:rFonts w:ascii="Arial" w:hAnsi="Arial" w:cs="Arial"/>
          <w:sz w:val="20"/>
          <w:szCs w:val="20"/>
        </w:rPr>
        <w:t xml:space="preserve">. The success of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 production largely depends on the quality of silkworm seed, which is evaluated by </w:t>
      </w:r>
      <w:r w:rsidRPr="00D31C07">
        <w:rPr>
          <w:rFonts w:ascii="Arial" w:hAnsi="Arial" w:cs="Arial"/>
          <w:sz w:val="20"/>
          <w:szCs w:val="20"/>
        </w:rPr>
        <w:lastRenderedPageBreak/>
        <w:t>parameters such as egg-laying capacity (fecundity), hatchability, uniformity of hatching, and the overall rearing performance of the progeny (</w:t>
      </w:r>
      <w:r w:rsidR="000C62FE" w:rsidRPr="00D31C07">
        <w:rPr>
          <w:rFonts w:ascii="Arial" w:hAnsi="Arial" w:cs="Arial"/>
          <w:sz w:val="20"/>
          <w:szCs w:val="20"/>
        </w:rPr>
        <w:t xml:space="preserve">Hussain </w:t>
      </w:r>
      <w:r w:rsidR="000C62FE" w:rsidRPr="00D31C07">
        <w:rPr>
          <w:rFonts w:ascii="Arial" w:hAnsi="Arial" w:cs="Arial"/>
          <w:i/>
          <w:sz w:val="20"/>
          <w:szCs w:val="20"/>
        </w:rPr>
        <w:t>et al.,</w:t>
      </w:r>
      <w:r w:rsidR="000C62FE" w:rsidRPr="00D31C07">
        <w:rPr>
          <w:rFonts w:ascii="Arial" w:hAnsi="Arial" w:cs="Arial"/>
          <w:sz w:val="20"/>
          <w:szCs w:val="20"/>
        </w:rPr>
        <w:t xml:space="preserve"> 2011</w:t>
      </w:r>
      <w:r w:rsidRPr="00D31C07">
        <w:rPr>
          <w:rFonts w:ascii="Arial" w:hAnsi="Arial" w:cs="Arial"/>
          <w:sz w:val="20"/>
          <w:szCs w:val="20"/>
        </w:rPr>
        <w:t>). The production of high-quality eggs is a multifactorial process influenced by both intrinsic physiological mechanisms and extrinsic environmental factors. Among these, oviposition behavior is a key determinant of seed quality and warra</w:t>
      </w:r>
      <w:r w:rsidR="007E6823" w:rsidRPr="00D31C07">
        <w:rPr>
          <w:rFonts w:ascii="Arial" w:hAnsi="Arial" w:cs="Arial"/>
          <w:sz w:val="20"/>
          <w:szCs w:val="20"/>
        </w:rPr>
        <w:t>nts in-depth investigation (Dube</w:t>
      </w:r>
      <w:r w:rsidRPr="00D31C07">
        <w:rPr>
          <w:rFonts w:ascii="Arial" w:hAnsi="Arial" w:cs="Arial"/>
          <w:sz w:val="20"/>
          <w:szCs w:val="20"/>
        </w:rPr>
        <w:t xml:space="preserve">y </w:t>
      </w:r>
      <w:r w:rsidRPr="00D31C07">
        <w:rPr>
          <w:rFonts w:ascii="Arial" w:hAnsi="Arial" w:cs="Arial"/>
          <w:i/>
          <w:sz w:val="20"/>
          <w:szCs w:val="20"/>
        </w:rPr>
        <w:t>et al.,</w:t>
      </w:r>
      <w:r w:rsidR="00E82595" w:rsidRPr="00D31C07">
        <w:rPr>
          <w:rFonts w:ascii="Arial" w:hAnsi="Arial" w:cs="Arial"/>
          <w:sz w:val="20"/>
          <w:szCs w:val="20"/>
        </w:rPr>
        <w:t xml:space="preserve"> 1993</w:t>
      </w:r>
      <w:r w:rsidRPr="00D31C07">
        <w:rPr>
          <w:rFonts w:ascii="Arial" w:hAnsi="Arial" w:cs="Arial"/>
          <w:sz w:val="20"/>
          <w:szCs w:val="20"/>
        </w:rPr>
        <w:t>). Li</w:t>
      </w:r>
      <w:r w:rsidR="007E6823" w:rsidRPr="00D31C07">
        <w:rPr>
          <w:rFonts w:ascii="Arial" w:hAnsi="Arial" w:cs="Arial"/>
          <w:sz w:val="20"/>
          <w:szCs w:val="20"/>
        </w:rPr>
        <w:t xml:space="preserve">kewise, mating behavior, </w:t>
      </w:r>
      <w:r w:rsidRPr="00D31C07">
        <w:rPr>
          <w:rFonts w:ascii="Arial" w:hAnsi="Arial" w:cs="Arial"/>
          <w:sz w:val="20"/>
          <w:szCs w:val="20"/>
        </w:rPr>
        <w:t>particul</w:t>
      </w:r>
      <w:r w:rsidR="007E6823" w:rsidRPr="00D31C07">
        <w:rPr>
          <w:rFonts w:ascii="Arial" w:hAnsi="Arial" w:cs="Arial"/>
          <w:sz w:val="20"/>
          <w:szCs w:val="20"/>
        </w:rPr>
        <w:t xml:space="preserve">arly the duration of copulation </w:t>
      </w:r>
      <w:r w:rsidRPr="00D31C07">
        <w:rPr>
          <w:rFonts w:ascii="Arial" w:hAnsi="Arial" w:cs="Arial"/>
          <w:sz w:val="20"/>
          <w:szCs w:val="20"/>
        </w:rPr>
        <w:t xml:space="preserve">has a profound effect on inducing oviposition and determining the total egg </w:t>
      </w:r>
      <w:r w:rsidR="007E6823" w:rsidRPr="00D31C07">
        <w:rPr>
          <w:rFonts w:ascii="Arial" w:hAnsi="Arial" w:cs="Arial"/>
          <w:sz w:val="20"/>
          <w:szCs w:val="20"/>
        </w:rPr>
        <w:t xml:space="preserve">production </w:t>
      </w:r>
      <w:r w:rsidRPr="00D31C07">
        <w:rPr>
          <w:rFonts w:ascii="Arial" w:hAnsi="Arial" w:cs="Arial"/>
          <w:sz w:val="20"/>
          <w:szCs w:val="20"/>
        </w:rPr>
        <w:t>(</w:t>
      </w:r>
      <w:proofErr w:type="spellStart"/>
      <w:r w:rsidRPr="00D31C07">
        <w:rPr>
          <w:rFonts w:ascii="Arial" w:hAnsi="Arial" w:cs="Arial"/>
          <w:sz w:val="20"/>
          <w:szCs w:val="20"/>
        </w:rPr>
        <w:t>Rideley</w:t>
      </w:r>
      <w:proofErr w:type="spellEnd"/>
      <w:r w:rsidRPr="00D31C07">
        <w:rPr>
          <w:rFonts w:ascii="Arial" w:hAnsi="Arial" w:cs="Arial"/>
          <w:sz w:val="20"/>
          <w:szCs w:val="20"/>
        </w:rPr>
        <w:t>, 1990).</w:t>
      </w:r>
    </w:p>
    <w:p w14:paraId="37A53D55" w14:textId="77777777" w:rsidR="00FF2203" w:rsidRDefault="006D06A1" w:rsidP="009571BA">
      <w:pPr>
        <w:pStyle w:val="NormalWeb"/>
        <w:jc w:val="both"/>
      </w:pPr>
      <w:r>
        <w:rPr>
          <w:noProof/>
        </w:rPr>
        <w:t xml:space="preserve">                               </w:t>
      </w:r>
      <w:r>
        <w:rPr>
          <w:noProof/>
        </w:rPr>
        <w:drawing>
          <wp:inline distT="0" distB="0" distL="0" distR="0" wp14:anchorId="10904F72" wp14:editId="0B44785F">
            <wp:extent cx="3105813" cy="2568042"/>
            <wp:effectExtent l="19050" t="0" r="0"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3111243" cy="2572531"/>
                    </a:xfrm>
                    <a:prstGeom prst="rect">
                      <a:avLst/>
                    </a:prstGeom>
                    <a:noFill/>
                    <a:ln w="9525">
                      <a:noFill/>
                      <a:miter lim="800000"/>
                      <a:headEnd/>
                      <a:tailEnd/>
                    </a:ln>
                  </pic:spPr>
                </pic:pic>
              </a:graphicData>
            </a:graphic>
          </wp:inline>
        </w:drawing>
      </w:r>
    </w:p>
    <w:p w14:paraId="592EAF9B" w14:textId="77777777" w:rsidR="006D06A1" w:rsidRPr="00D31C07" w:rsidRDefault="006D06A1" w:rsidP="009571BA">
      <w:pPr>
        <w:pStyle w:val="NormalWeb"/>
        <w:jc w:val="both"/>
        <w:rPr>
          <w:rFonts w:ascii="Arial" w:hAnsi="Arial" w:cs="Arial"/>
          <w:b/>
          <w:sz w:val="20"/>
        </w:rPr>
      </w:pPr>
      <w:r w:rsidRPr="00D31C07">
        <w:rPr>
          <w:rFonts w:ascii="Arial" w:hAnsi="Arial" w:cs="Arial"/>
          <w:b/>
          <w:sz w:val="20"/>
        </w:rPr>
        <w:t>Fig. 2. Seasonal crop cycle of Muga silkworm</w:t>
      </w:r>
    </w:p>
    <w:p w14:paraId="6F13C351" w14:textId="77777777" w:rsidR="00D642D2" w:rsidRPr="00D31C07" w:rsidRDefault="00D642D2" w:rsidP="009571BA">
      <w:pPr>
        <w:pStyle w:val="NormalWeb"/>
        <w:jc w:val="both"/>
        <w:rPr>
          <w:rFonts w:ascii="Arial" w:hAnsi="Arial" w:cs="Arial"/>
          <w:sz w:val="20"/>
          <w:szCs w:val="20"/>
        </w:rPr>
      </w:pPr>
      <w:r w:rsidRPr="00D31C07">
        <w:rPr>
          <w:rFonts w:ascii="Arial" w:hAnsi="Arial" w:cs="Arial"/>
          <w:sz w:val="20"/>
          <w:szCs w:val="20"/>
        </w:rPr>
        <w:t xml:space="preserve">Traditionally, the oviposition of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 moths is managed using devices such as the </w:t>
      </w:r>
      <w:proofErr w:type="spellStart"/>
      <w:r w:rsidRPr="00D31C07">
        <w:rPr>
          <w:rStyle w:val="Emphasis"/>
          <w:rFonts w:ascii="Arial" w:hAnsi="Arial" w:cs="Arial"/>
          <w:sz w:val="20"/>
          <w:szCs w:val="20"/>
        </w:rPr>
        <w:t>kharika</w:t>
      </w:r>
      <w:proofErr w:type="spellEnd"/>
      <w:r w:rsidRPr="00D31C07">
        <w:rPr>
          <w:rFonts w:ascii="Arial" w:hAnsi="Arial" w:cs="Arial"/>
          <w:sz w:val="20"/>
          <w:szCs w:val="20"/>
        </w:rPr>
        <w:t>, made of thatch grass. However, to improve efficiency and hygiene in seed production, alternative biodegradable oviposition devices have been developed and tested with promising results (</w:t>
      </w:r>
      <w:proofErr w:type="spellStart"/>
      <w:r w:rsidRPr="00D31C07">
        <w:rPr>
          <w:rFonts w:ascii="Arial" w:hAnsi="Arial" w:cs="Arial"/>
          <w:sz w:val="20"/>
          <w:szCs w:val="20"/>
        </w:rPr>
        <w:t>Teotia</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1998; Sahu </w:t>
      </w:r>
      <w:r w:rsidRPr="00D31C07">
        <w:rPr>
          <w:rFonts w:ascii="Arial" w:hAnsi="Arial" w:cs="Arial"/>
          <w:i/>
          <w:sz w:val="20"/>
          <w:szCs w:val="20"/>
        </w:rPr>
        <w:t>et al.,</w:t>
      </w:r>
      <w:r w:rsidRPr="00D31C07">
        <w:rPr>
          <w:rFonts w:ascii="Arial" w:hAnsi="Arial" w:cs="Arial"/>
          <w:sz w:val="20"/>
          <w:szCs w:val="20"/>
        </w:rPr>
        <w:t xml:space="preserve"> 1998</w:t>
      </w:r>
      <w:r w:rsidR="00B777C2" w:rsidRPr="00D31C07">
        <w:rPr>
          <w:rFonts w:ascii="Arial" w:hAnsi="Arial" w:cs="Arial"/>
          <w:sz w:val="20"/>
          <w:szCs w:val="20"/>
        </w:rPr>
        <w:t>a, b</w:t>
      </w:r>
      <w:r w:rsidRPr="00D31C07">
        <w:rPr>
          <w:rFonts w:ascii="Arial" w:hAnsi="Arial" w:cs="Arial"/>
          <w:sz w:val="20"/>
          <w:szCs w:val="20"/>
        </w:rPr>
        <w:t>). Optimal egg-laying conditions, however, are not solel</w:t>
      </w:r>
      <w:r w:rsidR="005372C4" w:rsidRPr="00D31C07">
        <w:rPr>
          <w:rFonts w:ascii="Arial" w:hAnsi="Arial" w:cs="Arial"/>
          <w:sz w:val="20"/>
          <w:szCs w:val="20"/>
        </w:rPr>
        <w:t>y determined by the device used,</w:t>
      </w:r>
      <w:r w:rsidRPr="00D31C07">
        <w:rPr>
          <w:rFonts w:ascii="Arial" w:hAnsi="Arial" w:cs="Arial"/>
          <w:sz w:val="20"/>
          <w:szCs w:val="20"/>
        </w:rPr>
        <w:t xml:space="preserve"> they are intricately linked to seasonal environmental variables such as temperature, humidity, and photoperiod</w:t>
      </w:r>
      <w:r w:rsidR="005372C4" w:rsidRPr="00D31C07">
        <w:rPr>
          <w:rFonts w:ascii="Arial" w:hAnsi="Arial" w:cs="Arial"/>
          <w:sz w:val="20"/>
          <w:szCs w:val="20"/>
        </w:rPr>
        <w:t xml:space="preserve"> (Saikia </w:t>
      </w:r>
      <w:r w:rsidR="005372C4" w:rsidRPr="00D31C07">
        <w:rPr>
          <w:rFonts w:ascii="Arial" w:hAnsi="Arial" w:cs="Arial"/>
          <w:i/>
          <w:sz w:val="20"/>
          <w:szCs w:val="20"/>
        </w:rPr>
        <w:t>et al.,</w:t>
      </w:r>
      <w:r w:rsidR="005372C4" w:rsidRPr="00D31C07">
        <w:rPr>
          <w:rFonts w:ascii="Arial" w:hAnsi="Arial" w:cs="Arial"/>
          <w:sz w:val="20"/>
          <w:szCs w:val="20"/>
        </w:rPr>
        <w:t xml:space="preserve"> 2023</w:t>
      </w:r>
      <w:r w:rsidR="00CE6385" w:rsidRPr="00D31C07">
        <w:rPr>
          <w:rFonts w:ascii="Arial" w:hAnsi="Arial" w:cs="Arial"/>
          <w:sz w:val="20"/>
          <w:szCs w:val="20"/>
        </w:rPr>
        <w:t xml:space="preserve">; </w:t>
      </w:r>
      <w:r w:rsidR="00B777C2" w:rsidRPr="00D31C07">
        <w:rPr>
          <w:rFonts w:ascii="Arial" w:hAnsi="Arial" w:cs="Arial"/>
          <w:sz w:val="20"/>
          <w:szCs w:val="20"/>
        </w:rPr>
        <w:t>Jolly, 1983</w:t>
      </w:r>
      <w:r w:rsidR="00CE6385" w:rsidRPr="00D31C07">
        <w:rPr>
          <w:rFonts w:ascii="Arial" w:hAnsi="Arial" w:cs="Arial"/>
          <w:sz w:val="20"/>
          <w:szCs w:val="20"/>
        </w:rPr>
        <w:t xml:space="preserve">; Nayak &amp; Dash, 1974; Thangavelu &amp; </w:t>
      </w:r>
      <w:proofErr w:type="spellStart"/>
      <w:r w:rsidR="00CE6385" w:rsidRPr="00D31C07">
        <w:rPr>
          <w:rFonts w:ascii="Arial" w:hAnsi="Arial" w:cs="Arial"/>
          <w:sz w:val="20"/>
          <w:szCs w:val="20"/>
        </w:rPr>
        <w:t>Sahu</w:t>
      </w:r>
      <w:proofErr w:type="spellEnd"/>
      <w:r w:rsidR="00CE6385" w:rsidRPr="00D31C07">
        <w:rPr>
          <w:rFonts w:ascii="Arial" w:hAnsi="Arial" w:cs="Arial"/>
          <w:sz w:val="20"/>
          <w:szCs w:val="20"/>
        </w:rPr>
        <w:t xml:space="preserve">, 1986; </w:t>
      </w:r>
      <w:proofErr w:type="spellStart"/>
      <w:r w:rsidR="00CE6385" w:rsidRPr="00D31C07">
        <w:rPr>
          <w:rFonts w:ascii="Arial" w:hAnsi="Arial" w:cs="Arial"/>
          <w:sz w:val="20"/>
          <w:szCs w:val="20"/>
        </w:rPr>
        <w:t>Chaoba</w:t>
      </w:r>
      <w:proofErr w:type="spellEnd"/>
      <w:r w:rsidR="00CE6385" w:rsidRPr="00D31C07">
        <w:rPr>
          <w:rFonts w:ascii="Arial" w:hAnsi="Arial" w:cs="Arial"/>
          <w:sz w:val="20"/>
          <w:szCs w:val="20"/>
        </w:rPr>
        <w:t xml:space="preserve"> Singh </w:t>
      </w:r>
      <w:r w:rsidR="00CE6385" w:rsidRPr="00D31C07">
        <w:rPr>
          <w:rFonts w:ascii="Arial" w:hAnsi="Arial" w:cs="Arial"/>
          <w:i/>
          <w:sz w:val="20"/>
          <w:szCs w:val="20"/>
        </w:rPr>
        <w:t>et al.,</w:t>
      </w:r>
      <w:r w:rsidR="00CE6385" w:rsidRPr="00D31C07">
        <w:rPr>
          <w:rFonts w:ascii="Arial" w:hAnsi="Arial" w:cs="Arial"/>
          <w:sz w:val="20"/>
          <w:szCs w:val="20"/>
        </w:rPr>
        <w:t xml:space="preserve"> 1991</w:t>
      </w:r>
      <w:r w:rsidR="005372C4" w:rsidRPr="00D31C07">
        <w:rPr>
          <w:rFonts w:ascii="Arial" w:hAnsi="Arial" w:cs="Arial"/>
          <w:sz w:val="20"/>
          <w:szCs w:val="20"/>
        </w:rPr>
        <w:t>)</w:t>
      </w:r>
      <w:r w:rsidRPr="00D31C07">
        <w:rPr>
          <w:rFonts w:ascii="Arial" w:hAnsi="Arial" w:cs="Arial"/>
          <w:sz w:val="20"/>
          <w:szCs w:val="20"/>
        </w:rPr>
        <w:t xml:space="preserve">. These abiotic factors significantly impact key life cycle parameters including larval weight, pupal weight, cocoon shell weight, adult emergence rate, mating success, fecundity, hatching percentage, adult longevity, and silk </w:t>
      </w:r>
      <w:proofErr w:type="spellStart"/>
      <w:r w:rsidRPr="00D31C07">
        <w:rPr>
          <w:rFonts w:ascii="Arial" w:hAnsi="Arial" w:cs="Arial"/>
          <w:sz w:val="20"/>
          <w:szCs w:val="20"/>
        </w:rPr>
        <w:t>reelability</w:t>
      </w:r>
      <w:proofErr w:type="spellEnd"/>
      <w:r w:rsidRPr="00D31C07">
        <w:rPr>
          <w:rFonts w:ascii="Arial" w:hAnsi="Arial" w:cs="Arial"/>
          <w:sz w:val="20"/>
          <w:szCs w:val="20"/>
        </w:rPr>
        <w:t xml:space="preserve"> (Yadav </w:t>
      </w:r>
      <w:r w:rsidRPr="00D31C07">
        <w:rPr>
          <w:rFonts w:ascii="Arial" w:hAnsi="Arial" w:cs="Arial"/>
          <w:i/>
          <w:sz w:val="20"/>
          <w:szCs w:val="20"/>
        </w:rPr>
        <w:t>et al.,</w:t>
      </w:r>
      <w:r w:rsidRPr="00D31C07">
        <w:rPr>
          <w:rFonts w:ascii="Arial" w:hAnsi="Arial" w:cs="Arial"/>
          <w:sz w:val="20"/>
          <w:szCs w:val="20"/>
        </w:rPr>
        <w:t xml:space="preserve"> 1992; Nayak </w:t>
      </w:r>
      <w:r w:rsidRPr="00D31C07">
        <w:rPr>
          <w:rFonts w:ascii="Arial" w:hAnsi="Arial" w:cs="Arial"/>
          <w:i/>
          <w:sz w:val="20"/>
          <w:szCs w:val="20"/>
        </w:rPr>
        <w:t>et al.,</w:t>
      </w:r>
      <w:r w:rsidRPr="00D31C07">
        <w:rPr>
          <w:rFonts w:ascii="Arial" w:hAnsi="Arial" w:cs="Arial"/>
          <w:sz w:val="20"/>
          <w:szCs w:val="20"/>
        </w:rPr>
        <w:t xml:space="preserve"> 1993; Zhu </w:t>
      </w:r>
      <w:r w:rsidRPr="00D31C07">
        <w:rPr>
          <w:rFonts w:ascii="Arial" w:hAnsi="Arial" w:cs="Arial"/>
          <w:i/>
          <w:sz w:val="20"/>
          <w:szCs w:val="20"/>
        </w:rPr>
        <w:t>et al.,</w:t>
      </w:r>
      <w:r w:rsidRPr="00D31C07">
        <w:rPr>
          <w:rFonts w:ascii="Arial" w:hAnsi="Arial" w:cs="Arial"/>
          <w:sz w:val="20"/>
          <w:szCs w:val="20"/>
        </w:rPr>
        <w:t xml:space="preserve"> 2000; Chen </w:t>
      </w:r>
      <w:r w:rsidRPr="00D31C07">
        <w:rPr>
          <w:rFonts w:ascii="Arial" w:hAnsi="Arial" w:cs="Arial"/>
          <w:i/>
          <w:sz w:val="20"/>
          <w:szCs w:val="20"/>
        </w:rPr>
        <w:t>et al.,</w:t>
      </w:r>
      <w:r w:rsidRPr="00D31C07">
        <w:rPr>
          <w:rFonts w:ascii="Arial" w:hAnsi="Arial" w:cs="Arial"/>
          <w:sz w:val="20"/>
          <w:szCs w:val="20"/>
        </w:rPr>
        <w:t xml:space="preserve"> 2002; Seema </w:t>
      </w:r>
      <w:r w:rsidRPr="00D31C07">
        <w:rPr>
          <w:rFonts w:ascii="Arial" w:hAnsi="Arial" w:cs="Arial"/>
          <w:i/>
          <w:sz w:val="20"/>
          <w:szCs w:val="20"/>
        </w:rPr>
        <w:t>et al.,</w:t>
      </w:r>
      <w:r w:rsidRPr="00D31C07">
        <w:rPr>
          <w:rFonts w:ascii="Arial" w:hAnsi="Arial" w:cs="Arial"/>
          <w:sz w:val="20"/>
          <w:szCs w:val="20"/>
        </w:rPr>
        <w:t xml:space="preserve"> 2004).</w:t>
      </w:r>
    </w:p>
    <w:p w14:paraId="6438FDD9" w14:textId="77777777" w:rsidR="00D642D2" w:rsidRPr="00D31C07" w:rsidRDefault="00D642D2" w:rsidP="009571BA">
      <w:pPr>
        <w:pStyle w:val="NormalWeb"/>
        <w:jc w:val="both"/>
        <w:rPr>
          <w:rFonts w:ascii="Arial" w:hAnsi="Arial" w:cs="Arial"/>
          <w:sz w:val="20"/>
          <w:szCs w:val="20"/>
        </w:rPr>
      </w:pPr>
      <w:r w:rsidRPr="00D31C07">
        <w:rPr>
          <w:rFonts w:ascii="Arial" w:hAnsi="Arial" w:cs="Arial"/>
          <w:sz w:val="20"/>
          <w:szCs w:val="20"/>
        </w:rPr>
        <w:t xml:space="preserve">Temperature and relative humidity are particularly influential in regulating the reproductive success of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It has been established that the optimal thermal and humidity range for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silkworm rearing lies between 20–31 °C and 65–95%, respectively (</w:t>
      </w:r>
      <w:proofErr w:type="spellStart"/>
      <w:r w:rsidRPr="00D31C07">
        <w:rPr>
          <w:rFonts w:ascii="Arial" w:hAnsi="Arial" w:cs="Arial"/>
          <w:sz w:val="20"/>
          <w:szCs w:val="20"/>
        </w:rPr>
        <w:t>Tikader</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2013). Cooler and more stable conditions prevailing from October to March are considered favorable for cocoon development and seed productivity, as evidenced by higher cocoon quality and reduced larval mortality (Krishnaswami </w:t>
      </w:r>
      <w:r w:rsidRPr="00D31C07">
        <w:rPr>
          <w:rFonts w:ascii="Arial" w:hAnsi="Arial" w:cs="Arial"/>
          <w:i/>
          <w:sz w:val="20"/>
          <w:szCs w:val="20"/>
        </w:rPr>
        <w:t>et al.,</w:t>
      </w:r>
      <w:r w:rsidRPr="00D31C07">
        <w:rPr>
          <w:rFonts w:ascii="Arial" w:hAnsi="Arial" w:cs="Arial"/>
          <w:sz w:val="20"/>
          <w:szCs w:val="20"/>
        </w:rPr>
        <w:t xml:space="preserve"> 1971).</w:t>
      </w:r>
    </w:p>
    <w:p w14:paraId="796F5EBF" w14:textId="77777777" w:rsidR="00D642D2" w:rsidRPr="00D31C07" w:rsidRDefault="00D642D2" w:rsidP="009571BA">
      <w:pPr>
        <w:pStyle w:val="NormalWeb"/>
        <w:jc w:val="both"/>
        <w:rPr>
          <w:rFonts w:ascii="Arial" w:hAnsi="Arial" w:cs="Arial"/>
          <w:sz w:val="20"/>
          <w:szCs w:val="20"/>
        </w:rPr>
      </w:pPr>
      <w:r w:rsidRPr="00D31C07">
        <w:rPr>
          <w:rFonts w:ascii="Arial" w:hAnsi="Arial" w:cs="Arial"/>
          <w:sz w:val="20"/>
          <w:szCs w:val="20"/>
        </w:rPr>
        <w:t xml:space="preserve">Given that seed production and timely supply remain one of the most critical challenges in the </w:t>
      </w:r>
      <w:proofErr w:type="spellStart"/>
      <w:r w:rsidRPr="00D31C07">
        <w:rPr>
          <w:rFonts w:ascii="Arial" w:hAnsi="Arial" w:cs="Arial"/>
          <w:sz w:val="20"/>
          <w:szCs w:val="20"/>
        </w:rPr>
        <w:t>muga</w:t>
      </w:r>
      <w:proofErr w:type="spellEnd"/>
      <w:r w:rsidRPr="00D31C07">
        <w:rPr>
          <w:rFonts w:ascii="Arial" w:hAnsi="Arial" w:cs="Arial"/>
          <w:sz w:val="20"/>
          <w:szCs w:val="20"/>
        </w:rPr>
        <w:t xml:space="preserve"> industry, there is a growing need for systematic and technology-driven approaches to ensure consistency in seed quality. Enhancing hatching percentage and overall seed viability not only boosts cocoon yield and raw silk output but also improves economic returns for </w:t>
      </w:r>
      <w:proofErr w:type="spellStart"/>
      <w:r w:rsidRPr="00D31C07">
        <w:rPr>
          <w:rFonts w:ascii="Arial" w:hAnsi="Arial" w:cs="Arial"/>
          <w:sz w:val="20"/>
          <w:szCs w:val="20"/>
        </w:rPr>
        <w:t>rearers</w:t>
      </w:r>
      <w:proofErr w:type="spellEnd"/>
      <w:r w:rsidRPr="00D31C07">
        <w:rPr>
          <w:rFonts w:ascii="Arial" w:hAnsi="Arial" w:cs="Arial"/>
          <w:sz w:val="20"/>
          <w:szCs w:val="20"/>
        </w:rPr>
        <w:t xml:space="preserve"> and seed producers alike. Mating duration has also been shown to significantly affect fecundity and fertility across several studies, with extended copulation times generally associated with improved reproductive performance (Goswami </w:t>
      </w:r>
      <w:r w:rsidR="009571BA" w:rsidRPr="00D31C07">
        <w:rPr>
          <w:rFonts w:ascii="Arial" w:hAnsi="Arial" w:cs="Arial"/>
          <w:sz w:val="20"/>
          <w:szCs w:val="20"/>
        </w:rPr>
        <w:t>&amp;</w:t>
      </w:r>
      <w:r w:rsidRPr="00D31C07">
        <w:rPr>
          <w:rFonts w:ascii="Arial" w:hAnsi="Arial" w:cs="Arial"/>
          <w:sz w:val="20"/>
          <w:szCs w:val="20"/>
        </w:rPr>
        <w:t xml:space="preserve"> Singh, 2012).</w:t>
      </w:r>
    </w:p>
    <w:p w14:paraId="4092BB53" w14:textId="77777777" w:rsidR="00D642D2" w:rsidRPr="00D31C07" w:rsidRDefault="00D642D2" w:rsidP="009571BA">
      <w:pPr>
        <w:pStyle w:val="NormalWeb"/>
        <w:jc w:val="both"/>
        <w:rPr>
          <w:rFonts w:ascii="Arial" w:hAnsi="Arial" w:cs="Arial"/>
          <w:sz w:val="20"/>
          <w:szCs w:val="20"/>
        </w:rPr>
      </w:pPr>
      <w:r w:rsidRPr="00D31C07">
        <w:rPr>
          <w:rFonts w:ascii="Arial" w:hAnsi="Arial" w:cs="Arial"/>
          <w:sz w:val="20"/>
          <w:szCs w:val="20"/>
        </w:rPr>
        <w:lastRenderedPageBreak/>
        <w:t xml:space="preserve">Despite significant advances in individual domains such as reproductive anatomy, mating behavior, endocrinology, and ecological adaptation, the reproductive biology of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has not yet been reviewed in an integrated and holistic manner. A comprehensive synthesis of these interconnected aspects is essential not only for scientific advancement but also for optimizing practical applications in seed technology,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operations, and conservation-oriented breeding. The present review aims to consolidate the fragmented body of knowledge on the reproductive biology of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elucidating the anatomical, physiological, environmental, and operational factors that govern reproductive success, and identifying strategic directions for future research and sericultural innovation.</w:t>
      </w:r>
    </w:p>
    <w:p w14:paraId="58293565" w14:textId="77777777" w:rsidR="00D976B7" w:rsidRPr="00D31C07" w:rsidRDefault="00D31C07" w:rsidP="00D976B7">
      <w:pPr>
        <w:spacing w:before="100" w:beforeAutospacing="1" w:after="100" w:afterAutospacing="1" w:line="240" w:lineRule="auto"/>
        <w:outlineLvl w:val="2"/>
        <w:rPr>
          <w:rFonts w:ascii="Arial" w:eastAsia="Times New Roman" w:hAnsi="Arial" w:cs="Arial"/>
          <w:b/>
          <w:bCs/>
          <w:szCs w:val="20"/>
        </w:rPr>
      </w:pPr>
      <w:r w:rsidRPr="00D31C07">
        <w:rPr>
          <w:rFonts w:ascii="Arial" w:eastAsia="Times New Roman" w:hAnsi="Arial" w:cs="Arial"/>
          <w:b/>
          <w:bCs/>
          <w:szCs w:val="20"/>
        </w:rPr>
        <w:t>2. ANATOMY AND MORPHOLOGY OF REPRODUCTIVE ORGANS</w:t>
      </w:r>
    </w:p>
    <w:p w14:paraId="3FF24027" w14:textId="77777777" w:rsidR="00D976B7" w:rsidRPr="00D31C07" w:rsidRDefault="00D976B7" w:rsidP="00D976B7">
      <w:pPr>
        <w:spacing w:before="100" w:beforeAutospacing="1" w:after="100" w:afterAutospacing="1" w:line="240" w:lineRule="auto"/>
        <w:jc w:val="both"/>
        <w:rPr>
          <w:rFonts w:ascii="Arial" w:eastAsia="Times New Roman" w:hAnsi="Arial" w:cs="Arial"/>
          <w:sz w:val="20"/>
          <w:szCs w:val="20"/>
        </w:rPr>
      </w:pPr>
      <w:r w:rsidRPr="00D31C07">
        <w:rPr>
          <w:rFonts w:ascii="Arial" w:eastAsia="Times New Roman" w:hAnsi="Arial" w:cs="Arial"/>
          <w:sz w:val="20"/>
          <w:szCs w:val="20"/>
        </w:rPr>
        <w:t xml:space="preserve">The reproductive anatomy of </w:t>
      </w:r>
      <w:proofErr w:type="spellStart"/>
      <w:r w:rsidRPr="00D31C07">
        <w:rPr>
          <w:rFonts w:ascii="Arial" w:eastAsia="Times New Roman" w:hAnsi="Arial" w:cs="Arial"/>
          <w:i/>
          <w:iCs/>
          <w:sz w:val="20"/>
          <w:szCs w:val="20"/>
        </w:rPr>
        <w:t>Antheraea</w:t>
      </w:r>
      <w:proofErr w:type="spellEnd"/>
      <w:r w:rsidRPr="00D31C07">
        <w:rPr>
          <w:rFonts w:ascii="Arial" w:eastAsia="Times New Roman" w:hAnsi="Arial" w:cs="Arial"/>
          <w:i/>
          <w:iCs/>
          <w:sz w:val="20"/>
          <w:szCs w:val="20"/>
        </w:rPr>
        <w:t xml:space="preserve"> </w:t>
      </w:r>
      <w:proofErr w:type="spellStart"/>
      <w:r w:rsidRPr="00D31C07">
        <w:rPr>
          <w:rFonts w:ascii="Arial" w:eastAsia="Times New Roman" w:hAnsi="Arial" w:cs="Arial"/>
          <w:i/>
          <w:iCs/>
          <w:sz w:val="20"/>
          <w:szCs w:val="20"/>
        </w:rPr>
        <w:t>assamensis</w:t>
      </w:r>
      <w:proofErr w:type="spellEnd"/>
      <w:r w:rsidRPr="00D31C07">
        <w:rPr>
          <w:rFonts w:ascii="Arial" w:eastAsia="Times New Roman" w:hAnsi="Arial" w:cs="Arial"/>
          <w:sz w:val="20"/>
          <w:szCs w:val="20"/>
        </w:rPr>
        <w:t xml:space="preserve"> plays a fundamental role in shaping its reproductive performance, directly impacting seed productivity and the economic viability of </w:t>
      </w:r>
      <w:proofErr w:type="spellStart"/>
      <w:r w:rsidRPr="00D31C07">
        <w:rPr>
          <w:rFonts w:ascii="Arial" w:eastAsia="Times New Roman" w:hAnsi="Arial" w:cs="Arial"/>
          <w:sz w:val="20"/>
          <w:szCs w:val="20"/>
        </w:rPr>
        <w:t>muga</w:t>
      </w:r>
      <w:proofErr w:type="spellEnd"/>
      <w:r w:rsidRPr="00D31C07">
        <w:rPr>
          <w:rFonts w:ascii="Arial" w:eastAsia="Times New Roman" w:hAnsi="Arial" w:cs="Arial"/>
          <w:sz w:val="20"/>
          <w:szCs w:val="20"/>
        </w:rPr>
        <w:t xml:space="preserve"> sericulture. Despite the commercial importance of this species, detailed anatomical investigations into its reproductive system remain limited. While earlier studies have examined certain aspects of reproductive biology (</w:t>
      </w:r>
      <w:proofErr w:type="spellStart"/>
      <w:r w:rsidR="00BC2561" w:rsidRPr="00D31C07">
        <w:rPr>
          <w:rFonts w:ascii="Arial" w:hAnsi="Arial" w:cs="Arial"/>
          <w:color w:val="222222"/>
          <w:sz w:val="20"/>
          <w:szCs w:val="20"/>
          <w:shd w:val="clear" w:color="auto" w:fill="FFFFFF"/>
        </w:rPr>
        <w:t>Ghonmode</w:t>
      </w:r>
      <w:proofErr w:type="spellEnd"/>
      <w:r w:rsidR="00BC2561" w:rsidRPr="00D31C07">
        <w:rPr>
          <w:rFonts w:ascii="Arial" w:eastAsia="Times New Roman" w:hAnsi="Arial" w:cs="Arial"/>
          <w:sz w:val="20"/>
          <w:szCs w:val="20"/>
        </w:rPr>
        <w:t xml:space="preserve"> 2024</w:t>
      </w:r>
      <w:r w:rsidRPr="00D31C07">
        <w:rPr>
          <w:rFonts w:ascii="Arial" w:eastAsia="Times New Roman" w:hAnsi="Arial" w:cs="Arial"/>
          <w:sz w:val="20"/>
          <w:szCs w:val="20"/>
        </w:rPr>
        <w:t xml:space="preserve">; </w:t>
      </w:r>
      <w:proofErr w:type="spellStart"/>
      <w:r w:rsidR="00BC2561" w:rsidRPr="00D31C07">
        <w:rPr>
          <w:rFonts w:ascii="Arial" w:eastAsia="Times New Roman" w:hAnsi="Arial" w:cs="Arial"/>
          <w:sz w:val="20"/>
          <w:szCs w:val="20"/>
        </w:rPr>
        <w:t>Barah</w:t>
      </w:r>
      <w:proofErr w:type="spellEnd"/>
      <w:r w:rsidR="00BC2561" w:rsidRPr="00D31C07">
        <w:rPr>
          <w:rFonts w:ascii="Arial" w:eastAsia="Times New Roman" w:hAnsi="Arial" w:cs="Arial"/>
          <w:sz w:val="20"/>
          <w:szCs w:val="20"/>
        </w:rPr>
        <w:t xml:space="preserve"> et al., 1991; Biswas et al., 2018; </w:t>
      </w:r>
      <w:r w:rsidRPr="00D31C07">
        <w:rPr>
          <w:rFonts w:ascii="Arial" w:eastAsia="Times New Roman" w:hAnsi="Arial" w:cs="Arial"/>
          <w:sz w:val="20"/>
          <w:szCs w:val="20"/>
        </w:rPr>
        <w:t xml:space="preserve">Thangavelu </w:t>
      </w:r>
      <w:r w:rsidRPr="00D31C07">
        <w:rPr>
          <w:rFonts w:ascii="Arial" w:eastAsia="Times New Roman" w:hAnsi="Arial" w:cs="Arial"/>
          <w:i/>
          <w:sz w:val="20"/>
          <w:szCs w:val="20"/>
        </w:rPr>
        <w:t>et al.,</w:t>
      </w:r>
      <w:r w:rsidRPr="00D31C07">
        <w:rPr>
          <w:rFonts w:ascii="Arial" w:eastAsia="Times New Roman" w:hAnsi="Arial" w:cs="Arial"/>
          <w:sz w:val="20"/>
          <w:szCs w:val="20"/>
        </w:rPr>
        <w:t xml:space="preserve"> 1988; Sahu </w:t>
      </w:r>
      <w:r w:rsidRPr="00D31C07">
        <w:rPr>
          <w:rFonts w:ascii="Arial" w:eastAsia="Times New Roman" w:hAnsi="Arial" w:cs="Arial"/>
          <w:i/>
          <w:sz w:val="20"/>
          <w:szCs w:val="20"/>
        </w:rPr>
        <w:t>et al.,</w:t>
      </w:r>
      <w:r w:rsidR="00BC2561" w:rsidRPr="00D31C07">
        <w:rPr>
          <w:rFonts w:ascii="Arial" w:eastAsia="Times New Roman" w:hAnsi="Arial" w:cs="Arial"/>
          <w:sz w:val="20"/>
          <w:szCs w:val="20"/>
        </w:rPr>
        <w:t xml:space="preserve"> 1999</w:t>
      </w:r>
      <w:r w:rsidRPr="00D31C07">
        <w:rPr>
          <w:rFonts w:ascii="Arial" w:eastAsia="Times New Roman" w:hAnsi="Arial" w:cs="Arial"/>
          <w:sz w:val="20"/>
          <w:szCs w:val="20"/>
        </w:rPr>
        <w:t xml:space="preserve">), a comprehensive morphological characterization had been lacking until the recent work of </w:t>
      </w:r>
      <w:r w:rsidRPr="00D31C07">
        <w:rPr>
          <w:rFonts w:ascii="Arial" w:eastAsia="Times New Roman" w:hAnsi="Arial" w:cs="Arial"/>
          <w:bCs/>
          <w:sz w:val="20"/>
          <w:szCs w:val="20"/>
        </w:rPr>
        <w:t xml:space="preserve">Biswas </w:t>
      </w:r>
      <w:r w:rsidRPr="00D31C07">
        <w:rPr>
          <w:rFonts w:ascii="Arial" w:eastAsia="Times New Roman" w:hAnsi="Arial" w:cs="Arial"/>
          <w:bCs/>
          <w:i/>
          <w:sz w:val="20"/>
          <w:szCs w:val="20"/>
        </w:rPr>
        <w:t>et al.</w:t>
      </w:r>
      <w:r w:rsidRPr="00D31C07">
        <w:rPr>
          <w:rFonts w:ascii="Arial" w:eastAsia="Times New Roman" w:hAnsi="Arial" w:cs="Arial"/>
          <w:bCs/>
          <w:sz w:val="20"/>
          <w:szCs w:val="20"/>
        </w:rPr>
        <w:t xml:space="preserve"> (2024)</w:t>
      </w:r>
      <w:r w:rsidRPr="00D31C07">
        <w:rPr>
          <w:rFonts w:ascii="Arial" w:eastAsia="Times New Roman" w:hAnsi="Arial" w:cs="Arial"/>
          <w:sz w:val="20"/>
          <w:szCs w:val="20"/>
        </w:rPr>
        <w:t>.</w:t>
      </w:r>
    </w:p>
    <w:p w14:paraId="4B93F78D" w14:textId="77777777" w:rsidR="00D976B7" w:rsidRPr="00D31C07" w:rsidRDefault="00D976B7" w:rsidP="00D976B7">
      <w:pPr>
        <w:spacing w:before="100" w:beforeAutospacing="1" w:after="100" w:afterAutospacing="1" w:line="240" w:lineRule="auto"/>
        <w:jc w:val="both"/>
        <w:rPr>
          <w:rFonts w:ascii="Arial" w:eastAsia="Times New Roman" w:hAnsi="Arial" w:cs="Arial"/>
          <w:sz w:val="20"/>
          <w:szCs w:val="20"/>
        </w:rPr>
      </w:pPr>
      <w:r w:rsidRPr="00D31C07">
        <w:rPr>
          <w:rFonts w:ascii="Arial" w:eastAsia="Times New Roman" w:hAnsi="Arial" w:cs="Arial"/>
          <w:sz w:val="20"/>
          <w:szCs w:val="20"/>
        </w:rPr>
        <w:t xml:space="preserve">Building on preliminary work by Sahu </w:t>
      </w:r>
      <w:r w:rsidRPr="00D31C07">
        <w:rPr>
          <w:rFonts w:ascii="Arial" w:eastAsia="Times New Roman" w:hAnsi="Arial" w:cs="Arial"/>
          <w:i/>
          <w:sz w:val="20"/>
          <w:szCs w:val="20"/>
        </w:rPr>
        <w:t>et al.</w:t>
      </w:r>
      <w:r w:rsidR="00BC2561" w:rsidRPr="00D31C07">
        <w:rPr>
          <w:rFonts w:ascii="Arial" w:eastAsia="Times New Roman" w:hAnsi="Arial" w:cs="Arial"/>
          <w:sz w:val="20"/>
          <w:szCs w:val="20"/>
        </w:rPr>
        <w:t xml:space="preserve"> (1999</w:t>
      </w:r>
      <w:r w:rsidRPr="00D31C07">
        <w:rPr>
          <w:rFonts w:ascii="Arial" w:eastAsia="Times New Roman" w:hAnsi="Arial" w:cs="Arial"/>
          <w:sz w:val="20"/>
          <w:szCs w:val="20"/>
        </w:rPr>
        <w:t xml:space="preserve">), who described the ontogeny of reproductive organs during developmental stages, </w:t>
      </w:r>
      <w:r w:rsidRPr="00D31C07">
        <w:rPr>
          <w:rFonts w:ascii="Arial" w:eastAsia="Times New Roman" w:hAnsi="Arial" w:cs="Arial"/>
          <w:bCs/>
          <w:sz w:val="20"/>
          <w:szCs w:val="20"/>
        </w:rPr>
        <w:t xml:space="preserve">Biswas </w:t>
      </w:r>
      <w:r w:rsidRPr="00D31C07">
        <w:rPr>
          <w:rFonts w:ascii="Arial" w:eastAsia="Times New Roman" w:hAnsi="Arial" w:cs="Arial"/>
          <w:bCs/>
          <w:i/>
          <w:sz w:val="20"/>
          <w:szCs w:val="20"/>
        </w:rPr>
        <w:t>et al.</w:t>
      </w:r>
      <w:r w:rsidRPr="00D31C07">
        <w:rPr>
          <w:rFonts w:ascii="Arial" w:eastAsia="Times New Roman" w:hAnsi="Arial" w:cs="Arial"/>
          <w:bCs/>
          <w:sz w:val="20"/>
          <w:szCs w:val="20"/>
        </w:rPr>
        <w:t xml:space="preserve"> (2024) </w:t>
      </w:r>
      <w:r w:rsidRPr="00D31C07">
        <w:rPr>
          <w:rFonts w:ascii="Arial" w:eastAsia="Times New Roman" w:hAnsi="Arial" w:cs="Arial"/>
          <w:sz w:val="20"/>
          <w:szCs w:val="20"/>
        </w:rPr>
        <w:t xml:space="preserve">provided the first detailed anatomical account of both male and female reproductive systems of </w:t>
      </w:r>
      <w:r w:rsidRPr="00D31C07">
        <w:rPr>
          <w:rFonts w:ascii="Arial" w:eastAsia="Times New Roman" w:hAnsi="Arial" w:cs="Arial"/>
          <w:i/>
          <w:iCs/>
          <w:sz w:val="20"/>
          <w:szCs w:val="20"/>
        </w:rPr>
        <w:t xml:space="preserve">A. </w:t>
      </w:r>
      <w:proofErr w:type="spellStart"/>
      <w:r w:rsidRPr="00D31C07">
        <w:rPr>
          <w:rFonts w:ascii="Arial" w:eastAsia="Times New Roman" w:hAnsi="Arial" w:cs="Arial"/>
          <w:i/>
          <w:iCs/>
          <w:sz w:val="20"/>
          <w:szCs w:val="20"/>
        </w:rPr>
        <w:t>assamensis</w:t>
      </w:r>
      <w:proofErr w:type="spellEnd"/>
      <w:r w:rsidRPr="00D31C07">
        <w:rPr>
          <w:rFonts w:ascii="Arial" w:eastAsia="Times New Roman" w:hAnsi="Arial" w:cs="Arial"/>
          <w:sz w:val="20"/>
          <w:szCs w:val="20"/>
        </w:rPr>
        <w:t xml:space="preserve">, along with season-dependent observations on sperm dimorphism and functionality. Their study marks a significant advancement in understanding the structural basis of reproductive physiology in this species, drawing comparative insights from closely related lepidopterans such as </w:t>
      </w:r>
      <w:r w:rsidRPr="00D31C07">
        <w:rPr>
          <w:rFonts w:ascii="Arial" w:eastAsia="Times New Roman" w:hAnsi="Arial" w:cs="Arial"/>
          <w:i/>
          <w:iCs/>
          <w:sz w:val="20"/>
          <w:szCs w:val="20"/>
        </w:rPr>
        <w:t>Bombyx mori</w:t>
      </w:r>
      <w:r w:rsidRPr="00D31C07">
        <w:rPr>
          <w:rFonts w:ascii="Arial" w:eastAsia="Times New Roman" w:hAnsi="Arial" w:cs="Arial"/>
          <w:sz w:val="20"/>
          <w:szCs w:val="20"/>
        </w:rPr>
        <w:t xml:space="preserve"> (Omura, 1936, 1938a, 1938b) and </w:t>
      </w:r>
      <w:proofErr w:type="spellStart"/>
      <w:r w:rsidRPr="00D31C07">
        <w:rPr>
          <w:rFonts w:ascii="Arial" w:eastAsia="Times New Roman" w:hAnsi="Arial" w:cs="Arial"/>
          <w:i/>
          <w:iCs/>
          <w:sz w:val="20"/>
          <w:szCs w:val="20"/>
        </w:rPr>
        <w:t>Antheraea</w:t>
      </w:r>
      <w:proofErr w:type="spellEnd"/>
      <w:r w:rsidRPr="00D31C07">
        <w:rPr>
          <w:rFonts w:ascii="Arial" w:eastAsia="Times New Roman" w:hAnsi="Arial" w:cs="Arial"/>
          <w:i/>
          <w:iCs/>
          <w:sz w:val="20"/>
          <w:szCs w:val="20"/>
        </w:rPr>
        <w:t xml:space="preserve"> </w:t>
      </w:r>
      <w:proofErr w:type="spellStart"/>
      <w:r w:rsidRPr="00D31C07">
        <w:rPr>
          <w:rFonts w:ascii="Arial" w:eastAsia="Times New Roman" w:hAnsi="Arial" w:cs="Arial"/>
          <w:i/>
          <w:iCs/>
          <w:sz w:val="20"/>
          <w:szCs w:val="20"/>
        </w:rPr>
        <w:t>mylitta</w:t>
      </w:r>
      <w:proofErr w:type="spellEnd"/>
      <w:r w:rsidRPr="00D31C07">
        <w:rPr>
          <w:rFonts w:ascii="Arial" w:eastAsia="Times New Roman" w:hAnsi="Arial" w:cs="Arial"/>
          <w:sz w:val="20"/>
          <w:szCs w:val="20"/>
        </w:rPr>
        <w:t xml:space="preserve"> (</w:t>
      </w:r>
      <w:proofErr w:type="spellStart"/>
      <w:r w:rsidR="00BC2561" w:rsidRPr="00D31C07">
        <w:rPr>
          <w:rFonts w:ascii="Arial" w:hAnsi="Arial" w:cs="Arial"/>
          <w:color w:val="222222"/>
          <w:sz w:val="20"/>
          <w:szCs w:val="20"/>
          <w:shd w:val="clear" w:color="auto" w:fill="FFFFFF"/>
        </w:rPr>
        <w:t>Ghonmode</w:t>
      </w:r>
      <w:proofErr w:type="spellEnd"/>
      <w:r w:rsidR="00BC2561" w:rsidRPr="00D31C07">
        <w:rPr>
          <w:rFonts w:ascii="Arial" w:eastAsia="Times New Roman" w:hAnsi="Arial" w:cs="Arial"/>
          <w:sz w:val="20"/>
          <w:szCs w:val="20"/>
        </w:rPr>
        <w:t xml:space="preserve"> 2024</w:t>
      </w:r>
      <w:r w:rsidRPr="00D31C07">
        <w:rPr>
          <w:rFonts w:ascii="Arial" w:eastAsia="Times New Roman" w:hAnsi="Arial" w:cs="Arial"/>
          <w:sz w:val="20"/>
          <w:szCs w:val="20"/>
        </w:rPr>
        <w:t xml:space="preserve">; Dubey </w:t>
      </w:r>
      <w:r w:rsidRPr="00D31C07">
        <w:rPr>
          <w:rFonts w:ascii="Arial" w:eastAsia="Times New Roman" w:hAnsi="Arial" w:cs="Arial"/>
          <w:i/>
          <w:sz w:val="20"/>
          <w:szCs w:val="20"/>
        </w:rPr>
        <w:t>et al.,</w:t>
      </w:r>
      <w:r w:rsidRPr="00D31C07">
        <w:rPr>
          <w:rFonts w:ascii="Arial" w:eastAsia="Times New Roman" w:hAnsi="Arial" w:cs="Arial"/>
          <w:sz w:val="20"/>
          <w:szCs w:val="20"/>
        </w:rPr>
        <w:t xml:space="preserve"> 1992).</w:t>
      </w:r>
    </w:p>
    <w:p w14:paraId="068CBED5" w14:textId="77777777" w:rsidR="00D976B7" w:rsidRPr="00D31C07" w:rsidRDefault="00D976B7" w:rsidP="00D31C07">
      <w:pPr>
        <w:spacing w:before="100" w:beforeAutospacing="1" w:after="100" w:afterAutospacing="1" w:line="240" w:lineRule="auto"/>
        <w:outlineLvl w:val="3"/>
        <w:rPr>
          <w:rFonts w:ascii="Arial" w:eastAsia="Times New Roman" w:hAnsi="Arial" w:cs="Arial"/>
          <w:b/>
          <w:bCs/>
        </w:rPr>
      </w:pPr>
      <w:r w:rsidRPr="00D31C07">
        <w:rPr>
          <w:rFonts w:ascii="Arial" w:eastAsia="Times New Roman" w:hAnsi="Arial" w:cs="Arial"/>
          <w:b/>
          <w:bCs/>
        </w:rPr>
        <w:t>2.1 Male Reproductive System</w:t>
      </w:r>
    </w:p>
    <w:p w14:paraId="6081A65A" w14:textId="77777777" w:rsidR="00D976B7" w:rsidRPr="00D31C07" w:rsidRDefault="00D976B7" w:rsidP="00D976B7">
      <w:pPr>
        <w:spacing w:before="100" w:beforeAutospacing="1" w:after="100" w:afterAutospacing="1" w:line="240" w:lineRule="auto"/>
        <w:jc w:val="both"/>
        <w:rPr>
          <w:rFonts w:ascii="Arial" w:eastAsia="Times New Roman" w:hAnsi="Arial" w:cs="Arial"/>
          <w:sz w:val="20"/>
          <w:szCs w:val="20"/>
        </w:rPr>
      </w:pPr>
      <w:r w:rsidRPr="00D31C07">
        <w:rPr>
          <w:rFonts w:ascii="Arial" w:eastAsia="Times New Roman" w:hAnsi="Arial" w:cs="Arial"/>
          <w:sz w:val="20"/>
          <w:szCs w:val="20"/>
        </w:rPr>
        <w:t xml:space="preserve">According to Biswas </w:t>
      </w:r>
      <w:r w:rsidRPr="00D31C07">
        <w:rPr>
          <w:rFonts w:ascii="Arial" w:eastAsia="Times New Roman" w:hAnsi="Arial" w:cs="Arial"/>
          <w:i/>
          <w:sz w:val="20"/>
          <w:szCs w:val="20"/>
        </w:rPr>
        <w:t>et al.</w:t>
      </w:r>
      <w:r w:rsidRPr="00D31C07">
        <w:rPr>
          <w:rFonts w:ascii="Arial" w:eastAsia="Times New Roman" w:hAnsi="Arial" w:cs="Arial"/>
          <w:sz w:val="20"/>
          <w:szCs w:val="20"/>
        </w:rPr>
        <w:t xml:space="preserve"> (2024), the male reproductive system of </w:t>
      </w:r>
      <w:r w:rsidRPr="00D31C07">
        <w:rPr>
          <w:rFonts w:ascii="Arial" w:eastAsia="Times New Roman" w:hAnsi="Arial" w:cs="Arial"/>
          <w:i/>
          <w:iCs/>
          <w:sz w:val="20"/>
          <w:szCs w:val="20"/>
        </w:rPr>
        <w:t xml:space="preserve">A. </w:t>
      </w:r>
      <w:proofErr w:type="spellStart"/>
      <w:r w:rsidRPr="00D31C07">
        <w:rPr>
          <w:rFonts w:ascii="Arial" w:eastAsia="Times New Roman" w:hAnsi="Arial" w:cs="Arial"/>
          <w:i/>
          <w:iCs/>
          <w:sz w:val="20"/>
          <w:szCs w:val="20"/>
        </w:rPr>
        <w:t>assamensis</w:t>
      </w:r>
      <w:proofErr w:type="spellEnd"/>
      <w:r w:rsidRPr="00D31C07">
        <w:rPr>
          <w:rFonts w:ascii="Arial" w:eastAsia="Times New Roman" w:hAnsi="Arial" w:cs="Arial"/>
          <w:sz w:val="20"/>
          <w:szCs w:val="20"/>
        </w:rPr>
        <w:t xml:space="preserve"> comprises paired testes, vasa </w:t>
      </w:r>
      <w:proofErr w:type="spellStart"/>
      <w:r w:rsidRPr="00D31C07">
        <w:rPr>
          <w:rFonts w:ascii="Arial" w:eastAsia="Times New Roman" w:hAnsi="Arial" w:cs="Arial"/>
          <w:sz w:val="20"/>
          <w:szCs w:val="20"/>
        </w:rPr>
        <w:t>deferentia</w:t>
      </w:r>
      <w:proofErr w:type="spellEnd"/>
      <w:r w:rsidRPr="00D31C07">
        <w:rPr>
          <w:rFonts w:ascii="Arial" w:eastAsia="Times New Roman" w:hAnsi="Arial" w:cs="Arial"/>
          <w:sz w:val="20"/>
          <w:szCs w:val="20"/>
        </w:rPr>
        <w:t xml:space="preserve">, ductus </w:t>
      </w:r>
      <w:proofErr w:type="spellStart"/>
      <w:r w:rsidRPr="00D31C07">
        <w:rPr>
          <w:rFonts w:ascii="Arial" w:eastAsia="Times New Roman" w:hAnsi="Arial" w:cs="Arial"/>
          <w:sz w:val="20"/>
          <w:szCs w:val="20"/>
        </w:rPr>
        <w:t>ejaculatorius</w:t>
      </w:r>
      <w:proofErr w:type="spellEnd"/>
      <w:r w:rsidRPr="00D31C07">
        <w:rPr>
          <w:rFonts w:ascii="Arial" w:eastAsia="Times New Roman" w:hAnsi="Arial" w:cs="Arial"/>
          <w:sz w:val="20"/>
          <w:szCs w:val="20"/>
        </w:rPr>
        <w:t xml:space="preserve"> duplex and simplex, aedeagus, and paired accessory glands</w:t>
      </w:r>
      <w:r w:rsidR="00D31C07">
        <w:rPr>
          <w:rFonts w:ascii="Arial" w:eastAsia="Times New Roman" w:hAnsi="Arial" w:cs="Arial"/>
          <w:sz w:val="20"/>
          <w:szCs w:val="20"/>
        </w:rPr>
        <w:t xml:space="preserve"> (Fig. 3</w:t>
      </w:r>
      <w:r w:rsidR="003E1708" w:rsidRPr="00D31C07">
        <w:rPr>
          <w:rFonts w:ascii="Arial" w:eastAsia="Times New Roman" w:hAnsi="Arial" w:cs="Arial"/>
          <w:sz w:val="20"/>
          <w:szCs w:val="20"/>
        </w:rPr>
        <w:t>)</w:t>
      </w:r>
      <w:r w:rsidRPr="00D31C07">
        <w:rPr>
          <w:rFonts w:ascii="Arial" w:eastAsia="Times New Roman" w:hAnsi="Arial" w:cs="Arial"/>
          <w:sz w:val="20"/>
          <w:szCs w:val="20"/>
        </w:rPr>
        <w:t xml:space="preserve">. The testes, positioned dorsally on either side of the fifth abdominal segment, appear yellow in newly emerged moths due to the surrounding fat body. Each testis contains four lobes with centrally arranged cysts, within which </w:t>
      </w:r>
      <w:proofErr w:type="spellStart"/>
      <w:r w:rsidRPr="00D31C07">
        <w:rPr>
          <w:rFonts w:ascii="Arial" w:eastAsia="Times New Roman" w:hAnsi="Arial" w:cs="Arial"/>
          <w:sz w:val="20"/>
          <w:szCs w:val="20"/>
        </w:rPr>
        <w:t>eupyrene</w:t>
      </w:r>
      <w:proofErr w:type="spellEnd"/>
      <w:r w:rsidRPr="00D31C07">
        <w:rPr>
          <w:rFonts w:ascii="Arial" w:eastAsia="Times New Roman" w:hAnsi="Arial" w:cs="Arial"/>
          <w:sz w:val="20"/>
          <w:szCs w:val="20"/>
        </w:rPr>
        <w:t xml:space="preserve"> (nucleated) and </w:t>
      </w:r>
      <w:proofErr w:type="spellStart"/>
      <w:r w:rsidRPr="00D31C07">
        <w:rPr>
          <w:rFonts w:ascii="Arial" w:eastAsia="Times New Roman" w:hAnsi="Arial" w:cs="Arial"/>
          <w:sz w:val="20"/>
          <w:szCs w:val="20"/>
        </w:rPr>
        <w:t>apyrene</w:t>
      </w:r>
      <w:proofErr w:type="spellEnd"/>
      <w:r w:rsidRPr="00D31C07">
        <w:rPr>
          <w:rFonts w:ascii="Arial" w:eastAsia="Times New Roman" w:hAnsi="Arial" w:cs="Arial"/>
          <w:sz w:val="20"/>
          <w:szCs w:val="20"/>
        </w:rPr>
        <w:t xml:space="preserve"> (</w:t>
      </w:r>
      <w:proofErr w:type="spellStart"/>
      <w:r w:rsidRPr="00D31C07">
        <w:rPr>
          <w:rFonts w:ascii="Arial" w:eastAsia="Times New Roman" w:hAnsi="Arial" w:cs="Arial"/>
          <w:sz w:val="20"/>
          <w:szCs w:val="20"/>
        </w:rPr>
        <w:t>anucleated</w:t>
      </w:r>
      <w:proofErr w:type="spellEnd"/>
      <w:r w:rsidRPr="00D31C07">
        <w:rPr>
          <w:rFonts w:ascii="Arial" w:eastAsia="Times New Roman" w:hAnsi="Arial" w:cs="Arial"/>
          <w:sz w:val="20"/>
          <w:szCs w:val="20"/>
        </w:rPr>
        <w:t xml:space="preserve">) sperms are formed in separate bundles, consistent with observations in </w:t>
      </w:r>
      <w:r w:rsidRPr="00D31C07">
        <w:rPr>
          <w:rFonts w:ascii="Arial" w:eastAsia="Times New Roman" w:hAnsi="Arial" w:cs="Arial"/>
          <w:i/>
          <w:iCs/>
          <w:sz w:val="20"/>
          <w:szCs w:val="20"/>
        </w:rPr>
        <w:t>B. mori</w:t>
      </w:r>
      <w:r w:rsidRPr="00D31C07">
        <w:rPr>
          <w:rFonts w:ascii="Arial" w:eastAsia="Times New Roman" w:hAnsi="Arial" w:cs="Arial"/>
          <w:sz w:val="20"/>
          <w:szCs w:val="20"/>
        </w:rPr>
        <w:t xml:space="preserve"> (Omura, 1936).</w:t>
      </w:r>
    </w:p>
    <w:p w14:paraId="68D7B4A4" w14:textId="77777777" w:rsidR="00C05120" w:rsidRPr="00D31C07" w:rsidRDefault="00D976B7" w:rsidP="00D976B7">
      <w:pPr>
        <w:spacing w:before="100" w:beforeAutospacing="1" w:after="100" w:afterAutospacing="1" w:line="240" w:lineRule="auto"/>
        <w:jc w:val="both"/>
        <w:rPr>
          <w:rFonts w:ascii="Arial" w:eastAsia="Times New Roman" w:hAnsi="Arial" w:cs="Arial"/>
          <w:sz w:val="20"/>
          <w:szCs w:val="20"/>
        </w:rPr>
      </w:pPr>
      <w:r w:rsidRPr="00D31C07">
        <w:rPr>
          <w:rFonts w:ascii="Arial" w:eastAsia="Times New Roman" w:hAnsi="Arial" w:cs="Arial"/>
          <w:sz w:val="20"/>
          <w:szCs w:val="20"/>
        </w:rPr>
        <w:t xml:space="preserve">The vas deferens extends ventrally from each testis, with notable variability in diameter wider proximally, expanded in the middle (seminal vesicle), and tapering distally. The ductus </w:t>
      </w:r>
      <w:proofErr w:type="spellStart"/>
      <w:r w:rsidRPr="00D31C07">
        <w:rPr>
          <w:rFonts w:ascii="Arial" w:eastAsia="Times New Roman" w:hAnsi="Arial" w:cs="Arial"/>
          <w:sz w:val="20"/>
          <w:szCs w:val="20"/>
        </w:rPr>
        <w:t>ejaculatorius</w:t>
      </w:r>
      <w:proofErr w:type="spellEnd"/>
      <w:r w:rsidRPr="00D31C07">
        <w:rPr>
          <w:rFonts w:ascii="Arial" w:eastAsia="Times New Roman" w:hAnsi="Arial" w:cs="Arial"/>
          <w:sz w:val="20"/>
          <w:szCs w:val="20"/>
        </w:rPr>
        <w:t xml:space="preserve"> duplex, a paired organ, shows a characteristic bend at the midpoint and acts as a sperm reservoir, ultimately merging into the ductus </w:t>
      </w:r>
      <w:proofErr w:type="spellStart"/>
      <w:r w:rsidRPr="00D31C07">
        <w:rPr>
          <w:rFonts w:ascii="Arial" w:eastAsia="Times New Roman" w:hAnsi="Arial" w:cs="Arial"/>
          <w:sz w:val="20"/>
          <w:szCs w:val="20"/>
        </w:rPr>
        <w:t>ejaculatorius</w:t>
      </w:r>
      <w:proofErr w:type="spellEnd"/>
      <w:r w:rsidRPr="00D31C07">
        <w:rPr>
          <w:rFonts w:ascii="Arial" w:eastAsia="Times New Roman" w:hAnsi="Arial" w:cs="Arial"/>
          <w:sz w:val="20"/>
          <w:szCs w:val="20"/>
        </w:rPr>
        <w:t xml:space="preserve"> simplex, which delivers semen through the sclerotized aedeagus into the female bursa copulatrix. The accessory glands are coiled tubular structures, partly translucent and partly opaque, located over the duplex and contributing to the seminal fluid. The structural dimensions of these organs were reported to vary across seasons and individuals, likely correlating with reproductive capacity.</w:t>
      </w:r>
    </w:p>
    <w:p w14:paraId="3639F1A3" w14:textId="77777777" w:rsidR="00D976B7" w:rsidRPr="00D31C07" w:rsidRDefault="00D976B7" w:rsidP="00D31C07">
      <w:pPr>
        <w:spacing w:before="100" w:beforeAutospacing="1" w:after="100" w:afterAutospacing="1" w:line="240" w:lineRule="auto"/>
        <w:outlineLvl w:val="3"/>
        <w:rPr>
          <w:rFonts w:ascii="Arial" w:eastAsia="Times New Roman" w:hAnsi="Arial" w:cs="Arial"/>
          <w:b/>
          <w:bCs/>
        </w:rPr>
      </w:pPr>
      <w:r w:rsidRPr="00D31C07">
        <w:rPr>
          <w:rFonts w:ascii="Arial" w:eastAsia="Times New Roman" w:hAnsi="Arial" w:cs="Arial"/>
          <w:b/>
          <w:bCs/>
        </w:rPr>
        <w:t>2.2 Female Reproductive System</w:t>
      </w:r>
    </w:p>
    <w:p w14:paraId="67F7CFEE" w14:textId="77777777" w:rsidR="00D976B7" w:rsidRPr="00D31C07" w:rsidRDefault="00D976B7" w:rsidP="00D976B7">
      <w:pPr>
        <w:spacing w:before="100" w:beforeAutospacing="1" w:after="100" w:afterAutospacing="1" w:line="240" w:lineRule="auto"/>
        <w:jc w:val="both"/>
        <w:rPr>
          <w:rFonts w:ascii="Arial" w:eastAsia="Times New Roman" w:hAnsi="Arial" w:cs="Arial"/>
          <w:sz w:val="20"/>
          <w:szCs w:val="20"/>
        </w:rPr>
      </w:pPr>
      <w:r w:rsidRPr="00D31C07">
        <w:rPr>
          <w:rFonts w:ascii="Arial" w:eastAsia="Times New Roman" w:hAnsi="Arial" w:cs="Arial"/>
          <w:sz w:val="20"/>
          <w:szCs w:val="20"/>
        </w:rPr>
        <w:t xml:space="preserve">The female reproductive tract, as described by Biswas </w:t>
      </w:r>
      <w:r w:rsidRPr="00D31C07">
        <w:rPr>
          <w:rFonts w:ascii="Arial" w:eastAsia="Times New Roman" w:hAnsi="Arial" w:cs="Arial"/>
          <w:i/>
          <w:sz w:val="20"/>
          <w:szCs w:val="20"/>
        </w:rPr>
        <w:t>et al.</w:t>
      </w:r>
      <w:r w:rsidRPr="00D31C07">
        <w:rPr>
          <w:rFonts w:ascii="Arial" w:eastAsia="Times New Roman" w:hAnsi="Arial" w:cs="Arial"/>
          <w:sz w:val="20"/>
          <w:szCs w:val="20"/>
        </w:rPr>
        <w:t xml:space="preserve"> (2024), consists of paired ovaries with four polytrophic </w:t>
      </w:r>
      <w:proofErr w:type="spellStart"/>
      <w:r w:rsidRPr="00D31C07">
        <w:rPr>
          <w:rFonts w:ascii="Arial" w:eastAsia="Times New Roman" w:hAnsi="Arial" w:cs="Arial"/>
          <w:sz w:val="20"/>
          <w:szCs w:val="20"/>
        </w:rPr>
        <w:t>meroistic</w:t>
      </w:r>
      <w:proofErr w:type="spellEnd"/>
      <w:r w:rsidRPr="00D31C07">
        <w:rPr>
          <w:rFonts w:ascii="Arial" w:eastAsia="Times New Roman" w:hAnsi="Arial" w:cs="Arial"/>
          <w:sz w:val="20"/>
          <w:szCs w:val="20"/>
        </w:rPr>
        <w:t xml:space="preserve"> ovarioles each, lateral and common oviducts, a bursa copulatrix, spermatheca, and dorsal colleterial glands</w:t>
      </w:r>
      <w:r w:rsidR="00D31C07">
        <w:rPr>
          <w:rFonts w:ascii="Arial" w:eastAsia="Times New Roman" w:hAnsi="Arial" w:cs="Arial"/>
          <w:sz w:val="20"/>
          <w:szCs w:val="20"/>
        </w:rPr>
        <w:t xml:space="preserve"> (Fig.3</w:t>
      </w:r>
      <w:r w:rsidR="003E1708" w:rsidRPr="00D31C07">
        <w:rPr>
          <w:rFonts w:ascii="Arial" w:eastAsia="Times New Roman" w:hAnsi="Arial" w:cs="Arial"/>
          <w:sz w:val="20"/>
          <w:szCs w:val="20"/>
        </w:rPr>
        <w:t>)</w:t>
      </w:r>
      <w:r w:rsidRPr="00D31C07">
        <w:rPr>
          <w:rFonts w:ascii="Arial" w:eastAsia="Times New Roman" w:hAnsi="Arial" w:cs="Arial"/>
          <w:sz w:val="20"/>
          <w:szCs w:val="20"/>
        </w:rPr>
        <w:t>. The tightly coiled ovarioles are bound by tracheae, allowing compact placement within the abdominal cavity. Each ovariole exhibits size variation along its length and contains immature previtellogenic oocytes at the distal end.</w:t>
      </w:r>
    </w:p>
    <w:p w14:paraId="28F0D5DF" w14:textId="77777777" w:rsidR="00C05120" w:rsidRPr="00D31C07" w:rsidRDefault="00D976B7" w:rsidP="00D976B7">
      <w:pPr>
        <w:spacing w:before="100" w:beforeAutospacing="1" w:after="100" w:afterAutospacing="1" w:line="240" w:lineRule="auto"/>
        <w:jc w:val="both"/>
        <w:rPr>
          <w:rFonts w:ascii="Arial" w:eastAsia="Times New Roman" w:hAnsi="Arial" w:cs="Arial"/>
          <w:sz w:val="20"/>
          <w:szCs w:val="20"/>
        </w:rPr>
      </w:pPr>
      <w:r w:rsidRPr="00D31C07">
        <w:rPr>
          <w:rFonts w:ascii="Arial" w:eastAsia="Times New Roman" w:hAnsi="Arial" w:cs="Arial"/>
          <w:sz w:val="20"/>
          <w:szCs w:val="20"/>
        </w:rPr>
        <w:t xml:space="preserve">The lateral oviducts fuse into a thick-walled common oviduct, which ends in a dorsal evagination (vestibulum), followed by the vagina. The bursa copulatrix is a dilated sac that receives the male </w:t>
      </w:r>
      <w:r w:rsidRPr="00D31C07">
        <w:rPr>
          <w:rFonts w:ascii="Arial" w:eastAsia="Times New Roman" w:hAnsi="Arial" w:cs="Arial"/>
          <w:sz w:val="20"/>
          <w:szCs w:val="20"/>
        </w:rPr>
        <w:lastRenderedPageBreak/>
        <w:t xml:space="preserve">spermatophore during copulation via the ductus bursae, which opens externally at the ostium bursae. The seminal duct and spermathecal duct both open into the vestibulum, which serves as the fertilization site. The spermatheca in </w:t>
      </w:r>
      <w:r w:rsidRPr="00D31C07">
        <w:rPr>
          <w:rFonts w:ascii="Arial" w:eastAsia="Times New Roman" w:hAnsi="Arial" w:cs="Arial"/>
          <w:i/>
          <w:iCs/>
          <w:sz w:val="20"/>
          <w:szCs w:val="20"/>
        </w:rPr>
        <w:t xml:space="preserve">A. </w:t>
      </w:r>
      <w:proofErr w:type="spellStart"/>
      <w:r w:rsidRPr="00D31C07">
        <w:rPr>
          <w:rFonts w:ascii="Arial" w:eastAsia="Times New Roman" w:hAnsi="Arial" w:cs="Arial"/>
          <w:i/>
          <w:iCs/>
          <w:sz w:val="20"/>
          <w:szCs w:val="20"/>
        </w:rPr>
        <w:t>assamensis</w:t>
      </w:r>
      <w:proofErr w:type="spellEnd"/>
      <w:r w:rsidRPr="00D31C07">
        <w:rPr>
          <w:rFonts w:ascii="Arial" w:eastAsia="Times New Roman" w:hAnsi="Arial" w:cs="Arial"/>
          <w:sz w:val="20"/>
          <w:szCs w:val="20"/>
        </w:rPr>
        <w:t xml:space="preserve"> is bilobed, as in </w:t>
      </w:r>
      <w:r w:rsidRPr="00D31C07">
        <w:rPr>
          <w:rFonts w:ascii="Arial" w:eastAsia="Times New Roman" w:hAnsi="Arial" w:cs="Arial"/>
          <w:i/>
          <w:iCs/>
          <w:sz w:val="20"/>
          <w:szCs w:val="20"/>
        </w:rPr>
        <w:t>B. mori</w:t>
      </w:r>
      <w:r w:rsidRPr="00D31C07">
        <w:rPr>
          <w:rFonts w:ascii="Arial" w:eastAsia="Times New Roman" w:hAnsi="Arial" w:cs="Arial"/>
          <w:sz w:val="20"/>
          <w:szCs w:val="20"/>
        </w:rPr>
        <w:t xml:space="preserve"> (Omura, 1938a), while the associated Y-shaped spermathecal gland shows only minor inter-individual variation. The colleterial glands secrete adhesive substances that facilitate egg attachment to the substrate during oviposition</w:t>
      </w:r>
      <w:r w:rsidR="003E1708" w:rsidRPr="00D31C07">
        <w:rPr>
          <w:rFonts w:ascii="Arial" w:eastAsia="Times New Roman" w:hAnsi="Arial" w:cs="Arial"/>
          <w:sz w:val="20"/>
          <w:szCs w:val="20"/>
        </w:rPr>
        <w:t xml:space="preserve"> (Table 1)</w:t>
      </w:r>
      <w:r w:rsidRPr="00D31C07">
        <w:rPr>
          <w:rFonts w:ascii="Arial" w:eastAsia="Times New Roman" w:hAnsi="Arial" w:cs="Arial"/>
          <w:sz w:val="20"/>
          <w:szCs w:val="20"/>
        </w:rPr>
        <w:t>.</w:t>
      </w:r>
    </w:p>
    <w:p w14:paraId="3A49A1E1" w14:textId="77777777" w:rsidR="005D3EF3" w:rsidRPr="004E49E6" w:rsidRDefault="005D3EF3" w:rsidP="00D976B7">
      <w:pPr>
        <w:spacing w:before="100" w:beforeAutospacing="1" w:after="100" w:afterAutospacing="1" w:line="240" w:lineRule="auto"/>
        <w:jc w:val="both"/>
        <w:rPr>
          <w:rFonts w:ascii="Times New Roman" w:eastAsia="Times New Roman" w:hAnsi="Times New Roman" w:cs="Times New Roman"/>
          <w:noProof/>
          <w:sz w:val="24"/>
          <w:szCs w:val="24"/>
        </w:rPr>
      </w:pPr>
      <w:r w:rsidRPr="004E49E6">
        <w:rPr>
          <w:rFonts w:ascii="Times New Roman" w:eastAsia="Times New Roman" w:hAnsi="Times New Roman" w:cs="Times New Roman"/>
          <w:noProof/>
          <w:sz w:val="24"/>
          <w:szCs w:val="24"/>
        </w:rPr>
        <w:t xml:space="preserve">                                  </w:t>
      </w:r>
      <w:r w:rsidRPr="004E49E6">
        <w:rPr>
          <w:rFonts w:ascii="Times New Roman" w:eastAsia="Times New Roman" w:hAnsi="Times New Roman" w:cs="Times New Roman"/>
          <w:noProof/>
          <w:sz w:val="24"/>
          <w:szCs w:val="24"/>
        </w:rPr>
        <w:drawing>
          <wp:inline distT="0" distB="0" distL="0" distR="0" wp14:anchorId="5CCA9194" wp14:editId="623FB607">
            <wp:extent cx="3067050" cy="2691167"/>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3067050" cy="2691167"/>
                    </a:xfrm>
                    <a:prstGeom prst="rect">
                      <a:avLst/>
                    </a:prstGeom>
                    <a:noFill/>
                    <a:ln w="9525">
                      <a:noFill/>
                      <a:miter lim="800000"/>
                      <a:headEnd/>
                      <a:tailEnd/>
                    </a:ln>
                  </pic:spPr>
                </pic:pic>
              </a:graphicData>
            </a:graphic>
          </wp:inline>
        </w:drawing>
      </w:r>
    </w:p>
    <w:p w14:paraId="35D414B9" w14:textId="77777777" w:rsidR="005D3EF3" w:rsidRPr="00D31C07" w:rsidRDefault="00D31C07" w:rsidP="00D976B7">
      <w:pPr>
        <w:spacing w:before="100" w:beforeAutospacing="1" w:after="100" w:afterAutospacing="1" w:line="240" w:lineRule="auto"/>
        <w:jc w:val="both"/>
        <w:rPr>
          <w:rFonts w:ascii="Arial" w:hAnsi="Arial" w:cs="Arial"/>
          <w:b/>
          <w:sz w:val="20"/>
          <w:szCs w:val="20"/>
        </w:rPr>
      </w:pPr>
      <w:r w:rsidRPr="00D31C07">
        <w:rPr>
          <w:rFonts w:ascii="Arial" w:eastAsia="Times New Roman" w:hAnsi="Arial" w:cs="Arial"/>
          <w:b/>
          <w:noProof/>
          <w:sz w:val="20"/>
          <w:szCs w:val="20"/>
        </w:rPr>
        <w:t>Fig. 3</w:t>
      </w:r>
      <w:r w:rsidR="005D3EF3" w:rsidRPr="00D31C07">
        <w:rPr>
          <w:rFonts w:ascii="Arial" w:eastAsia="Times New Roman" w:hAnsi="Arial" w:cs="Arial"/>
          <w:b/>
          <w:noProof/>
          <w:sz w:val="20"/>
          <w:szCs w:val="20"/>
        </w:rPr>
        <w:t>. Reproductive systems of</w:t>
      </w:r>
      <w:r w:rsidR="005D3EF3" w:rsidRPr="00D31C07">
        <w:rPr>
          <w:rFonts w:ascii="Arial" w:hAnsi="Arial" w:cs="Arial"/>
          <w:b/>
          <w:sz w:val="20"/>
          <w:szCs w:val="20"/>
        </w:rPr>
        <w:t xml:space="preserve"> </w:t>
      </w:r>
      <w:r w:rsidR="005D3EF3" w:rsidRPr="00D31C07">
        <w:rPr>
          <w:rFonts w:ascii="Arial" w:hAnsi="Arial" w:cs="Arial"/>
          <w:b/>
          <w:i/>
          <w:sz w:val="20"/>
          <w:szCs w:val="20"/>
        </w:rPr>
        <w:t xml:space="preserve">A. </w:t>
      </w:r>
      <w:proofErr w:type="spellStart"/>
      <w:r w:rsidR="005D3EF3" w:rsidRPr="00D31C07">
        <w:rPr>
          <w:rFonts w:ascii="Arial" w:hAnsi="Arial" w:cs="Arial"/>
          <w:b/>
          <w:i/>
          <w:sz w:val="20"/>
          <w:szCs w:val="20"/>
        </w:rPr>
        <w:t>assamensis</w:t>
      </w:r>
      <w:proofErr w:type="spellEnd"/>
      <w:r w:rsidR="005D3EF3" w:rsidRPr="00D31C07">
        <w:rPr>
          <w:rFonts w:ascii="Arial" w:hAnsi="Arial" w:cs="Arial"/>
          <w:b/>
          <w:sz w:val="20"/>
          <w:szCs w:val="20"/>
        </w:rPr>
        <w:t xml:space="preserve">. (A) Parts of the male reproductive system of A. </w:t>
      </w:r>
      <w:proofErr w:type="spellStart"/>
      <w:r w:rsidR="005D3EF3" w:rsidRPr="00D31C07">
        <w:rPr>
          <w:rFonts w:ascii="Arial" w:hAnsi="Arial" w:cs="Arial"/>
          <w:b/>
          <w:i/>
          <w:sz w:val="20"/>
          <w:szCs w:val="20"/>
        </w:rPr>
        <w:t>assamensis</w:t>
      </w:r>
      <w:proofErr w:type="spellEnd"/>
      <w:r w:rsidR="005D3EF3" w:rsidRPr="00D31C07">
        <w:rPr>
          <w:rFonts w:ascii="Arial" w:hAnsi="Arial" w:cs="Arial"/>
          <w:b/>
          <w:sz w:val="20"/>
          <w:szCs w:val="20"/>
        </w:rPr>
        <w:t xml:space="preserve">. (B) Female reproductive system of </w:t>
      </w:r>
      <w:proofErr w:type="spellStart"/>
      <w:r w:rsidR="005D3EF3" w:rsidRPr="00D31C07">
        <w:rPr>
          <w:rFonts w:ascii="Arial" w:hAnsi="Arial" w:cs="Arial"/>
          <w:b/>
          <w:sz w:val="20"/>
          <w:szCs w:val="20"/>
        </w:rPr>
        <w:t>Muga</w:t>
      </w:r>
      <w:proofErr w:type="spellEnd"/>
      <w:r w:rsidR="005D3EF3" w:rsidRPr="00D31C07">
        <w:rPr>
          <w:rFonts w:ascii="Arial" w:hAnsi="Arial" w:cs="Arial"/>
          <w:b/>
          <w:sz w:val="20"/>
          <w:szCs w:val="20"/>
        </w:rPr>
        <w:t xml:space="preserve"> </w:t>
      </w:r>
      <w:proofErr w:type="spellStart"/>
      <w:r w:rsidR="005D3EF3" w:rsidRPr="00D31C07">
        <w:rPr>
          <w:rFonts w:ascii="Arial" w:hAnsi="Arial" w:cs="Arial"/>
          <w:b/>
          <w:sz w:val="20"/>
          <w:szCs w:val="20"/>
        </w:rPr>
        <w:t>silkmoth</w:t>
      </w:r>
      <w:proofErr w:type="spellEnd"/>
      <w:r w:rsidR="005D3EF3" w:rsidRPr="00D31C07">
        <w:rPr>
          <w:rFonts w:ascii="Arial" w:hAnsi="Arial" w:cs="Arial"/>
          <w:b/>
          <w:sz w:val="20"/>
          <w:szCs w:val="20"/>
        </w:rPr>
        <w:t xml:space="preserve"> </w:t>
      </w:r>
      <w:r w:rsidR="005D3EF3" w:rsidRPr="00D31C07">
        <w:rPr>
          <w:rFonts w:ascii="Arial" w:hAnsi="Arial" w:cs="Arial"/>
          <w:b/>
          <w:i/>
          <w:sz w:val="20"/>
          <w:szCs w:val="20"/>
        </w:rPr>
        <w:t xml:space="preserve">A. </w:t>
      </w:r>
      <w:proofErr w:type="spellStart"/>
      <w:r w:rsidR="005D3EF3" w:rsidRPr="00D31C07">
        <w:rPr>
          <w:rFonts w:ascii="Arial" w:hAnsi="Arial" w:cs="Arial"/>
          <w:b/>
          <w:i/>
          <w:sz w:val="20"/>
          <w:szCs w:val="20"/>
        </w:rPr>
        <w:t>assamensis</w:t>
      </w:r>
      <w:proofErr w:type="spellEnd"/>
      <w:r w:rsidR="005D3EF3" w:rsidRPr="00D31C07">
        <w:rPr>
          <w:rFonts w:ascii="Arial" w:hAnsi="Arial" w:cs="Arial"/>
          <w:b/>
          <w:i/>
          <w:sz w:val="20"/>
          <w:szCs w:val="20"/>
        </w:rPr>
        <w:t xml:space="preserve">. </w:t>
      </w:r>
      <w:r w:rsidR="005D3EF3" w:rsidRPr="00D31C07">
        <w:rPr>
          <w:rFonts w:ascii="Arial" w:hAnsi="Arial" w:cs="Arial"/>
          <w:b/>
          <w:sz w:val="20"/>
          <w:szCs w:val="20"/>
        </w:rPr>
        <w:t xml:space="preserve">(C) </w:t>
      </w:r>
      <w:proofErr w:type="spellStart"/>
      <w:r w:rsidR="005D3EF3" w:rsidRPr="00D31C07">
        <w:rPr>
          <w:rFonts w:ascii="Arial" w:hAnsi="Arial" w:cs="Arial"/>
          <w:b/>
          <w:sz w:val="20"/>
          <w:szCs w:val="20"/>
        </w:rPr>
        <w:t>Epyrene</w:t>
      </w:r>
      <w:proofErr w:type="spellEnd"/>
      <w:r w:rsidR="005D3EF3" w:rsidRPr="00D31C07">
        <w:rPr>
          <w:rFonts w:ascii="Arial" w:hAnsi="Arial" w:cs="Arial"/>
          <w:b/>
          <w:sz w:val="20"/>
          <w:szCs w:val="20"/>
        </w:rPr>
        <w:t xml:space="preserve"> spe</w:t>
      </w:r>
      <w:r w:rsidR="00461123" w:rsidRPr="00D31C07">
        <w:rPr>
          <w:rFonts w:ascii="Arial" w:hAnsi="Arial" w:cs="Arial"/>
          <w:b/>
          <w:sz w:val="20"/>
          <w:szCs w:val="20"/>
        </w:rPr>
        <w:t xml:space="preserve">rm bundles inside testes. (D) </w:t>
      </w:r>
      <w:proofErr w:type="spellStart"/>
      <w:r w:rsidR="00461123" w:rsidRPr="00D31C07">
        <w:rPr>
          <w:rFonts w:ascii="Arial" w:hAnsi="Arial" w:cs="Arial"/>
          <w:b/>
          <w:sz w:val="20"/>
          <w:szCs w:val="20"/>
        </w:rPr>
        <w:t>A</w:t>
      </w:r>
      <w:r w:rsidR="005D3EF3" w:rsidRPr="00D31C07">
        <w:rPr>
          <w:rFonts w:ascii="Arial" w:hAnsi="Arial" w:cs="Arial"/>
          <w:b/>
          <w:sz w:val="20"/>
          <w:szCs w:val="20"/>
        </w:rPr>
        <w:t>pyrene</w:t>
      </w:r>
      <w:proofErr w:type="spellEnd"/>
      <w:r w:rsidR="005D3EF3" w:rsidRPr="00D31C07">
        <w:rPr>
          <w:rFonts w:ascii="Arial" w:hAnsi="Arial" w:cs="Arial"/>
          <w:b/>
          <w:sz w:val="20"/>
          <w:szCs w:val="20"/>
        </w:rPr>
        <w:t xml:space="preserve"> sperm bundle</w:t>
      </w:r>
    </w:p>
    <w:p w14:paraId="242BCAD6" w14:textId="77777777" w:rsidR="005D3EF3" w:rsidRPr="00D31C07" w:rsidRDefault="005D3EF3" w:rsidP="00D976B7">
      <w:pPr>
        <w:spacing w:before="100" w:beforeAutospacing="1" w:after="100" w:afterAutospacing="1" w:line="240" w:lineRule="auto"/>
        <w:jc w:val="both"/>
        <w:rPr>
          <w:rFonts w:ascii="Arial" w:eastAsia="Times New Roman" w:hAnsi="Arial" w:cs="Arial"/>
          <w:sz w:val="20"/>
          <w:szCs w:val="24"/>
        </w:rPr>
      </w:pPr>
      <w:r w:rsidRPr="00D31C07">
        <w:rPr>
          <w:rFonts w:ascii="Arial" w:hAnsi="Arial" w:cs="Arial"/>
          <w:sz w:val="20"/>
          <w:szCs w:val="24"/>
        </w:rPr>
        <w:t xml:space="preserve">Source: </w:t>
      </w:r>
      <w:r w:rsidRPr="00D31C07">
        <w:rPr>
          <w:rFonts w:ascii="Arial" w:eastAsia="Times New Roman" w:hAnsi="Arial" w:cs="Arial"/>
          <w:sz w:val="20"/>
          <w:szCs w:val="24"/>
        </w:rPr>
        <w:t xml:space="preserve">Biswas </w:t>
      </w:r>
      <w:r w:rsidRPr="00D31C07">
        <w:rPr>
          <w:rFonts w:ascii="Arial" w:eastAsia="Times New Roman" w:hAnsi="Arial" w:cs="Arial"/>
          <w:i/>
          <w:sz w:val="20"/>
          <w:szCs w:val="24"/>
        </w:rPr>
        <w:t>et al.</w:t>
      </w:r>
      <w:r w:rsidRPr="00D31C07">
        <w:rPr>
          <w:rFonts w:ascii="Arial" w:eastAsia="Times New Roman" w:hAnsi="Arial" w:cs="Arial"/>
          <w:sz w:val="20"/>
          <w:szCs w:val="24"/>
        </w:rPr>
        <w:t xml:space="preserve"> (2024)</w:t>
      </w:r>
    </w:p>
    <w:p w14:paraId="3F112E1D" w14:textId="77777777" w:rsidR="003E1708" w:rsidRPr="00BF2A14" w:rsidRDefault="003E1708" w:rsidP="00D976B7">
      <w:pPr>
        <w:spacing w:before="100" w:beforeAutospacing="1" w:after="100" w:afterAutospacing="1" w:line="240" w:lineRule="auto"/>
        <w:jc w:val="both"/>
        <w:rPr>
          <w:rFonts w:ascii="Arial" w:eastAsia="Times New Roman" w:hAnsi="Arial" w:cs="Arial"/>
          <w:b/>
          <w:szCs w:val="24"/>
        </w:rPr>
      </w:pPr>
      <w:r w:rsidRPr="00BF2A14">
        <w:rPr>
          <w:rFonts w:ascii="Arial" w:hAnsi="Arial" w:cs="Arial"/>
          <w:b/>
          <w:sz w:val="20"/>
        </w:rPr>
        <w:t xml:space="preserve">Table 1. Measurements of male and female reproductive system of </w:t>
      </w:r>
      <w:r w:rsidRPr="00BF2A14">
        <w:rPr>
          <w:rStyle w:val="Emphasis"/>
          <w:rFonts w:ascii="Arial" w:hAnsi="Arial" w:cs="Arial"/>
          <w:b/>
          <w:sz w:val="20"/>
        </w:rPr>
        <w:t xml:space="preserve">A. </w:t>
      </w:r>
      <w:proofErr w:type="spellStart"/>
      <w:r w:rsidRPr="00BF2A14">
        <w:rPr>
          <w:rStyle w:val="Emphasis"/>
          <w:rFonts w:ascii="Arial" w:hAnsi="Arial" w:cs="Arial"/>
          <w:b/>
          <w:sz w:val="20"/>
        </w:rPr>
        <w:t>assamensis</w:t>
      </w:r>
      <w:proofErr w:type="spellEnd"/>
    </w:p>
    <w:tbl>
      <w:tblPr>
        <w:tblStyle w:val="TableGrid"/>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2028"/>
        <w:gridCol w:w="1708"/>
        <w:gridCol w:w="1460"/>
        <w:gridCol w:w="1460"/>
        <w:gridCol w:w="1460"/>
        <w:gridCol w:w="1460"/>
      </w:tblGrid>
      <w:tr w:rsidR="00854DF5" w:rsidRPr="00BF2A14" w14:paraId="3DDA7DA1" w14:textId="77777777" w:rsidTr="00BF2A14">
        <w:trPr>
          <w:trHeight w:val="413"/>
        </w:trPr>
        <w:tc>
          <w:tcPr>
            <w:tcW w:w="0" w:type="auto"/>
            <w:vMerge w:val="restart"/>
            <w:tcBorders>
              <w:top w:val="single" w:sz="4" w:space="0" w:color="auto"/>
              <w:bottom w:val="single" w:sz="4" w:space="0" w:color="auto"/>
            </w:tcBorders>
            <w:hideMark/>
          </w:tcPr>
          <w:p w14:paraId="1122D51F" w14:textId="77777777" w:rsidR="00854DF5" w:rsidRPr="00BF2A14" w:rsidRDefault="00854DF5" w:rsidP="00BF2A14">
            <w:pPr>
              <w:spacing w:line="480" w:lineRule="auto"/>
              <w:jc w:val="center"/>
              <w:rPr>
                <w:rFonts w:ascii="Arial" w:eastAsia="Times New Roman" w:hAnsi="Arial" w:cs="Arial"/>
                <w:b/>
                <w:bCs/>
                <w:sz w:val="20"/>
                <w:szCs w:val="20"/>
              </w:rPr>
            </w:pPr>
            <w:r w:rsidRPr="00BF2A14">
              <w:rPr>
                <w:rFonts w:ascii="Arial" w:eastAsia="Times New Roman" w:hAnsi="Arial" w:cs="Arial"/>
                <w:b/>
                <w:bCs/>
                <w:sz w:val="20"/>
                <w:szCs w:val="20"/>
              </w:rPr>
              <w:t>Parts</w:t>
            </w:r>
          </w:p>
        </w:tc>
        <w:tc>
          <w:tcPr>
            <w:tcW w:w="0" w:type="auto"/>
            <w:vMerge w:val="restart"/>
            <w:tcBorders>
              <w:top w:val="single" w:sz="4" w:space="0" w:color="auto"/>
              <w:bottom w:val="single" w:sz="4" w:space="0" w:color="auto"/>
            </w:tcBorders>
            <w:hideMark/>
          </w:tcPr>
          <w:p w14:paraId="0056BDCA" w14:textId="77777777" w:rsidR="00854DF5" w:rsidRPr="00BF2A14" w:rsidRDefault="00854DF5" w:rsidP="00BF2A14">
            <w:pPr>
              <w:spacing w:line="480" w:lineRule="auto"/>
              <w:jc w:val="center"/>
              <w:rPr>
                <w:rFonts w:ascii="Arial" w:eastAsia="Times New Roman" w:hAnsi="Arial" w:cs="Arial"/>
                <w:b/>
                <w:bCs/>
                <w:sz w:val="20"/>
                <w:szCs w:val="20"/>
              </w:rPr>
            </w:pPr>
            <w:r w:rsidRPr="00BF2A14">
              <w:rPr>
                <w:rFonts w:ascii="Arial" w:eastAsia="Times New Roman" w:hAnsi="Arial" w:cs="Arial"/>
                <w:b/>
                <w:bCs/>
                <w:sz w:val="20"/>
                <w:szCs w:val="20"/>
              </w:rPr>
              <w:t>Measurements (mm)</w:t>
            </w:r>
          </w:p>
        </w:tc>
        <w:tc>
          <w:tcPr>
            <w:tcW w:w="0" w:type="auto"/>
            <w:gridSpan w:val="4"/>
            <w:tcBorders>
              <w:top w:val="single" w:sz="4" w:space="0" w:color="auto"/>
              <w:bottom w:val="single" w:sz="4" w:space="0" w:color="auto"/>
            </w:tcBorders>
            <w:hideMark/>
          </w:tcPr>
          <w:p w14:paraId="1ABB925A" w14:textId="77777777" w:rsidR="00854DF5" w:rsidRPr="00BF2A14" w:rsidRDefault="00854DF5" w:rsidP="00BF2A14">
            <w:pPr>
              <w:spacing w:line="480" w:lineRule="auto"/>
              <w:jc w:val="center"/>
              <w:rPr>
                <w:rFonts w:ascii="Arial" w:eastAsia="Times New Roman" w:hAnsi="Arial" w:cs="Arial"/>
                <w:b/>
                <w:bCs/>
                <w:sz w:val="20"/>
                <w:szCs w:val="20"/>
              </w:rPr>
            </w:pPr>
            <w:r w:rsidRPr="00BF2A14">
              <w:rPr>
                <w:rFonts w:ascii="Arial" w:eastAsia="Times New Roman" w:hAnsi="Arial" w:cs="Arial"/>
                <w:b/>
                <w:bCs/>
                <w:sz w:val="20"/>
                <w:szCs w:val="20"/>
              </w:rPr>
              <w:t>Season</w:t>
            </w:r>
          </w:p>
          <w:p w14:paraId="28EA415E" w14:textId="77777777" w:rsidR="00854DF5" w:rsidRPr="00BF2A14" w:rsidRDefault="00854DF5" w:rsidP="00BF2A14">
            <w:pPr>
              <w:spacing w:line="480" w:lineRule="auto"/>
              <w:jc w:val="center"/>
              <w:rPr>
                <w:rFonts w:ascii="Arial" w:eastAsia="Times New Roman" w:hAnsi="Arial" w:cs="Arial"/>
                <w:b/>
                <w:bCs/>
                <w:sz w:val="20"/>
                <w:szCs w:val="20"/>
              </w:rPr>
            </w:pPr>
          </w:p>
        </w:tc>
      </w:tr>
      <w:tr w:rsidR="00854DF5" w:rsidRPr="00BF2A14" w14:paraId="3AD6862C" w14:textId="77777777" w:rsidTr="00BF2A14">
        <w:trPr>
          <w:trHeight w:val="404"/>
        </w:trPr>
        <w:tc>
          <w:tcPr>
            <w:tcW w:w="0" w:type="auto"/>
            <w:vMerge/>
            <w:tcBorders>
              <w:top w:val="single" w:sz="4" w:space="0" w:color="auto"/>
              <w:bottom w:val="single" w:sz="4" w:space="0" w:color="auto"/>
            </w:tcBorders>
            <w:hideMark/>
          </w:tcPr>
          <w:p w14:paraId="02125219" w14:textId="77777777" w:rsidR="00854DF5" w:rsidRPr="00BF2A14" w:rsidRDefault="00854DF5" w:rsidP="00BF2A14">
            <w:pPr>
              <w:spacing w:line="480" w:lineRule="auto"/>
              <w:jc w:val="center"/>
              <w:rPr>
                <w:rFonts w:ascii="Arial" w:eastAsia="Times New Roman" w:hAnsi="Arial" w:cs="Arial"/>
                <w:b/>
                <w:bCs/>
                <w:sz w:val="20"/>
                <w:szCs w:val="20"/>
              </w:rPr>
            </w:pPr>
          </w:p>
        </w:tc>
        <w:tc>
          <w:tcPr>
            <w:tcW w:w="0" w:type="auto"/>
            <w:vMerge/>
            <w:tcBorders>
              <w:top w:val="single" w:sz="4" w:space="0" w:color="auto"/>
              <w:bottom w:val="single" w:sz="4" w:space="0" w:color="auto"/>
            </w:tcBorders>
            <w:hideMark/>
          </w:tcPr>
          <w:p w14:paraId="13E43CEF" w14:textId="77777777" w:rsidR="00854DF5" w:rsidRPr="00BF2A14" w:rsidRDefault="00854DF5" w:rsidP="00BF2A14">
            <w:pPr>
              <w:spacing w:line="480" w:lineRule="auto"/>
              <w:jc w:val="center"/>
              <w:rPr>
                <w:rFonts w:ascii="Arial" w:eastAsia="Times New Roman" w:hAnsi="Arial" w:cs="Arial"/>
                <w:b/>
                <w:bCs/>
                <w:sz w:val="20"/>
                <w:szCs w:val="20"/>
              </w:rPr>
            </w:pPr>
          </w:p>
        </w:tc>
        <w:tc>
          <w:tcPr>
            <w:tcW w:w="0" w:type="auto"/>
            <w:tcBorders>
              <w:top w:val="single" w:sz="4" w:space="0" w:color="auto"/>
              <w:bottom w:val="single" w:sz="4" w:space="0" w:color="auto"/>
            </w:tcBorders>
            <w:hideMark/>
          </w:tcPr>
          <w:p w14:paraId="36026AFA" w14:textId="77777777" w:rsidR="00854DF5" w:rsidRPr="00BF2A14" w:rsidRDefault="00854DF5" w:rsidP="00BF2A14">
            <w:pPr>
              <w:spacing w:line="480" w:lineRule="auto"/>
              <w:jc w:val="center"/>
              <w:rPr>
                <w:rFonts w:ascii="Arial" w:eastAsia="Times New Roman" w:hAnsi="Arial" w:cs="Arial"/>
                <w:b/>
                <w:bCs/>
                <w:sz w:val="20"/>
                <w:szCs w:val="20"/>
              </w:rPr>
            </w:pPr>
            <w:r w:rsidRPr="00BF2A14">
              <w:rPr>
                <w:rFonts w:ascii="Arial" w:eastAsia="Times New Roman" w:hAnsi="Arial" w:cs="Arial"/>
                <w:b/>
                <w:bCs/>
                <w:sz w:val="20"/>
                <w:szCs w:val="20"/>
              </w:rPr>
              <w:t>Summer</w:t>
            </w:r>
          </w:p>
        </w:tc>
        <w:tc>
          <w:tcPr>
            <w:tcW w:w="0" w:type="auto"/>
            <w:tcBorders>
              <w:top w:val="single" w:sz="4" w:space="0" w:color="auto"/>
              <w:bottom w:val="single" w:sz="4" w:space="0" w:color="auto"/>
            </w:tcBorders>
            <w:hideMark/>
          </w:tcPr>
          <w:p w14:paraId="15CED49C" w14:textId="77777777" w:rsidR="00854DF5" w:rsidRPr="00BF2A14" w:rsidRDefault="00854DF5" w:rsidP="00BF2A14">
            <w:pPr>
              <w:spacing w:line="480" w:lineRule="auto"/>
              <w:jc w:val="center"/>
              <w:rPr>
                <w:rFonts w:ascii="Arial" w:eastAsia="Times New Roman" w:hAnsi="Arial" w:cs="Arial"/>
                <w:b/>
                <w:bCs/>
                <w:sz w:val="20"/>
                <w:szCs w:val="20"/>
              </w:rPr>
            </w:pPr>
            <w:r w:rsidRPr="00BF2A14">
              <w:rPr>
                <w:rFonts w:ascii="Arial" w:eastAsia="Times New Roman" w:hAnsi="Arial" w:cs="Arial"/>
                <w:b/>
                <w:bCs/>
                <w:sz w:val="20"/>
                <w:szCs w:val="20"/>
              </w:rPr>
              <w:t>Autumn</w:t>
            </w:r>
          </w:p>
        </w:tc>
        <w:tc>
          <w:tcPr>
            <w:tcW w:w="0" w:type="auto"/>
            <w:tcBorders>
              <w:top w:val="single" w:sz="4" w:space="0" w:color="auto"/>
              <w:bottom w:val="single" w:sz="4" w:space="0" w:color="auto"/>
            </w:tcBorders>
            <w:hideMark/>
          </w:tcPr>
          <w:p w14:paraId="3ABF2BB4" w14:textId="77777777" w:rsidR="00854DF5" w:rsidRPr="00BF2A14" w:rsidRDefault="00854DF5" w:rsidP="00BF2A14">
            <w:pPr>
              <w:spacing w:line="480" w:lineRule="auto"/>
              <w:jc w:val="center"/>
              <w:rPr>
                <w:rFonts w:ascii="Arial" w:eastAsia="Times New Roman" w:hAnsi="Arial" w:cs="Arial"/>
                <w:b/>
                <w:bCs/>
                <w:sz w:val="20"/>
                <w:szCs w:val="20"/>
              </w:rPr>
            </w:pPr>
            <w:r w:rsidRPr="00BF2A14">
              <w:rPr>
                <w:rFonts w:ascii="Arial" w:eastAsia="Times New Roman" w:hAnsi="Arial" w:cs="Arial"/>
                <w:b/>
                <w:bCs/>
                <w:sz w:val="20"/>
                <w:szCs w:val="20"/>
              </w:rPr>
              <w:t>Winter</w:t>
            </w:r>
          </w:p>
        </w:tc>
        <w:tc>
          <w:tcPr>
            <w:tcW w:w="0" w:type="auto"/>
            <w:tcBorders>
              <w:top w:val="single" w:sz="4" w:space="0" w:color="auto"/>
              <w:bottom w:val="single" w:sz="4" w:space="0" w:color="auto"/>
            </w:tcBorders>
            <w:hideMark/>
          </w:tcPr>
          <w:p w14:paraId="52FC79B9" w14:textId="77777777" w:rsidR="00854DF5" w:rsidRPr="00BF2A14" w:rsidRDefault="00854DF5" w:rsidP="00BF2A14">
            <w:pPr>
              <w:spacing w:line="480" w:lineRule="auto"/>
              <w:jc w:val="center"/>
              <w:rPr>
                <w:rFonts w:ascii="Arial" w:eastAsia="Times New Roman" w:hAnsi="Arial" w:cs="Arial"/>
                <w:b/>
                <w:bCs/>
                <w:sz w:val="20"/>
                <w:szCs w:val="20"/>
              </w:rPr>
            </w:pPr>
            <w:r w:rsidRPr="00BF2A14">
              <w:rPr>
                <w:rFonts w:ascii="Arial" w:eastAsia="Times New Roman" w:hAnsi="Arial" w:cs="Arial"/>
                <w:b/>
                <w:bCs/>
                <w:sz w:val="20"/>
                <w:szCs w:val="20"/>
              </w:rPr>
              <w:t>Spring</w:t>
            </w:r>
          </w:p>
        </w:tc>
      </w:tr>
      <w:tr w:rsidR="00854DF5" w:rsidRPr="00BF2A14" w14:paraId="62C9E307" w14:textId="77777777" w:rsidTr="00BF2A14">
        <w:tc>
          <w:tcPr>
            <w:tcW w:w="0" w:type="auto"/>
            <w:gridSpan w:val="6"/>
            <w:tcBorders>
              <w:top w:val="single" w:sz="4" w:space="0" w:color="auto"/>
              <w:bottom w:val="single" w:sz="4" w:space="0" w:color="auto"/>
            </w:tcBorders>
            <w:hideMark/>
          </w:tcPr>
          <w:p w14:paraId="52E62943" w14:textId="77777777" w:rsidR="00854DF5" w:rsidRPr="00BF2A14" w:rsidRDefault="00854DF5" w:rsidP="00BF2A14">
            <w:pPr>
              <w:spacing w:line="480" w:lineRule="auto"/>
              <w:rPr>
                <w:rFonts w:ascii="Arial" w:eastAsia="Times New Roman" w:hAnsi="Arial" w:cs="Arial"/>
                <w:b/>
                <w:sz w:val="20"/>
                <w:szCs w:val="20"/>
              </w:rPr>
            </w:pPr>
            <w:r w:rsidRPr="00BF2A14">
              <w:rPr>
                <w:rFonts w:ascii="Arial" w:eastAsia="Times New Roman" w:hAnsi="Arial" w:cs="Arial"/>
                <w:b/>
                <w:sz w:val="20"/>
                <w:szCs w:val="20"/>
              </w:rPr>
              <w:t>Male reproductive system</w:t>
            </w:r>
          </w:p>
        </w:tc>
      </w:tr>
      <w:tr w:rsidR="00854DF5" w:rsidRPr="00BF2A14" w14:paraId="6746A954" w14:textId="77777777" w:rsidTr="00BF2A14">
        <w:tc>
          <w:tcPr>
            <w:tcW w:w="0" w:type="auto"/>
            <w:vMerge w:val="restart"/>
            <w:tcBorders>
              <w:top w:val="single" w:sz="4" w:space="0" w:color="auto"/>
              <w:bottom w:val="nil"/>
            </w:tcBorders>
            <w:hideMark/>
          </w:tcPr>
          <w:p w14:paraId="76176EC3"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Testis</w:t>
            </w:r>
          </w:p>
        </w:tc>
        <w:tc>
          <w:tcPr>
            <w:tcW w:w="0" w:type="auto"/>
            <w:tcBorders>
              <w:top w:val="single" w:sz="4" w:space="0" w:color="auto"/>
              <w:bottom w:val="nil"/>
            </w:tcBorders>
            <w:hideMark/>
          </w:tcPr>
          <w:p w14:paraId="7C012C44"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tcBorders>
              <w:top w:val="single" w:sz="4" w:space="0" w:color="auto"/>
              <w:bottom w:val="nil"/>
            </w:tcBorders>
            <w:hideMark/>
          </w:tcPr>
          <w:p w14:paraId="540C2F9A"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2.23 </w:t>
            </w:r>
          </w:p>
        </w:tc>
        <w:tc>
          <w:tcPr>
            <w:tcW w:w="0" w:type="auto"/>
            <w:tcBorders>
              <w:top w:val="single" w:sz="4" w:space="0" w:color="auto"/>
              <w:bottom w:val="nil"/>
            </w:tcBorders>
            <w:hideMark/>
          </w:tcPr>
          <w:p w14:paraId="728B0D5F"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2.20 </w:t>
            </w:r>
          </w:p>
        </w:tc>
        <w:tc>
          <w:tcPr>
            <w:tcW w:w="0" w:type="auto"/>
            <w:tcBorders>
              <w:top w:val="single" w:sz="4" w:space="0" w:color="auto"/>
              <w:bottom w:val="nil"/>
            </w:tcBorders>
            <w:hideMark/>
          </w:tcPr>
          <w:p w14:paraId="5B8CDAF7"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2.00 </w:t>
            </w:r>
          </w:p>
        </w:tc>
        <w:tc>
          <w:tcPr>
            <w:tcW w:w="0" w:type="auto"/>
            <w:tcBorders>
              <w:top w:val="single" w:sz="4" w:space="0" w:color="auto"/>
              <w:bottom w:val="nil"/>
            </w:tcBorders>
            <w:hideMark/>
          </w:tcPr>
          <w:p w14:paraId="45B90D79"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2.20 </w:t>
            </w:r>
          </w:p>
        </w:tc>
      </w:tr>
      <w:tr w:rsidR="00854DF5" w:rsidRPr="00BF2A14" w14:paraId="5A299CE7" w14:textId="77777777" w:rsidTr="00BF2A14">
        <w:tc>
          <w:tcPr>
            <w:tcW w:w="0" w:type="auto"/>
            <w:vMerge/>
            <w:tcBorders>
              <w:top w:val="nil"/>
            </w:tcBorders>
            <w:hideMark/>
          </w:tcPr>
          <w:p w14:paraId="1CDAFB92" w14:textId="77777777" w:rsidR="00854DF5" w:rsidRPr="00BF2A14" w:rsidRDefault="00854DF5" w:rsidP="00BF2A14">
            <w:pPr>
              <w:spacing w:line="480" w:lineRule="auto"/>
              <w:rPr>
                <w:rFonts w:ascii="Arial" w:eastAsia="Times New Roman" w:hAnsi="Arial" w:cs="Arial"/>
                <w:sz w:val="20"/>
                <w:szCs w:val="20"/>
              </w:rPr>
            </w:pPr>
          </w:p>
        </w:tc>
        <w:tc>
          <w:tcPr>
            <w:tcW w:w="0" w:type="auto"/>
            <w:tcBorders>
              <w:top w:val="nil"/>
            </w:tcBorders>
            <w:hideMark/>
          </w:tcPr>
          <w:p w14:paraId="17F1D3C7"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tcBorders>
              <w:top w:val="nil"/>
            </w:tcBorders>
            <w:hideMark/>
          </w:tcPr>
          <w:p w14:paraId="33563490"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2.00 </w:t>
            </w:r>
          </w:p>
        </w:tc>
        <w:tc>
          <w:tcPr>
            <w:tcW w:w="0" w:type="auto"/>
            <w:tcBorders>
              <w:top w:val="nil"/>
            </w:tcBorders>
            <w:hideMark/>
          </w:tcPr>
          <w:p w14:paraId="0D2B45CB"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2.03 </w:t>
            </w:r>
          </w:p>
        </w:tc>
        <w:tc>
          <w:tcPr>
            <w:tcW w:w="0" w:type="auto"/>
            <w:tcBorders>
              <w:top w:val="nil"/>
            </w:tcBorders>
            <w:hideMark/>
          </w:tcPr>
          <w:p w14:paraId="5021292E"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1.80 </w:t>
            </w:r>
          </w:p>
        </w:tc>
        <w:tc>
          <w:tcPr>
            <w:tcW w:w="0" w:type="auto"/>
            <w:tcBorders>
              <w:top w:val="nil"/>
            </w:tcBorders>
            <w:hideMark/>
          </w:tcPr>
          <w:p w14:paraId="2335988A"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1.93 </w:t>
            </w:r>
          </w:p>
        </w:tc>
      </w:tr>
      <w:tr w:rsidR="00854DF5" w:rsidRPr="00BF2A14" w14:paraId="4672A3D2" w14:textId="77777777" w:rsidTr="00BF2A14">
        <w:tc>
          <w:tcPr>
            <w:tcW w:w="0" w:type="auto"/>
            <w:vMerge w:val="restart"/>
            <w:hideMark/>
          </w:tcPr>
          <w:p w14:paraId="097541A8"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Vas deferens (VD)</w:t>
            </w:r>
          </w:p>
        </w:tc>
        <w:tc>
          <w:tcPr>
            <w:tcW w:w="0" w:type="auto"/>
            <w:hideMark/>
          </w:tcPr>
          <w:p w14:paraId="7264878B"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14:paraId="15B0E492"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15.17 </w:t>
            </w:r>
          </w:p>
        </w:tc>
        <w:tc>
          <w:tcPr>
            <w:tcW w:w="0" w:type="auto"/>
            <w:hideMark/>
          </w:tcPr>
          <w:p w14:paraId="3E3D7F4B"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14.17 </w:t>
            </w:r>
          </w:p>
        </w:tc>
        <w:tc>
          <w:tcPr>
            <w:tcW w:w="0" w:type="auto"/>
            <w:hideMark/>
          </w:tcPr>
          <w:p w14:paraId="58493A4F"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13.23 </w:t>
            </w:r>
          </w:p>
        </w:tc>
        <w:tc>
          <w:tcPr>
            <w:tcW w:w="0" w:type="auto"/>
            <w:hideMark/>
          </w:tcPr>
          <w:p w14:paraId="0C4ECF48"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13.00 </w:t>
            </w:r>
          </w:p>
        </w:tc>
      </w:tr>
      <w:tr w:rsidR="00854DF5" w:rsidRPr="00BF2A14" w14:paraId="256506B8" w14:textId="77777777" w:rsidTr="00BF2A14">
        <w:tc>
          <w:tcPr>
            <w:tcW w:w="0" w:type="auto"/>
            <w:vMerge/>
            <w:hideMark/>
          </w:tcPr>
          <w:p w14:paraId="37037EA4" w14:textId="77777777" w:rsidR="00854DF5" w:rsidRPr="00BF2A14" w:rsidRDefault="00854DF5" w:rsidP="00BF2A14">
            <w:pPr>
              <w:spacing w:line="480" w:lineRule="auto"/>
              <w:rPr>
                <w:rFonts w:ascii="Arial" w:eastAsia="Times New Roman" w:hAnsi="Arial" w:cs="Arial"/>
                <w:sz w:val="20"/>
                <w:szCs w:val="20"/>
              </w:rPr>
            </w:pPr>
          </w:p>
        </w:tc>
        <w:tc>
          <w:tcPr>
            <w:tcW w:w="0" w:type="auto"/>
            <w:hideMark/>
          </w:tcPr>
          <w:p w14:paraId="1C1E1AC5"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14:paraId="49F5AC17"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0.63 </w:t>
            </w:r>
          </w:p>
        </w:tc>
        <w:tc>
          <w:tcPr>
            <w:tcW w:w="0" w:type="auto"/>
            <w:hideMark/>
          </w:tcPr>
          <w:p w14:paraId="70D7D4DB"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0.57 </w:t>
            </w:r>
          </w:p>
        </w:tc>
        <w:tc>
          <w:tcPr>
            <w:tcW w:w="0" w:type="auto"/>
            <w:hideMark/>
          </w:tcPr>
          <w:p w14:paraId="230DC1FB"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0.53 </w:t>
            </w:r>
          </w:p>
        </w:tc>
        <w:tc>
          <w:tcPr>
            <w:tcW w:w="0" w:type="auto"/>
            <w:hideMark/>
          </w:tcPr>
          <w:p w14:paraId="61D78DBA"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0.53 </w:t>
            </w:r>
          </w:p>
        </w:tc>
      </w:tr>
      <w:tr w:rsidR="00854DF5" w:rsidRPr="00BF2A14" w14:paraId="0D1E852F" w14:textId="77777777" w:rsidTr="00BF2A14">
        <w:tc>
          <w:tcPr>
            <w:tcW w:w="0" w:type="auto"/>
            <w:vMerge w:val="restart"/>
            <w:hideMark/>
          </w:tcPr>
          <w:p w14:paraId="2FBF74C5"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Seminal vesicle (SV)</w:t>
            </w:r>
          </w:p>
        </w:tc>
        <w:tc>
          <w:tcPr>
            <w:tcW w:w="0" w:type="auto"/>
            <w:hideMark/>
          </w:tcPr>
          <w:p w14:paraId="5EEF7EAF"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14:paraId="24DBE69A"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3.50 </w:t>
            </w:r>
          </w:p>
        </w:tc>
        <w:tc>
          <w:tcPr>
            <w:tcW w:w="0" w:type="auto"/>
            <w:hideMark/>
          </w:tcPr>
          <w:p w14:paraId="232A726C"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3.17 </w:t>
            </w:r>
          </w:p>
        </w:tc>
        <w:tc>
          <w:tcPr>
            <w:tcW w:w="0" w:type="auto"/>
            <w:hideMark/>
          </w:tcPr>
          <w:p w14:paraId="2E744FDC"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2.90 </w:t>
            </w:r>
          </w:p>
        </w:tc>
        <w:tc>
          <w:tcPr>
            <w:tcW w:w="0" w:type="auto"/>
            <w:hideMark/>
          </w:tcPr>
          <w:p w14:paraId="3F286E5C"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2.83 </w:t>
            </w:r>
          </w:p>
        </w:tc>
      </w:tr>
      <w:tr w:rsidR="00854DF5" w:rsidRPr="00BF2A14" w14:paraId="2A47DDCF" w14:textId="77777777" w:rsidTr="00BF2A14">
        <w:tc>
          <w:tcPr>
            <w:tcW w:w="0" w:type="auto"/>
            <w:vMerge/>
            <w:hideMark/>
          </w:tcPr>
          <w:p w14:paraId="66E813AB" w14:textId="77777777" w:rsidR="00854DF5" w:rsidRPr="00BF2A14" w:rsidRDefault="00854DF5" w:rsidP="00BF2A14">
            <w:pPr>
              <w:spacing w:line="480" w:lineRule="auto"/>
              <w:rPr>
                <w:rFonts w:ascii="Arial" w:eastAsia="Times New Roman" w:hAnsi="Arial" w:cs="Arial"/>
                <w:sz w:val="20"/>
                <w:szCs w:val="20"/>
              </w:rPr>
            </w:pPr>
          </w:p>
        </w:tc>
        <w:tc>
          <w:tcPr>
            <w:tcW w:w="0" w:type="auto"/>
            <w:hideMark/>
          </w:tcPr>
          <w:p w14:paraId="70477EC7"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14:paraId="01D79B92"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3.33 </w:t>
            </w:r>
          </w:p>
        </w:tc>
        <w:tc>
          <w:tcPr>
            <w:tcW w:w="0" w:type="auto"/>
            <w:hideMark/>
          </w:tcPr>
          <w:p w14:paraId="4777EC82"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3.00 </w:t>
            </w:r>
          </w:p>
        </w:tc>
        <w:tc>
          <w:tcPr>
            <w:tcW w:w="0" w:type="auto"/>
            <w:hideMark/>
          </w:tcPr>
          <w:p w14:paraId="5EB9011B"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2.50 </w:t>
            </w:r>
          </w:p>
        </w:tc>
        <w:tc>
          <w:tcPr>
            <w:tcW w:w="0" w:type="auto"/>
            <w:hideMark/>
          </w:tcPr>
          <w:p w14:paraId="7A6C5D65"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2.97 </w:t>
            </w:r>
          </w:p>
        </w:tc>
      </w:tr>
      <w:tr w:rsidR="00854DF5" w:rsidRPr="00BF2A14" w14:paraId="7EB3F4CC" w14:textId="77777777" w:rsidTr="00BF2A14">
        <w:tc>
          <w:tcPr>
            <w:tcW w:w="0" w:type="auto"/>
            <w:vMerge w:val="restart"/>
            <w:hideMark/>
          </w:tcPr>
          <w:p w14:paraId="22151A41"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Ductus </w:t>
            </w:r>
            <w:proofErr w:type="spellStart"/>
            <w:r w:rsidRPr="00BF2A14">
              <w:rPr>
                <w:rFonts w:ascii="Arial" w:eastAsia="Times New Roman" w:hAnsi="Arial" w:cs="Arial"/>
                <w:sz w:val="20"/>
                <w:szCs w:val="20"/>
              </w:rPr>
              <w:t>ejaculatorius</w:t>
            </w:r>
            <w:proofErr w:type="spellEnd"/>
            <w:r w:rsidRPr="00BF2A14">
              <w:rPr>
                <w:rFonts w:ascii="Arial" w:eastAsia="Times New Roman" w:hAnsi="Arial" w:cs="Arial"/>
                <w:sz w:val="20"/>
                <w:szCs w:val="20"/>
              </w:rPr>
              <w:t xml:space="preserve"> </w:t>
            </w:r>
            <w:r w:rsidRPr="00BF2A14">
              <w:rPr>
                <w:rFonts w:ascii="Arial" w:eastAsia="Times New Roman" w:hAnsi="Arial" w:cs="Arial"/>
                <w:sz w:val="20"/>
                <w:szCs w:val="20"/>
              </w:rPr>
              <w:lastRenderedPageBreak/>
              <w:t>duplex (DD)</w:t>
            </w:r>
          </w:p>
        </w:tc>
        <w:tc>
          <w:tcPr>
            <w:tcW w:w="0" w:type="auto"/>
            <w:hideMark/>
          </w:tcPr>
          <w:p w14:paraId="1E9CF11A"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lastRenderedPageBreak/>
              <w:t>Length</w:t>
            </w:r>
          </w:p>
        </w:tc>
        <w:tc>
          <w:tcPr>
            <w:tcW w:w="0" w:type="auto"/>
            <w:hideMark/>
          </w:tcPr>
          <w:p w14:paraId="05DA42D9"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4.77 </w:t>
            </w:r>
          </w:p>
        </w:tc>
        <w:tc>
          <w:tcPr>
            <w:tcW w:w="0" w:type="auto"/>
            <w:hideMark/>
          </w:tcPr>
          <w:p w14:paraId="21432E7D"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4.16 </w:t>
            </w:r>
          </w:p>
        </w:tc>
        <w:tc>
          <w:tcPr>
            <w:tcW w:w="0" w:type="auto"/>
            <w:hideMark/>
          </w:tcPr>
          <w:p w14:paraId="295B38F8"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3.67 </w:t>
            </w:r>
          </w:p>
        </w:tc>
        <w:tc>
          <w:tcPr>
            <w:tcW w:w="0" w:type="auto"/>
            <w:hideMark/>
          </w:tcPr>
          <w:p w14:paraId="2BA5477B"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4.33 </w:t>
            </w:r>
          </w:p>
        </w:tc>
      </w:tr>
      <w:tr w:rsidR="00854DF5" w:rsidRPr="00BF2A14" w14:paraId="52A12EED" w14:textId="77777777" w:rsidTr="00BF2A14">
        <w:tc>
          <w:tcPr>
            <w:tcW w:w="0" w:type="auto"/>
            <w:vMerge/>
            <w:hideMark/>
          </w:tcPr>
          <w:p w14:paraId="58C34260" w14:textId="77777777" w:rsidR="00854DF5" w:rsidRPr="00BF2A14" w:rsidRDefault="00854DF5" w:rsidP="00BF2A14">
            <w:pPr>
              <w:spacing w:line="480" w:lineRule="auto"/>
              <w:rPr>
                <w:rFonts w:ascii="Arial" w:eastAsia="Times New Roman" w:hAnsi="Arial" w:cs="Arial"/>
                <w:sz w:val="20"/>
                <w:szCs w:val="20"/>
              </w:rPr>
            </w:pPr>
          </w:p>
        </w:tc>
        <w:tc>
          <w:tcPr>
            <w:tcW w:w="0" w:type="auto"/>
            <w:hideMark/>
          </w:tcPr>
          <w:p w14:paraId="55D637E9"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14:paraId="162BDA16"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1.43 </w:t>
            </w:r>
          </w:p>
        </w:tc>
        <w:tc>
          <w:tcPr>
            <w:tcW w:w="0" w:type="auto"/>
            <w:hideMark/>
          </w:tcPr>
          <w:p w14:paraId="2B5A3BCF"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1.43 </w:t>
            </w:r>
          </w:p>
        </w:tc>
        <w:tc>
          <w:tcPr>
            <w:tcW w:w="0" w:type="auto"/>
            <w:hideMark/>
          </w:tcPr>
          <w:p w14:paraId="3FB5486B"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1.30 </w:t>
            </w:r>
          </w:p>
        </w:tc>
        <w:tc>
          <w:tcPr>
            <w:tcW w:w="0" w:type="auto"/>
            <w:hideMark/>
          </w:tcPr>
          <w:p w14:paraId="28A81101"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1.40 </w:t>
            </w:r>
          </w:p>
        </w:tc>
      </w:tr>
      <w:tr w:rsidR="00854DF5" w:rsidRPr="00BF2A14" w14:paraId="0A8477E8" w14:textId="77777777" w:rsidTr="00BF2A14">
        <w:tc>
          <w:tcPr>
            <w:tcW w:w="0" w:type="auto"/>
            <w:hideMark/>
          </w:tcPr>
          <w:p w14:paraId="0C921297" w14:textId="77777777" w:rsidR="005D3EF3" w:rsidRPr="00BF2A14" w:rsidRDefault="005D3EF3"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Ductus </w:t>
            </w:r>
            <w:proofErr w:type="spellStart"/>
            <w:r w:rsidRPr="00BF2A14">
              <w:rPr>
                <w:rFonts w:ascii="Arial" w:eastAsia="Times New Roman" w:hAnsi="Arial" w:cs="Arial"/>
                <w:sz w:val="20"/>
                <w:szCs w:val="20"/>
              </w:rPr>
              <w:t>ejaculatorius</w:t>
            </w:r>
            <w:proofErr w:type="spellEnd"/>
            <w:r w:rsidRPr="00BF2A14">
              <w:rPr>
                <w:rFonts w:ascii="Arial" w:eastAsia="Times New Roman" w:hAnsi="Arial" w:cs="Arial"/>
                <w:sz w:val="20"/>
                <w:szCs w:val="20"/>
              </w:rPr>
              <w:t xml:space="preserve"> simplex (DS)</w:t>
            </w:r>
          </w:p>
        </w:tc>
        <w:tc>
          <w:tcPr>
            <w:tcW w:w="0" w:type="auto"/>
            <w:hideMark/>
          </w:tcPr>
          <w:p w14:paraId="5ADFF230" w14:textId="77777777" w:rsidR="005D3EF3" w:rsidRPr="00BF2A14" w:rsidRDefault="005D3EF3"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14:paraId="5C5AF247" w14:textId="77777777" w:rsidR="005D3EF3" w:rsidRPr="00BF2A14" w:rsidRDefault="005D3EF3"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12.67 </w:t>
            </w:r>
          </w:p>
        </w:tc>
        <w:tc>
          <w:tcPr>
            <w:tcW w:w="0" w:type="auto"/>
            <w:hideMark/>
          </w:tcPr>
          <w:p w14:paraId="280D7BA4" w14:textId="77777777" w:rsidR="005D3EF3" w:rsidRPr="00BF2A14" w:rsidRDefault="005D3EF3"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11.17 </w:t>
            </w:r>
          </w:p>
        </w:tc>
        <w:tc>
          <w:tcPr>
            <w:tcW w:w="0" w:type="auto"/>
            <w:hideMark/>
          </w:tcPr>
          <w:p w14:paraId="284D00FF" w14:textId="77777777" w:rsidR="005D3EF3" w:rsidRPr="00BF2A14" w:rsidRDefault="005D3EF3"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10.22 </w:t>
            </w:r>
          </w:p>
        </w:tc>
        <w:tc>
          <w:tcPr>
            <w:tcW w:w="0" w:type="auto"/>
            <w:hideMark/>
          </w:tcPr>
          <w:p w14:paraId="2D2BF5E1" w14:textId="77777777" w:rsidR="005D3EF3" w:rsidRPr="00BF2A14" w:rsidRDefault="005D3EF3"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11.00 </w:t>
            </w:r>
          </w:p>
        </w:tc>
      </w:tr>
      <w:tr w:rsidR="00854DF5" w:rsidRPr="00BF2A14" w14:paraId="3C3F66FF" w14:textId="77777777" w:rsidTr="00BF2A14">
        <w:tc>
          <w:tcPr>
            <w:tcW w:w="0" w:type="auto"/>
            <w:vMerge w:val="restart"/>
            <w:hideMark/>
          </w:tcPr>
          <w:p w14:paraId="16F8B77B"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Aedeagus/Penis</w:t>
            </w:r>
          </w:p>
        </w:tc>
        <w:tc>
          <w:tcPr>
            <w:tcW w:w="0" w:type="auto"/>
            <w:hideMark/>
          </w:tcPr>
          <w:p w14:paraId="5EA3A600"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14:paraId="4724304E"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0.60 </w:t>
            </w:r>
          </w:p>
        </w:tc>
        <w:tc>
          <w:tcPr>
            <w:tcW w:w="0" w:type="auto"/>
            <w:hideMark/>
          </w:tcPr>
          <w:p w14:paraId="525E062A"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0.53 </w:t>
            </w:r>
          </w:p>
        </w:tc>
        <w:tc>
          <w:tcPr>
            <w:tcW w:w="0" w:type="auto"/>
            <w:hideMark/>
          </w:tcPr>
          <w:p w14:paraId="7C1F4D53"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0.50 </w:t>
            </w:r>
          </w:p>
        </w:tc>
        <w:tc>
          <w:tcPr>
            <w:tcW w:w="0" w:type="auto"/>
            <w:hideMark/>
          </w:tcPr>
          <w:p w14:paraId="57E661B6"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0.54 </w:t>
            </w:r>
          </w:p>
        </w:tc>
      </w:tr>
      <w:tr w:rsidR="00854DF5" w:rsidRPr="00BF2A14" w14:paraId="5A86EC46" w14:textId="77777777" w:rsidTr="00BF2A14">
        <w:tc>
          <w:tcPr>
            <w:tcW w:w="0" w:type="auto"/>
            <w:vMerge/>
            <w:hideMark/>
          </w:tcPr>
          <w:p w14:paraId="675F2358" w14:textId="77777777" w:rsidR="00854DF5" w:rsidRPr="00BF2A14" w:rsidRDefault="00854DF5" w:rsidP="00BF2A14">
            <w:pPr>
              <w:spacing w:line="480" w:lineRule="auto"/>
              <w:rPr>
                <w:rFonts w:ascii="Arial" w:eastAsia="Times New Roman" w:hAnsi="Arial" w:cs="Arial"/>
                <w:sz w:val="20"/>
                <w:szCs w:val="20"/>
              </w:rPr>
            </w:pPr>
          </w:p>
        </w:tc>
        <w:tc>
          <w:tcPr>
            <w:tcW w:w="0" w:type="auto"/>
            <w:hideMark/>
          </w:tcPr>
          <w:p w14:paraId="47DBD796"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14:paraId="57EA6F8E"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5.03 </w:t>
            </w:r>
          </w:p>
        </w:tc>
        <w:tc>
          <w:tcPr>
            <w:tcW w:w="0" w:type="auto"/>
            <w:hideMark/>
          </w:tcPr>
          <w:p w14:paraId="57C68129"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5.07 </w:t>
            </w:r>
          </w:p>
        </w:tc>
        <w:tc>
          <w:tcPr>
            <w:tcW w:w="0" w:type="auto"/>
            <w:hideMark/>
          </w:tcPr>
          <w:p w14:paraId="7555F548"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4.87 </w:t>
            </w:r>
          </w:p>
        </w:tc>
        <w:tc>
          <w:tcPr>
            <w:tcW w:w="0" w:type="auto"/>
            <w:hideMark/>
          </w:tcPr>
          <w:p w14:paraId="7DAFC0DD"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5.00 </w:t>
            </w:r>
          </w:p>
        </w:tc>
      </w:tr>
      <w:tr w:rsidR="00854DF5" w:rsidRPr="00BF2A14" w14:paraId="1AF482F7" w14:textId="77777777" w:rsidTr="00BF2A14">
        <w:tc>
          <w:tcPr>
            <w:tcW w:w="0" w:type="auto"/>
            <w:vMerge/>
            <w:hideMark/>
          </w:tcPr>
          <w:p w14:paraId="05231B5D" w14:textId="77777777" w:rsidR="00854DF5" w:rsidRPr="00BF2A14" w:rsidRDefault="00854DF5" w:rsidP="00BF2A14">
            <w:pPr>
              <w:spacing w:line="480" w:lineRule="auto"/>
              <w:rPr>
                <w:rFonts w:ascii="Arial" w:eastAsia="Times New Roman" w:hAnsi="Arial" w:cs="Arial"/>
                <w:sz w:val="20"/>
                <w:szCs w:val="20"/>
              </w:rPr>
            </w:pPr>
          </w:p>
        </w:tc>
        <w:tc>
          <w:tcPr>
            <w:tcW w:w="0" w:type="auto"/>
            <w:hideMark/>
          </w:tcPr>
          <w:p w14:paraId="2EDD81C6"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14:paraId="02C84B3F"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1.33 </w:t>
            </w:r>
          </w:p>
        </w:tc>
        <w:tc>
          <w:tcPr>
            <w:tcW w:w="0" w:type="auto"/>
            <w:hideMark/>
          </w:tcPr>
          <w:p w14:paraId="58FB59D8"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1.13 </w:t>
            </w:r>
          </w:p>
        </w:tc>
        <w:tc>
          <w:tcPr>
            <w:tcW w:w="0" w:type="auto"/>
            <w:hideMark/>
          </w:tcPr>
          <w:p w14:paraId="3DB2A8E2"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1.13 </w:t>
            </w:r>
          </w:p>
        </w:tc>
        <w:tc>
          <w:tcPr>
            <w:tcW w:w="0" w:type="auto"/>
            <w:hideMark/>
          </w:tcPr>
          <w:p w14:paraId="0A05C8C9"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1.13 </w:t>
            </w:r>
          </w:p>
        </w:tc>
      </w:tr>
      <w:tr w:rsidR="00854DF5" w:rsidRPr="00BF2A14" w14:paraId="3A36BF23" w14:textId="77777777" w:rsidTr="00BF2A14">
        <w:tc>
          <w:tcPr>
            <w:tcW w:w="0" w:type="auto"/>
            <w:vMerge w:val="restart"/>
            <w:hideMark/>
          </w:tcPr>
          <w:p w14:paraId="3150FD32"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Male accessory gland</w:t>
            </w:r>
          </w:p>
        </w:tc>
        <w:tc>
          <w:tcPr>
            <w:tcW w:w="0" w:type="auto"/>
            <w:tcBorders>
              <w:bottom w:val="nil"/>
            </w:tcBorders>
            <w:hideMark/>
          </w:tcPr>
          <w:p w14:paraId="0B0E3B3D"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tcBorders>
              <w:bottom w:val="nil"/>
            </w:tcBorders>
            <w:hideMark/>
          </w:tcPr>
          <w:p w14:paraId="3C033EFE"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17.33 </w:t>
            </w:r>
          </w:p>
        </w:tc>
        <w:tc>
          <w:tcPr>
            <w:tcW w:w="0" w:type="auto"/>
            <w:tcBorders>
              <w:bottom w:val="nil"/>
            </w:tcBorders>
            <w:hideMark/>
          </w:tcPr>
          <w:p w14:paraId="63947A13"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13.67 </w:t>
            </w:r>
          </w:p>
        </w:tc>
        <w:tc>
          <w:tcPr>
            <w:tcW w:w="0" w:type="auto"/>
            <w:tcBorders>
              <w:bottom w:val="nil"/>
            </w:tcBorders>
            <w:hideMark/>
          </w:tcPr>
          <w:p w14:paraId="521C2902"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11.50 </w:t>
            </w:r>
          </w:p>
        </w:tc>
        <w:tc>
          <w:tcPr>
            <w:tcW w:w="0" w:type="auto"/>
            <w:tcBorders>
              <w:bottom w:val="nil"/>
            </w:tcBorders>
            <w:hideMark/>
          </w:tcPr>
          <w:p w14:paraId="1D5E001B"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13.47 </w:t>
            </w:r>
          </w:p>
        </w:tc>
      </w:tr>
      <w:tr w:rsidR="00854DF5" w:rsidRPr="00BF2A14" w14:paraId="44D60B9F" w14:textId="77777777" w:rsidTr="00BF2A14">
        <w:tc>
          <w:tcPr>
            <w:tcW w:w="0" w:type="auto"/>
            <w:vMerge/>
            <w:hideMark/>
          </w:tcPr>
          <w:p w14:paraId="614F6573" w14:textId="77777777" w:rsidR="00854DF5" w:rsidRPr="00BF2A14" w:rsidRDefault="00854DF5" w:rsidP="00BF2A14">
            <w:pPr>
              <w:spacing w:line="480" w:lineRule="auto"/>
              <w:rPr>
                <w:rFonts w:ascii="Arial" w:eastAsia="Times New Roman" w:hAnsi="Arial" w:cs="Arial"/>
                <w:sz w:val="20"/>
                <w:szCs w:val="20"/>
              </w:rPr>
            </w:pPr>
          </w:p>
        </w:tc>
        <w:tc>
          <w:tcPr>
            <w:tcW w:w="0" w:type="auto"/>
            <w:tcBorders>
              <w:top w:val="nil"/>
              <w:bottom w:val="single" w:sz="4" w:space="0" w:color="auto"/>
            </w:tcBorders>
            <w:hideMark/>
          </w:tcPr>
          <w:p w14:paraId="3DF3CE69"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tcBorders>
              <w:top w:val="nil"/>
              <w:bottom w:val="single" w:sz="4" w:space="0" w:color="auto"/>
            </w:tcBorders>
            <w:hideMark/>
          </w:tcPr>
          <w:p w14:paraId="4D425F9F"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1.33 </w:t>
            </w:r>
          </w:p>
        </w:tc>
        <w:tc>
          <w:tcPr>
            <w:tcW w:w="0" w:type="auto"/>
            <w:tcBorders>
              <w:top w:val="nil"/>
              <w:bottom w:val="single" w:sz="4" w:space="0" w:color="auto"/>
            </w:tcBorders>
            <w:hideMark/>
          </w:tcPr>
          <w:p w14:paraId="065B2990"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1.06 </w:t>
            </w:r>
          </w:p>
        </w:tc>
        <w:tc>
          <w:tcPr>
            <w:tcW w:w="0" w:type="auto"/>
            <w:tcBorders>
              <w:top w:val="nil"/>
              <w:bottom w:val="single" w:sz="4" w:space="0" w:color="auto"/>
            </w:tcBorders>
            <w:hideMark/>
          </w:tcPr>
          <w:p w14:paraId="725621C5"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1.06 </w:t>
            </w:r>
          </w:p>
        </w:tc>
        <w:tc>
          <w:tcPr>
            <w:tcW w:w="0" w:type="auto"/>
            <w:tcBorders>
              <w:top w:val="nil"/>
              <w:bottom w:val="single" w:sz="4" w:space="0" w:color="auto"/>
            </w:tcBorders>
            <w:hideMark/>
          </w:tcPr>
          <w:p w14:paraId="6D5A8610"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1.16 </w:t>
            </w:r>
          </w:p>
        </w:tc>
      </w:tr>
      <w:tr w:rsidR="00854DF5" w:rsidRPr="00BF2A14" w14:paraId="32E1C422" w14:textId="77777777" w:rsidTr="00BF2A14">
        <w:tc>
          <w:tcPr>
            <w:tcW w:w="0" w:type="auto"/>
            <w:gridSpan w:val="6"/>
            <w:tcBorders>
              <w:top w:val="single" w:sz="4" w:space="0" w:color="auto"/>
              <w:bottom w:val="single" w:sz="4" w:space="0" w:color="auto"/>
            </w:tcBorders>
            <w:hideMark/>
          </w:tcPr>
          <w:p w14:paraId="6288BDAF" w14:textId="77777777" w:rsidR="00854DF5" w:rsidRPr="00BF2A14" w:rsidRDefault="00854DF5" w:rsidP="00BF2A14">
            <w:pPr>
              <w:spacing w:line="480" w:lineRule="auto"/>
              <w:rPr>
                <w:rFonts w:ascii="Arial" w:eastAsia="Times New Roman" w:hAnsi="Arial" w:cs="Arial"/>
                <w:b/>
                <w:bCs/>
                <w:sz w:val="20"/>
                <w:szCs w:val="20"/>
              </w:rPr>
            </w:pPr>
            <w:r w:rsidRPr="00BF2A14">
              <w:rPr>
                <w:rFonts w:ascii="Arial" w:eastAsia="Times New Roman" w:hAnsi="Arial" w:cs="Arial"/>
                <w:b/>
                <w:bCs/>
                <w:sz w:val="20"/>
                <w:szCs w:val="20"/>
              </w:rPr>
              <w:t xml:space="preserve">Female reproductive system </w:t>
            </w:r>
          </w:p>
        </w:tc>
      </w:tr>
      <w:tr w:rsidR="00854DF5" w:rsidRPr="00BF2A14" w14:paraId="15343B63" w14:textId="77777777" w:rsidTr="00BF2A14">
        <w:tc>
          <w:tcPr>
            <w:tcW w:w="0" w:type="auto"/>
            <w:vMerge w:val="restart"/>
            <w:hideMark/>
          </w:tcPr>
          <w:p w14:paraId="1A2E12DD"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Ovarioles</w:t>
            </w:r>
          </w:p>
        </w:tc>
        <w:tc>
          <w:tcPr>
            <w:tcW w:w="0" w:type="auto"/>
            <w:tcBorders>
              <w:top w:val="single" w:sz="4" w:space="0" w:color="auto"/>
              <w:bottom w:val="nil"/>
            </w:tcBorders>
            <w:hideMark/>
          </w:tcPr>
          <w:p w14:paraId="749658D6"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tcBorders>
              <w:top w:val="single" w:sz="4" w:space="0" w:color="auto"/>
              <w:bottom w:val="nil"/>
            </w:tcBorders>
            <w:hideMark/>
          </w:tcPr>
          <w:p w14:paraId="46DAFE8E"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102.33 </w:t>
            </w:r>
          </w:p>
        </w:tc>
        <w:tc>
          <w:tcPr>
            <w:tcW w:w="0" w:type="auto"/>
            <w:tcBorders>
              <w:top w:val="single" w:sz="4" w:space="0" w:color="auto"/>
              <w:bottom w:val="nil"/>
            </w:tcBorders>
            <w:hideMark/>
          </w:tcPr>
          <w:p w14:paraId="5A646E51"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95.33 </w:t>
            </w:r>
          </w:p>
        </w:tc>
        <w:tc>
          <w:tcPr>
            <w:tcW w:w="0" w:type="auto"/>
            <w:tcBorders>
              <w:top w:val="single" w:sz="4" w:space="0" w:color="auto"/>
              <w:bottom w:val="nil"/>
            </w:tcBorders>
            <w:hideMark/>
          </w:tcPr>
          <w:p w14:paraId="59E9065F"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82.00 </w:t>
            </w:r>
          </w:p>
        </w:tc>
        <w:tc>
          <w:tcPr>
            <w:tcW w:w="0" w:type="auto"/>
            <w:tcBorders>
              <w:top w:val="single" w:sz="4" w:space="0" w:color="auto"/>
              <w:bottom w:val="nil"/>
            </w:tcBorders>
            <w:hideMark/>
          </w:tcPr>
          <w:p w14:paraId="5BA64865"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90.33 </w:t>
            </w:r>
          </w:p>
        </w:tc>
      </w:tr>
      <w:tr w:rsidR="00854DF5" w:rsidRPr="00BF2A14" w14:paraId="282A2A1C" w14:textId="77777777" w:rsidTr="00BF2A14">
        <w:tc>
          <w:tcPr>
            <w:tcW w:w="0" w:type="auto"/>
            <w:vMerge/>
            <w:hideMark/>
          </w:tcPr>
          <w:p w14:paraId="0FD6FFA3" w14:textId="77777777" w:rsidR="00854DF5" w:rsidRPr="00BF2A14" w:rsidRDefault="00854DF5" w:rsidP="00BF2A14">
            <w:pPr>
              <w:spacing w:line="480" w:lineRule="auto"/>
              <w:rPr>
                <w:rFonts w:ascii="Arial" w:eastAsia="Times New Roman" w:hAnsi="Arial" w:cs="Arial"/>
                <w:sz w:val="20"/>
                <w:szCs w:val="20"/>
              </w:rPr>
            </w:pPr>
          </w:p>
        </w:tc>
        <w:tc>
          <w:tcPr>
            <w:tcW w:w="0" w:type="auto"/>
            <w:tcBorders>
              <w:top w:val="nil"/>
            </w:tcBorders>
            <w:hideMark/>
          </w:tcPr>
          <w:p w14:paraId="4619CC4F"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tcBorders>
              <w:top w:val="nil"/>
            </w:tcBorders>
            <w:hideMark/>
          </w:tcPr>
          <w:p w14:paraId="66BFC019"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Variable throughout the length</w:t>
            </w:r>
          </w:p>
        </w:tc>
        <w:tc>
          <w:tcPr>
            <w:tcW w:w="0" w:type="auto"/>
            <w:tcBorders>
              <w:top w:val="nil"/>
            </w:tcBorders>
            <w:hideMark/>
          </w:tcPr>
          <w:p w14:paraId="65397145"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Variable throughout the length</w:t>
            </w:r>
          </w:p>
        </w:tc>
        <w:tc>
          <w:tcPr>
            <w:tcW w:w="0" w:type="auto"/>
            <w:tcBorders>
              <w:top w:val="nil"/>
            </w:tcBorders>
            <w:hideMark/>
          </w:tcPr>
          <w:p w14:paraId="67BB5D60"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Variable throughout the length</w:t>
            </w:r>
          </w:p>
        </w:tc>
        <w:tc>
          <w:tcPr>
            <w:tcW w:w="0" w:type="auto"/>
            <w:tcBorders>
              <w:top w:val="nil"/>
            </w:tcBorders>
            <w:hideMark/>
          </w:tcPr>
          <w:p w14:paraId="19FA08A4"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Variable throughout the length</w:t>
            </w:r>
          </w:p>
        </w:tc>
      </w:tr>
      <w:tr w:rsidR="00854DF5" w:rsidRPr="00BF2A14" w14:paraId="1ECDEE34" w14:textId="77777777" w:rsidTr="00BF2A14">
        <w:tc>
          <w:tcPr>
            <w:tcW w:w="0" w:type="auto"/>
            <w:vMerge w:val="restart"/>
            <w:hideMark/>
          </w:tcPr>
          <w:p w14:paraId="749E464A"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Common oviduct</w:t>
            </w:r>
          </w:p>
        </w:tc>
        <w:tc>
          <w:tcPr>
            <w:tcW w:w="0" w:type="auto"/>
            <w:hideMark/>
          </w:tcPr>
          <w:p w14:paraId="76FB8814"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14:paraId="2AA06991"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5.60 </w:t>
            </w:r>
          </w:p>
        </w:tc>
        <w:tc>
          <w:tcPr>
            <w:tcW w:w="0" w:type="auto"/>
            <w:hideMark/>
          </w:tcPr>
          <w:p w14:paraId="66FEB4B8"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5.00 </w:t>
            </w:r>
          </w:p>
        </w:tc>
        <w:tc>
          <w:tcPr>
            <w:tcW w:w="0" w:type="auto"/>
            <w:hideMark/>
          </w:tcPr>
          <w:p w14:paraId="5467D6E7"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4.67 </w:t>
            </w:r>
          </w:p>
        </w:tc>
        <w:tc>
          <w:tcPr>
            <w:tcW w:w="0" w:type="auto"/>
            <w:hideMark/>
          </w:tcPr>
          <w:p w14:paraId="2EAC3083"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5.00 </w:t>
            </w:r>
          </w:p>
        </w:tc>
      </w:tr>
      <w:tr w:rsidR="00854DF5" w:rsidRPr="00BF2A14" w14:paraId="1ABF6D96" w14:textId="77777777" w:rsidTr="00BF2A14">
        <w:tc>
          <w:tcPr>
            <w:tcW w:w="0" w:type="auto"/>
            <w:vMerge/>
            <w:hideMark/>
          </w:tcPr>
          <w:p w14:paraId="5D3807D9" w14:textId="77777777" w:rsidR="00854DF5" w:rsidRPr="00BF2A14" w:rsidRDefault="00854DF5" w:rsidP="00BF2A14">
            <w:pPr>
              <w:spacing w:line="480" w:lineRule="auto"/>
              <w:rPr>
                <w:rFonts w:ascii="Arial" w:eastAsia="Times New Roman" w:hAnsi="Arial" w:cs="Arial"/>
                <w:sz w:val="20"/>
                <w:szCs w:val="20"/>
              </w:rPr>
            </w:pPr>
          </w:p>
        </w:tc>
        <w:tc>
          <w:tcPr>
            <w:tcW w:w="0" w:type="auto"/>
            <w:hideMark/>
          </w:tcPr>
          <w:p w14:paraId="4991EA32"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14:paraId="7DD25C3F"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2.17 </w:t>
            </w:r>
          </w:p>
        </w:tc>
        <w:tc>
          <w:tcPr>
            <w:tcW w:w="0" w:type="auto"/>
            <w:hideMark/>
          </w:tcPr>
          <w:p w14:paraId="0A29E629"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2.17 </w:t>
            </w:r>
          </w:p>
        </w:tc>
        <w:tc>
          <w:tcPr>
            <w:tcW w:w="0" w:type="auto"/>
            <w:hideMark/>
          </w:tcPr>
          <w:p w14:paraId="046F5D62"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2.00 </w:t>
            </w:r>
          </w:p>
        </w:tc>
        <w:tc>
          <w:tcPr>
            <w:tcW w:w="0" w:type="auto"/>
            <w:hideMark/>
          </w:tcPr>
          <w:p w14:paraId="3F5E2BB4"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2.17 </w:t>
            </w:r>
          </w:p>
        </w:tc>
      </w:tr>
      <w:tr w:rsidR="00854DF5" w:rsidRPr="00BF2A14" w14:paraId="0298E004" w14:textId="77777777" w:rsidTr="00BF2A14">
        <w:tc>
          <w:tcPr>
            <w:tcW w:w="0" w:type="auto"/>
            <w:vMerge w:val="restart"/>
            <w:hideMark/>
          </w:tcPr>
          <w:p w14:paraId="3CDBDB20"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Bursa copulatrix: Corpus bursae</w:t>
            </w:r>
          </w:p>
        </w:tc>
        <w:tc>
          <w:tcPr>
            <w:tcW w:w="0" w:type="auto"/>
            <w:hideMark/>
          </w:tcPr>
          <w:p w14:paraId="597226FA"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14:paraId="0B4E222F"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3.07 </w:t>
            </w:r>
          </w:p>
        </w:tc>
        <w:tc>
          <w:tcPr>
            <w:tcW w:w="0" w:type="auto"/>
            <w:hideMark/>
          </w:tcPr>
          <w:p w14:paraId="4F8224FD"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2.77 </w:t>
            </w:r>
          </w:p>
        </w:tc>
        <w:tc>
          <w:tcPr>
            <w:tcW w:w="0" w:type="auto"/>
            <w:hideMark/>
          </w:tcPr>
          <w:p w14:paraId="4ED1D56D"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2.33 </w:t>
            </w:r>
          </w:p>
        </w:tc>
        <w:tc>
          <w:tcPr>
            <w:tcW w:w="0" w:type="auto"/>
            <w:hideMark/>
          </w:tcPr>
          <w:p w14:paraId="62F5966E"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2.83 </w:t>
            </w:r>
          </w:p>
        </w:tc>
      </w:tr>
      <w:tr w:rsidR="00854DF5" w:rsidRPr="00BF2A14" w14:paraId="39CBD160" w14:textId="77777777" w:rsidTr="00BF2A14">
        <w:tc>
          <w:tcPr>
            <w:tcW w:w="0" w:type="auto"/>
            <w:vMerge/>
            <w:hideMark/>
          </w:tcPr>
          <w:p w14:paraId="3DD6BC11" w14:textId="77777777" w:rsidR="00854DF5" w:rsidRPr="00BF2A14" w:rsidRDefault="00854DF5" w:rsidP="00BF2A14">
            <w:pPr>
              <w:spacing w:line="480" w:lineRule="auto"/>
              <w:rPr>
                <w:rFonts w:ascii="Arial" w:eastAsia="Times New Roman" w:hAnsi="Arial" w:cs="Arial"/>
                <w:sz w:val="20"/>
                <w:szCs w:val="20"/>
              </w:rPr>
            </w:pPr>
          </w:p>
        </w:tc>
        <w:tc>
          <w:tcPr>
            <w:tcW w:w="0" w:type="auto"/>
            <w:hideMark/>
          </w:tcPr>
          <w:p w14:paraId="71F99E02"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14:paraId="102FAEA9"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2.27 </w:t>
            </w:r>
          </w:p>
        </w:tc>
        <w:tc>
          <w:tcPr>
            <w:tcW w:w="0" w:type="auto"/>
            <w:hideMark/>
          </w:tcPr>
          <w:p w14:paraId="104C4DA8"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2.23 </w:t>
            </w:r>
          </w:p>
        </w:tc>
        <w:tc>
          <w:tcPr>
            <w:tcW w:w="0" w:type="auto"/>
            <w:hideMark/>
          </w:tcPr>
          <w:p w14:paraId="5A4BEBB7"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2.16 </w:t>
            </w:r>
          </w:p>
        </w:tc>
        <w:tc>
          <w:tcPr>
            <w:tcW w:w="0" w:type="auto"/>
            <w:hideMark/>
          </w:tcPr>
          <w:p w14:paraId="2D9EA279"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2.23 </w:t>
            </w:r>
          </w:p>
        </w:tc>
      </w:tr>
      <w:tr w:rsidR="00854DF5" w:rsidRPr="00BF2A14" w14:paraId="4405D0D4" w14:textId="77777777" w:rsidTr="00BF2A14">
        <w:tc>
          <w:tcPr>
            <w:tcW w:w="0" w:type="auto"/>
            <w:vMerge w:val="restart"/>
            <w:hideMark/>
          </w:tcPr>
          <w:p w14:paraId="5B2C2C69"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Ductus bursae</w:t>
            </w:r>
          </w:p>
        </w:tc>
        <w:tc>
          <w:tcPr>
            <w:tcW w:w="0" w:type="auto"/>
            <w:hideMark/>
          </w:tcPr>
          <w:p w14:paraId="48B09E7F"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14:paraId="3ABD4C9F"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2.97</w:t>
            </w:r>
          </w:p>
        </w:tc>
        <w:tc>
          <w:tcPr>
            <w:tcW w:w="0" w:type="auto"/>
            <w:hideMark/>
          </w:tcPr>
          <w:p w14:paraId="0B314B7A"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2.83 </w:t>
            </w:r>
          </w:p>
        </w:tc>
        <w:tc>
          <w:tcPr>
            <w:tcW w:w="0" w:type="auto"/>
            <w:hideMark/>
          </w:tcPr>
          <w:p w14:paraId="7D294761"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2.67 </w:t>
            </w:r>
          </w:p>
        </w:tc>
        <w:tc>
          <w:tcPr>
            <w:tcW w:w="0" w:type="auto"/>
            <w:hideMark/>
          </w:tcPr>
          <w:p w14:paraId="33A4600E"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2.90 </w:t>
            </w:r>
          </w:p>
        </w:tc>
      </w:tr>
      <w:tr w:rsidR="00854DF5" w:rsidRPr="00BF2A14" w14:paraId="704AB3FF" w14:textId="77777777" w:rsidTr="00BF2A14">
        <w:tc>
          <w:tcPr>
            <w:tcW w:w="0" w:type="auto"/>
            <w:vMerge/>
            <w:hideMark/>
          </w:tcPr>
          <w:p w14:paraId="2E292364" w14:textId="77777777" w:rsidR="00854DF5" w:rsidRPr="00BF2A14" w:rsidRDefault="00854DF5" w:rsidP="00BF2A14">
            <w:pPr>
              <w:spacing w:line="480" w:lineRule="auto"/>
              <w:rPr>
                <w:rFonts w:ascii="Arial" w:eastAsia="Times New Roman" w:hAnsi="Arial" w:cs="Arial"/>
                <w:sz w:val="20"/>
                <w:szCs w:val="20"/>
              </w:rPr>
            </w:pPr>
          </w:p>
        </w:tc>
        <w:tc>
          <w:tcPr>
            <w:tcW w:w="0" w:type="auto"/>
            <w:hideMark/>
          </w:tcPr>
          <w:p w14:paraId="7B3F8D04"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14:paraId="5011BC8D"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1.80 </w:t>
            </w:r>
          </w:p>
        </w:tc>
        <w:tc>
          <w:tcPr>
            <w:tcW w:w="0" w:type="auto"/>
            <w:hideMark/>
          </w:tcPr>
          <w:p w14:paraId="537B4EDA"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1.60 </w:t>
            </w:r>
          </w:p>
        </w:tc>
        <w:tc>
          <w:tcPr>
            <w:tcW w:w="0" w:type="auto"/>
            <w:hideMark/>
          </w:tcPr>
          <w:p w14:paraId="3C8CF509"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1.56 </w:t>
            </w:r>
          </w:p>
        </w:tc>
        <w:tc>
          <w:tcPr>
            <w:tcW w:w="0" w:type="auto"/>
            <w:hideMark/>
          </w:tcPr>
          <w:p w14:paraId="06A12D12"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1.7</w:t>
            </w:r>
            <w:r w:rsidR="003E1708" w:rsidRPr="00BF2A14">
              <w:rPr>
                <w:rFonts w:ascii="Arial" w:eastAsia="Times New Roman" w:hAnsi="Arial" w:cs="Arial"/>
                <w:sz w:val="20"/>
                <w:szCs w:val="20"/>
              </w:rPr>
              <w:t>0</w:t>
            </w:r>
          </w:p>
        </w:tc>
      </w:tr>
      <w:tr w:rsidR="00854DF5" w:rsidRPr="00BF2A14" w14:paraId="7F573396" w14:textId="77777777" w:rsidTr="00BF2A14">
        <w:tc>
          <w:tcPr>
            <w:tcW w:w="0" w:type="auto"/>
            <w:vMerge w:val="restart"/>
            <w:hideMark/>
          </w:tcPr>
          <w:p w14:paraId="7CE84122"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Seminal duct</w:t>
            </w:r>
          </w:p>
        </w:tc>
        <w:tc>
          <w:tcPr>
            <w:tcW w:w="0" w:type="auto"/>
            <w:hideMark/>
          </w:tcPr>
          <w:p w14:paraId="7517AD29"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14:paraId="285AE8D2"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1.63 </w:t>
            </w:r>
          </w:p>
        </w:tc>
        <w:tc>
          <w:tcPr>
            <w:tcW w:w="0" w:type="auto"/>
            <w:hideMark/>
          </w:tcPr>
          <w:p w14:paraId="42A27B8F"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1.60 </w:t>
            </w:r>
          </w:p>
        </w:tc>
        <w:tc>
          <w:tcPr>
            <w:tcW w:w="0" w:type="auto"/>
            <w:hideMark/>
          </w:tcPr>
          <w:p w14:paraId="6E6AEA6C"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1.53 </w:t>
            </w:r>
          </w:p>
        </w:tc>
        <w:tc>
          <w:tcPr>
            <w:tcW w:w="0" w:type="auto"/>
            <w:hideMark/>
          </w:tcPr>
          <w:p w14:paraId="16B02A65"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1.63 </w:t>
            </w:r>
          </w:p>
        </w:tc>
      </w:tr>
      <w:tr w:rsidR="00854DF5" w:rsidRPr="00BF2A14" w14:paraId="7573A7C9" w14:textId="77777777" w:rsidTr="00BF2A14">
        <w:tc>
          <w:tcPr>
            <w:tcW w:w="0" w:type="auto"/>
            <w:vMerge/>
            <w:hideMark/>
          </w:tcPr>
          <w:p w14:paraId="4F630BF6" w14:textId="77777777" w:rsidR="00854DF5" w:rsidRPr="00BF2A14" w:rsidRDefault="00854DF5" w:rsidP="00BF2A14">
            <w:pPr>
              <w:spacing w:line="480" w:lineRule="auto"/>
              <w:rPr>
                <w:rFonts w:ascii="Arial" w:eastAsia="Times New Roman" w:hAnsi="Arial" w:cs="Arial"/>
                <w:sz w:val="20"/>
                <w:szCs w:val="20"/>
              </w:rPr>
            </w:pPr>
          </w:p>
        </w:tc>
        <w:tc>
          <w:tcPr>
            <w:tcW w:w="0" w:type="auto"/>
            <w:hideMark/>
          </w:tcPr>
          <w:p w14:paraId="25CEA99F"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14:paraId="044DF6A8"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1.50 </w:t>
            </w:r>
          </w:p>
        </w:tc>
        <w:tc>
          <w:tcPr>
            <w:tcW w:w="0" w:type="auto"/>
            <w:hideMark/>
          </w:tcPr>
          <w:p w14:paraId="3DFC3FDB"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1.47 </w:t>
            </w:r>
          </w:p>
        </w:tc>
        <w:tc>
          <w:tcPr>
            <w:tcW w:w="0" w:type="auto"/>
            <w:hideMark/>
          </w:tcPr>
          <w:p w14:paraId="112A9093"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1.33 </w:t>
            </w:r>
          </w:p>
        </w:tc>
        <w:tc>
          <w:tcPr>
            <w:tcW w:w="0" w:type="auto"/>
            <w:hideMark/>
          </w:tcPr>
          <w:p w14:paraId="28F90CFA"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1.47 </w:t>
            </w:r>
          </w:p>
        </w:tc>
      </w:tr>
      <w:tr w:rsidR="00854DF5" w:rsidRPr="00BF2A14" w14:paraId="5441B08B" w14:textId="77777777" w:rsidTr="00BF2A14">
        <w:tc>
          <w:tcPr>
            <w:tcW w:w="0" w:type="auto"/>
            <w:vMerge w:val="restart"/>
            <w:hideMark/>
          </w:tcPr>
          <w:p w14:paraId="70F8C978"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Spermathecal duct</w:t>
            </w:r>
          </w:p>
        </w:tc>
        <w:tc>
          <w:tcPr>
            <w:tcW w:w="0" w:type="auto"/>
            <w:hideMark/>
          </w:tcPr>
          <w:p w14:paraId="1355FFC0"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14:paraId="654125AA"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3.17 </w:t>
            </w:r>
          </w:p>
        </w:tc>
        <w:tc>
          <w:tcPr>
            <w:tcW w:w="0" w:type="auto"/>
            <w:hideMark/>
          </w:tcPr>
          <w:p w14:paraId="0F4EDE73"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2.90</w:t>
            </w:r>
          </w:p>
        </w:tc>
        <w:tc>
          <w:tcPr>
            <w:tcW w:w="0" w:type="auto"/>
            <w:hideMark/>
          </w:tcPr>
          <w:p w14:paraId="5FB8A6A3"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2.67 </w:t>
            </w:r>
          </w:p>
        </w:tc>
        <w:tc>
          <w:tcPr>
            <w:tcW w:w="0" w:type="auto"/>
            <w:hideMark/>
          </w:tcPr>
          <w:p w14:paraId="49DD9248"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2.43 </w:t>
            </w:r>
          </w:p>
        </w:tc>
      </w:tr>
      <w:tr w:rsidR="00854DF5" w:rsidRPr="00BF2A14" w14:paraId="60874348" w14:textId="77777777" w:rsidTr="00BF2A14">
        <w:tc>
          <w:tcPr>
            <w:tcW w:w="0" w:type="auto"/>
            <w:vMerge/>
            <w:hideMark/>
          </w:tcPr>
          <w:p w14:paraId="771E9CE9" w14:textId="77777777" w:rsidR="00854DF5" w:rsidRPr="00BF2A14" w:rsidRDefault="00854DF5" w:rsidP="00BF2A14">
            <w:pPr>
              <w:spacing w:line="480" w:lineRule="auto"/>
              <w:rPr>
                <w:rFonts w:ascii="Arial" w:eastAsia="Times New Roman" w:hAnsi="Arial" w:cs="Arial"/>
                <w:sz w:val="20"/>
                <w:szCs w:val="20"/>
              </w:rPr>
            </w:pPr>
          </w:p>
        </w:tc>
        <w:tc>
          <w:tcPr>
            <w:tcW w:w="0" w:type="auto"/>
            <w:hideMark/>
          </w:tcPr>
          <w:p w14:paraId="6C767D5E"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14:paraId="18B4808D"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1.67 </w:t>
            </w:r>
          </w:p>
        </w:tc>
        <w:tc>
          <w:tcPr>
            <w:tcW w:w="0" w:type="auto"/>
            <w:hideMark/>
          </w:tcPr>
          <w:p w14:paraId="5FB46F5F"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1.43 </w:t>
            </w:r>
          </w:p>
        </w:tc>
        <w:tc>
          <w:tcPr>
            <w:tcW w:w="0" w:type="auto"/>
            <w:hideMark/>
          </w:tcPr>
          <w:p w14:paraId="28217AA9"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1.33 </w:t>
            </w:r>
          </w:p>
        </w:tc>
        <w:tc>
          <w:tcPr>
            <w:tcW w:w="0" w:type="auto"/>
            <w:hideMark/>
          </w:tcPr>
          <w:p w14:paraId="276B757F"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1.50 </w:t>
            </w:r>
          </w:p>
        </w:tc>
      </w:tr>
      <w:tr w:rsidR="00854DF5" w:rsidRPr="00BF2A14" w14:paraId="0CAFB772" w14:textId="77777777" w:rsidTr="00BF2A14">
        <w:tc>
          <w:tcPr>
            <w:tcW w:w="0" w:type="auto"/>
            <w:vMerge w:val="restart"/>
            <w:hideMark/>
          </w:tcPr>
          <w:p w14:paraId="402CF933"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Spermatheca: Main chamber</w:t>
            </w:r>
          </w:p>
        </w:tc>
        <w:tc>
          <w:tcPr>
            <w:tcW w:w="0" w:type="auto"/>
            <w:hideMark/>
          </w:tcPr>
          <w:p w14:paraId="1860DD6A"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14:paraId="571AF4B6"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4.63 </w:t>
            </w:r>
          </w:p>
        </w:tc>
        <w:tc>
          <w:tcPr>
            <w:tcW w:w="0" w:type="auto"/>
            <w:hideMark/>
          </w:tcPr>
          <w:p w14:paraId="402AD5B7"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4.17 </w:t>
            </w:r>
          </w:p>
        </w:tc>
        <w:tc>
          <w:tcPr>
            <w:tcW w:w="0" w:type="auto"/>
            <w:hideMark/>
          </w:tcPr>
          <w:p w14:paraId="4655A107"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3.83 </w:t>
            </w:r>
          </w:p>
        </w:tc>
        <w:tc>
          <w:tcPr>
            <w:tcW w:w="0" w:type="auto"/>
            <w:hideMark/>
          </w:tcPr>
          <w:p w14:paraId="5E0F5153"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3.90 </w:t>
            </w:r>
          </w:p>
        </w:tc>
      </w:tr>
      <w:tr w:rsidR="00854DF5" w:rsidRPr="00BF2A14" w14:paraId="0D309FC9" w14:textId="77777777" w:rsidTr="00BF2A14">
        <w:tc>
          <w:tcPr>
            <w:tcW w:w="0" w:type="auto"/>
            <w:vMerge/>
            <w:hideMark/>
          </w:tcPr>
          <w:p w14:paraId="4C1D3F2B" w14:textId="77777777" w:rsidR="00854DF5" w:rsidRPr="00BF2A14" w:rsidRDefault="00854DF5" w:rsidP="00BF2A14">
            <w:pPr>
              <w:spacing w:line="480" w:lineRule="auto"/>
              <w:rPr>
                <w:rFonts w:ascii="Arial" w:eastAsia="Times New Roman" w:hAnsi="Arial" w:cs="Arial"/>
                <w:sz w:val="20"/>
                <w:szCs w:val="20"/>
              </w:rPr>
            </w:pPr>
          </w:p>
        </w:tc>
        <w:tc>
          <w:tcPr>
            <w:tcW w:w="0" w:type="auto"/>
            <w:hideMark/>
          </w:tcPr>
          <w:p w14:paraId="190D3BA6"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14:paraId="2BB61FC7"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3.23 </w:t>
            </w:r>
          </w:p>
        </w:tc>
        <w:tc>
          <w:tcPr>
            <w:tcW w:w="0" w:type="auto"/>
            <w:hideMark/>
          </w:tcPr>
          <w:p w14:paraId="04EDF248"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3.07 </w:t>
            </w:r>
          </w:p>
        </w:tc>
        <w:tc>
          <w:tcPr>
            <w:tcW w:w="0" w:type="auto"/>
            <w:hideMark/>
          </w:tcPr>
          <w:p w14:paraId="37747798"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2.77 </w:t>
            </w:r>
          </w:p>
        </w:tc>
        <w:tc>
          <w:tcPr>
            <w:tcW w:w="0" w:type="auto"/>
            <w:hideMark/>
          </w:tcPr>
          <w:p w14:paraId="0A1CC7FB"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3.17 </w:t>
            </w:r>
          </w:p>
        </w:tc>
      </w:tr>
      <w:tr w:rsidR="00854DF5" w:rsidRPr="00BF2A14" w14:paraId="51612AD0" w14:textId="77777777" w:rsidTr="00BF2A14">
        <w:tc>
          <w:tcPr>
            <w:tcW w:w="0" w:type="auto"/>
            <w:vMerge w:val="restart"/>
            <w:hideMark/>
          </w:tcPr>
          <w:p w14:paraId="1D6E8CF5"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Spermatheca: Lateral chamber</w:t>
            </w:r>
          </w:p>
        </w:tc>
        <w:tc>
          <w:tcPr>
            <w:tcW w:w="0" w:type="auto"/>
            <w:hideMark/>
          </w:tcPr>
          <w:p w14:paraId="3522498D"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14:paraId="7F6C890D"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3.40 </w:t>
            </w:r>
          </w:p>
        </w:tc>
        <w:tc>
          <w:tcPr>
            <w:tcW w:w="0" w:type="auto"/>
            <w:hideMark/>
          </w:tcPr>
          <w:p w14:paraId="01D2A7F8"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3.07 </w:t>
            </w:r>
          </w:p>
        </w:tc>
        <w:tc>
          <w:tcPr>
            <w:tcW w:w="0" w:type="auto"/>
            <w:hideMark/>
          </w:tcPr>
          <w:p w14:paraId="09828C78"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2.60 </w:t>
            </w:r>
          </w:p>
        </w:tc>
        <w:tc>
          <w:tcPr>
            <w:tcW w:w="0" w:type="auto"/>
            <w:hideMark/>
          </w:tcPr>
          <w:p w14:paraId="705393FC"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2.93 </w:t>
            </w:r>
          </w:p>
        </w:tc>
      </w:tr>
      <w:tr w:rsidR="00854DF5" w:rsidRPr="00BF2A14" w14:paraId="6E5C18CE" w14:textId="77777777" w:rsidTr="00BF2A14">
        <w:tc>
          <w:tcPr>
            <w:tcW w:w="0" w:type="auto"/>
            <w:vMerge/>
            <w:hideMark/>
          </w:tcPr>
          <w:p w14:paraId="17B45D6F" w14:textId="77777777" w:rsidR="00854DF5" w:rsidRPr="00BF2A14" w:rsidRDefault="00854DF5" w:rsidP="00BF2A14">
            <w:pPr>
              <w:spacing w:line="480" w:lineRule="auto"/>
              <w:rPr>
                <w:rFonts w:ascii="Arial" w:eastAsia="Times New Roman" w:hAnsi="Arial" w:cs="Arial"/>
                <w:sz w:val="20"/>
                <w:szCs w:val="20"/>
              </w:rPr>
            </w:pPr>
          </w:p>
        </w:tc>
        <w:tc>
          <w:tcPr>
            <w:tcW w:w="0" w:type="auto"/>
            <w:hideMark/>
          </w:tcPr>
          <w:p w14:paraId="7D712611"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14:paraId="78CE4399"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3.03 </w:t>
            </w:r>
          </w:p>
        </w:tc>
        <w:tc>
          <w:tcPr>
            <w:tcW w:w="0" w:type="auto"/>
            <w:hideMark/>
          </w:tcPr>
          <w:p w14:paraId="1C04344D"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3.00 </w:t>
            </w:r>
          </w:p>
        </w:tc>
        <w:tc>
          <w:tcPr>
            <w:tcW w:w="0" w:type="auto"/>
            <w:hideMark/>
          </w:tcPr>
          <w:p w14:paraId="68574137"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2.93 </w:t>
            </w:r>
          </w:p>
        </w:tc>
        <w:tc>
          <w:tcPr>
            <w:tcW w:w="0" w:type="auto"/>
            <w:hideMark/>
          </w:tcPr>
          <w:p w14:paraId="766DD39D"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2.93 </w:t>
            </w:r>
          </w:p>
        </w:tc>
      </w:tr>
      <w:tr w:rsidR="00854DF5" w:rsidRPr="00BF2A14" w14:paraId="25425E35" w14:textId="77777777" w:rsidTr="00BF2A14">
        <w:tc>
          <w:tcPr>
            <w:tcW w:w="0" w:type="auto"/>
            <w:vMerge w:val="restart"/>
            <w:hideMark/>
          </w:tcPr>
          <w:p w14:paraId="5E3090E5"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Spermathecal gland</w:t>
            </w:r>
          </w:p>
        </w:tc>
        <w:tc>
          <w:tcPr>
            <w:tcW w:w="0" w:type="auto"/>
            <w:hideMark/>
          </w:tcPr>
          <w:p w14:paraId="083376FD"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14:paraId="39687A90"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7.10 </w:t>
            </w:r>
          </w:p>
        </w:tc>
        <w:tc>
          <w:tcPr>
            <w:tcW w:w="0" w:type="auto"/>
            <w:hideMark/>
          </w:tcPr>
          <w:p w14:paraId="7832B80E"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6.53 </w:t>
            </w:r>
          </w:p>
        </w:tc>
        <w:tc>
          <w:tcPr>
            <w:tcW w:w="0" w:type="auto"/>
            <w:hideMark/>
          </w:tcPr>
          <w:p w14:paraId="4CCBF7CE"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5.20 </w:t>
            </w:r>
          </w:p>
        </w:tc>
        <w:tc>
          <w:tcPr>
            <w:tcW w:w="0" w:type="auto"/>
            <w:hideMark/>
          </w:tcPr>
          <w:p w14:paraId="47EE8A74"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5.23 </w:t>
            </w:r>
          </w:p>
        </w:tc>
      </w:tr>
      <w:tr w:rsidR="00854DF5" w:rsidRPr="00BF2A14" w14:paraId="75115EC3" w14:textId="77777777" w:rsidTr="00BF2A14">
        <w:tc>
          <w:tcPr>
            <w:tcW w:w="0" w:type="auto"/>
            <w:vMerge/>
            <w:hideMark/>
          </w:tcPr>
          <w:p w14:paraId="7E24D777" w14:textId="77777777" w:rsidR="00854DF5" w:rsidRPr="00BF2A14" w:rsidRDefault="00854DF5" w:rsidP="00BF2A14">
            <w:pPr>
              <w:spacing w:line="480" w:lineRule="auto"/>
              <w:rPr>
                <w:rFonts w:ascii="Arial" w:eastAsia="Times New Roman" w:hAnsi="Arial" w:cs="Arial"/>
                <w:sz w:val="20"/>
                <w:szCs w:val="20"/>
              </w:rPr>
            </w:pPr>
          </w:p>
        </w:tc>
        <w:tc>
          <w:tcPr>
            <w:tcW w:w="0" w:type="auto"/>
            <w:hideMark/>
          </w:tcPr>
          <w:p w14:paraId="666AE39E"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14:paraId="2DAB1A1D"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1.53 </w:t>
            </w:r>
          </w:p>
        </w:tc>
        <w:tc>
          <w:tcPr>
            <w:tcW w:w="0" w:type="auto"/>
            <w:hideMark/>
          </w:tcPr>
          <w:p w14:paraId="18158BBA"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1.53 </w:t>
            </w:r>
          </w:p>
        </w:tc>
        <w:tc>
          <w:tcPr>
            <w:tcW w:w="0" w:type="auto"/>
            <w:hideMark/>
          </w:tcPr>
          <w:p w14:paraId="0D9E1319"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1.43 </w:t>
            </w:r>
          </w:p>
        </w:tc>
        <w:tc>
          <w:tcPr>
            <w:tcW w:w="0" w:type="auto"/>
            <w:hideMark/>
          </w:tcPr>
          <w:p w14:paraId="044F663A"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1.50 </w:t>
            </w:r>
          </w:p>
        </w:tc>
      </w:tr>
      <w:tr w:rsidR="00854DF5" w:rsidRPr="00BF2A14" w14:paraId="3159F901" w14:textId="77777777" w:rsidTr="00BF2A14">
        <w:tc>
          <w:tcPr>
            <w:tcW w:w="0" w:type="auto"/>
            <w:vMerge w:val="restart"/>
            <w:hideMark/>
          </w:tcPr>
          <w:p w14:paraId="366D58AD"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Colleterial gland/female accessory gland</w:t>
            </w:r>
          </w:p>
        </w:tc>
        <w:tc>
          <w:tcPr>
            <w:tcW w:w="0" w:type="auto"/>
            <w:hideMark/>
          </w:tcPr>
          <w:p w14:paraId="1BEFA5D0"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14:paraId="53B8E28B"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62.33 </w:t>
            </w:r>
          </w:p>
        </w:tc>
        <w:tc>
          <w:tcPr>
            <w:tcW w:w="0" w:type="auto"/>
            <w:hideMark/>
          </w:tcPr>
          <w:p w14:paraId="76D7E15C"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57.33 </w:t>
            </w:r>
          </w:p>
        </w:tc>
        <w:tc>
          <w:tcPr>
            <w:tcW w:w="0" w:type="auto"/>
            <w:hideMark/>
          </w:tcPr>
          <w:p w14:paraId="52ED71B8"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54.00 </w:t>
            </w:r>
          </w:p>
        </w:tc>
        <w:tc>
          <w:tcPr>
            <w:tcW w:w="0" w:type="auto"/>
            <w:hideMark/>
          </w:tcPr>
          <w:p w14:paraId="7A307DE0"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56.77 </w:t>
            </w:r>
          </w:p>
        </w:tc>
      </w:tr>
      <w:tr w:rsidR="00854DF5" w:rsidRPr="00BF2A14" w14:paraId="7685B878" w14:textId="77777777" w:rsidTr="00BF2A14">
        <w:tc>
          <w:tcPr>
            <w:tcW w:w="0" w:type="auto"/>
            <w:vMerge/>
            <w:hideMark/>
          </w:tcPr>
          <w:p w14:paraId="63B2744D" w14:textId="77777777" w:rsidR="00854DF5" w:rsidRPr="00BF2A14" w:rsidRDefault="00854DF5" w:rsidP="00BF2A14">
            <w:pPr>
              <w:spacing w:line="480" w:lineRule="auto"/>
              <w:rPr>
                <w:rFonts w:ascii="Arial" w:eastAsia="Times New Roman" w:hAnsi="Arial" w:cs="Arial"/>
                <w:sz w:val="20"/>
                <w:szCs w:val="20"/>
              </w:rPr>
            </w:pPr>
          </w:p>
        </w:tc>
        <w:tc>
          <w:tcPr>
            <w:tcW w:w="0" w:type="auto"/>
            <w:hideMark/>
          </w:tcPr>
          <w:p w14:paraId="50249F1D"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14:paraId="27F90004"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1.60 </w:t>
            </w:r>
          </w:p>
        </w:tc>
        <w:tc>
          <w:tcPr>
            <w:tcW w:w="0" w:type="auto"/>
            <w:hideMark/>
          </w:tcPr>
          <w:p w14:paraId="1682632F"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1.53 </w:t>
            </w:r>
          </w:p>
        </w:tc>
        <w:tc>
          <w:tcPr>
            <w:tcW w:w="0" w:type="auto"/>
            <w:hideMark/>
          </w:tcPr>
          <w:p w14:paraId="2323D1BA"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1.43 </w:t>
            </w:r>
          </w:p>
        </w:tc>
        <w:tc>
          <w:tcPr>
            <w:tcW w:w="0" w:type="auto"/>
            <w:hideMark/>
          </w:tcPr>
          <w:p w14:paraId="30318345" w14:textId="77777777"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1.53 </w:t>
            </w:r>
          </w:p>
        </w:tc>
      </w:tr>
    </w:tbl>
    <w:p w14:paraId="0302BB99" w14:textId="77777777" w:rsidR="003E1708" w:rsidRPr="00BF2A14" w:rsidRDefault="003E1708" w:rsidP="003E1708">
      <w:pPr>
        <w:spacing w:before="100" w:beforeAutospacing="1" w:after="100" w:afterAutospacing="1" w:line="240" w:lineRule="auto"/>
        <w:jc w:val="both"/>
        <w:rPr>
          <w:rFonts w:ascii="Arial" w:eastAsia="Times New Roman" w:hAnsi="Arial" w:cs="Arial"/>
          <w:sz w:val="20"/>
          <w:szCs w:val="24"/>
        </w:rPr>
      </w:pPr>
      <w:r w:rsidRPr="00BF2A14">
        <w:rPr>
          <w:rFonts w:ascii="Arial" w:hAnsi="Arial" w:cs="Arial"/>
          <w:sz w:val="20"/>
          <w:szCs w:val="24"/>
        </w:rPr>
        <w:t xml:space="preserve">Source: </w:t>
      </w:r>
      <w:r w:rsidRPr="00BF2A14">
        <w:rPr>
          <w:rFonts w:ascii="Arial" w:eastAsia="Times New Roman" w:hAnsi="Arial" w:cs="Arial"/>
          <w:sz w:val="20"/>
          <w:szCs w:val="24"/>
        </w:rPr>
        <w:t xml:space="preserve">Biswas </w:t>
      </w:r>
      <w:r w:rsidRPr="00BF2A14">
        <w:rPr>
          <w:rFonts w:ascii="Arial" w:eastAsia="Times New Roman" w:hAnsi="Arial" w:cs="Arial"/>
          <w:i/>
          <w:sz w:val="20"/>
          <w:szCs w:val="24"/>
        </w:rPr>
        <w:t>et al.</w:t>
      </w:r>
      <w:r w:rsidRPr="00BF2A14">
        <w:rPr>
          <w:rFonts w:ascii="Arial" w:eastAsia="Times New Roman" w:hAnsi="Arial" w:cs="Arial"/>
          <w:sz w:val="20"/>
          <w:szCs w:val="24"/>
        </w:rPr>
        <w:t xml:space="preserve"> (2024)</w:t>
      </w:r>
    </w:p>
    <w:p w14:paraId="1AE3948E" w14:textId="77777777" w:rsidR="00D976B7" w:rsidRPr="00D31C07" w:rsidRDefault="00D976B7" w:rsidP="00D31C07">
      <w:pPr>
        <w:spacing w:before="100" w:beforeAutospacing="1" w:after="100" w:afterAutospacing="1" w:line="240" w:lineRule="auto"/>
        <w:outlineLvl w:val="3"/>
        <w:rPr>
          <w:rFonts w:ascii="Arial" w:eastAsia="Times New Roman" w:hAnsi="Arial" w:cs="Arial"/>
          <w:b/>
          <w:bCs/>
        </w:rPr>
      </w:pPr>
      <w:r w:rsidRPr="00D31C07">
        <w:rPr>
          <w:rFonts w:ascii="Arial" w:eastAsia="Times New Roman" w:hAnsi="Arial" w:cs="Arial"/>
          <w:b/>
          <w:bCs/>
        </w:rPr>
        <w:t>2.3 Sperm Dimorphism and Seasonal Variation</w:t>
      </w:r>
    </w:p>
    <w:p w14:paraId="27C6D95E" w14:textId="77777777" w:rsidR="00D976B7" w:rsidRPr="00D31C07" w:rsidRDefault="00D976B7" w:rsidP="00D976B7">
      <w:pPr>
        <w:spacing w:before="100" w:beforeAutospacing="1" w:after="100" w:afterAutospacing="1" w:line="240" w:lineRule="auto"/>
        <w:jc w:val="both"/>
        <w:rPr>
          <w:rFonts w:ascii="Arial" w:eastAsia="Times New Roman" w:hAnsi="Arial" w:cs="Arial"/>
          <w:sz w:val="20"/>
          <w:szCs w:val="20"/>
        </w:rPr>
      </w:pPr>
      <w:r w:rsidRPr="00D31C07">
        <w:rPr>
          <w:rFonts w:ascii="Arial" w:eastAsia="Times New Roman" w:hAnsi="Arial" w:cs="Arial"/>
          <w:sz w:val="20"/>
          <w:szCs w:val="20"/>
        </w:rPr>
        <w:t xml:space="preserve">A notable contribution of Biswas </w:t>
      </w:r>
      <w:r w:rsidRPr="00D31C07">
        <w:rPr>
          <w:rFonts w:ascii="Arial" w:eastAsia="Times New Roman" w:hAnsi="Arial" w:cs="Arial"/>
          <w:i/>
          <w:sz w:val="20"/>
          <w:szCs w:val="20"/>
        </w:rPr>
        <w:t>et al.</w:t>
      </w:r>
      <w:r w:rsidRPr="00D31C07">
        <w:rPr>
          <w:rFonts w:ascii="Arial" w:eastAsia="Times New Roman" w:hAnsi="Arial" w:cs="Arial"/>
          <w:sz w:val="20"/>
          <w:szCs w:val="20"/>
        </w:rPr>
        <w:t xml:space="preserve"> (2024) was the detailed characterization of sperm dimorphism in </w:t>
      </w:r>
      <w:r w:rsidRPr="00D31C07">
        <w:rPr>
          <w:rFonts w:ascii="Arial" w:eastAsia="Times New Roman" w:hAnsi="Arial" w:cs="Arial"/>
          <w:i/>
          <w:iCs/>
          <w:sz w:val="20"/>
          <w:szCs w:val="20"/>
        </w:rPr>
        <w:t xml:space="preserve">A. </w:t>
      </w:r>
      <w:proofErr w:type="spellStart"/>
      <w:r w:rsidRPr="00D31C07">
        <w:rPr>
          <w:rFonts w:ascii="Arial" w:eastAsia="Times New Roman" w:hAnsi="Arial" w:cs="Arial"/>
          <w:i/>
          <w:iCs/>
          <w:sz w:val="20"/>
          <w:szCs w:val="20"/>
        </w:rPr>
        <w:t>assamensis</w:t>
      </w:r>
      <w:proofErr w:type="spellEnd"/>
      <w:r w:rsidRPr="00D31C07">
        <w:rPr>
          <w:rFonts w:ascii="Arial" w:eastAsia="Times New Roman" w:hAnsi="Arial" w:cs="Arial"/>
          <w:sz w:val="20"/>
          <w:szCs w:val="20"/>
        </w:rPr>
        <w:t xml:space="preserve">. Their study confirmed the presence of </w:t>
      </w:r>
      <w:proofErr w:type="spellStart"/>
      <w:r w:rsidRPr="00D31C07">
        <w:rPr>
          <w:rFonts w:ascii="Arial" w:eastAsia="Times New Roman" w:hAnsi="Arial" w:cs="Arial"/>
          <w:sz w:val="20"/>
          <w:szCs w:val="20"/>
        </w:rPr>
        <w:t>eupyrene</w:t>
      </w:r>
      <w:proofErr w:type="spellEnd"/>
      <w:r w:rsidRPr="00D31C07">
        <w:rPr>
          <w:rFonts w:ascii="Arial" w:eastAsia="Times New Roman" w:hAnsi="Arial" w:cs="Arial"/>
          <w:sz w:val="20"/>
          <w:szCs w:val="20"/>
        </w:rPr>
        <w:t xml:space="preserve"> sperm (mean length: 608 µm) and </w:t>
      </w:r>
      <w:proofErr w:type="spellStart"/>
      <w:r w:rsidRPr="00D31C07">
        <w:rPr>
          <w:rFonts w:ascii="Arial" w:eastAsia="Times New Roman" w:hAnsi="Arial" w:cs="Arial"/>
          <w:sz w:val="20"/>
          <w:szCs w:val="20"/>
        </w:rPr>
        <w:t>apyrene</w:t>
      </w:r>
      <w:proofErr w:type="spellEnd"/>
      <w:r w:rsidRPr="00D31C07">
        <w:rPr>
          <w:rFonts w:ascii="Arial" w:eastAsia="Times New Roman" w:hAnsi="Arial" w:cs="Arial"/>
          <w:sz w:val="20"/>
          <w:szCs w:val="20"/>
        </w:rPr>
        <w:t xml:space="preserve"> sperm (mean length: 401 µm), a feature widely reported in other lepidopterans (</w:t>
      </w:r>
      <w:proofErr w:type="spellStart"/>
      <w:r w:rsidRPr="00D31C07">
        <w:rPr>
          <w:rFonts w:ascii="Arial" w:eastAsia="Times New Roman" w:hAnsi="Arial" w:cs="Arial"/>
          <w:sz w:val="20"/>
          <w:szCs w:val="20"/>
        </w:rPr>
        <w:t>Omura</w:t>
      </w:r>
      <w:proofErr w:type="spellEnd"/>
      <w:r w:rsidRPr="00D31C07">
        <w:rPr>
          <w:rFonts w:ascii="Arial" w:eastAsia="Times New Roman" w:hAnsi="Arial" w:cs="Arial"/>
          <w:sz w:val="20"/>
          <w:szCs w:val="20"/>
        </w:rPr>
        <w:t xml:space="preserve">, 1936; 1938b; </w:t>
      </w:r>
      <w:proofErr w:type="spellStart"/>
      <w:r w:rsidRPr="00D31C07">
        <w:rPr>
          <w:rFonts w:ascii="Arial" w:eastAsia="Times New Roman" w:hAnsi="Arial" w:cs="Arial"/>
          <w:sz w:val="20"/>
          <w:szCs w:val="20"/>
        </w:rPr>
        <w:t>Katsuno</w:t>
      </w:r>
      <w:proofErr w:type="spellEnd"/>
      <w:r w:rsidRPr="00D31C07">
        <w:rPr>
          <w:rFonts w:ascii="Arial" w:eastAsia="Times New Roman" w:hAnsi="Arial" w:cs="Arial"/>
          <w:sz w:val="20"/>
          <w:szCs w:val="20"/>
        </w:rPr>
        <w:t xml:space="preserve">, 1978; </w:t>
      </w:r>
      <w:proofErr w:type="spellStart"/>
      <w:r w:rsidRPr="00D31C07">
        <w:rPr>
          <w:rFonts w:ascii="Arial" w:eastAsia="Times New Roman" w:hAnsi="Arial" w:cs="Arial"/>
          <w:sz w:val="20"/>
          <w:szCs w:val="20"/>
        </w:rPr>
        <w:t>Etman</w:t>
      </w:r>
      <w:proofErr w:type="spellEnd"/>
      <w:r w:rsidRPr="00D31C07">
        <w:rPr>
          <w:rFonts w:ascii="Arial" w:eastAsia="Times New Roman" w:hAnsi="Arial" w:cs="Arial"/>
          <w:sz w:val="20"/>
          <w:szCs w:val="20"/>
        </w:rPr>
        <w:t xml:space="preserve"> &amp; Hooper, 1979; </w:t>
      </w:r>
      <w:proofErr w:type="spellStart"/>
      <w:r w:rsidRPr="00D31C07">
        <w:rPr>
          <w:rFonts w:ascii="Arial" w:eastAsia="Times New Roman" w:hAnsi="Arial" w:cs="Arial"/>
          <w:sz w:val="20"/>
          <w:szCs w:val="20"/>
        </w:rPr>
        <w:t>Silberglied</w:t>
      </w:r>
      <w:proofErr w:type="spellEnd"/>
      <w:r w:rsidRPr="00D31C07">
        <w:rPr>
          <w:rFonts w:ascii="Arial" w:eastAsia="Times New Roman" w:hAnsi="Arial" w:cs="Arial"/>
          <w:sz w:val="20"/>
          <w:szCs w:val="20"/>
        </w:rPr>
        <w:t xml:space="preserve"> </w:t>
      </w:r>
      <w:r w:rsidRPr="00D31C07">
        <w:rPr>
          <w:rFonts w:ascii="Arial" w:eastAsia="Times New Roman" w:hAnsi="Arial" w:cs="Arial"/>
          <w:i/>
          <w:sz w:val="20"/>
          <w:szCs w:val="20"/>
        </w:rPr>
        <w:t>et al.,</w:t>
      </w:r>
      <w:r w:rsidRPr="00D31C07">
        <w:rPr>
          <w:rFonts w:ascii="Arial" w:eastAsia="Times New Roman" w:hAnsi="Arial" w:cs="Arial"/>
          <w:sz w:val="20"/>
          <w:szCs w:val="20"/>
        </w:rPr>
        <w:t xml:space="preserve"> 1984). In testes, both sperm types are bundled separately; however, in the seminal vesicle and duplex, while </w:t>
      </w:r>
      <w:proofErr w:type="spellStart"/>
      <w:r w:rsidRPr="00D31C07">
        <w:rPr>
          <w:rFonts w:ascii="Arial" w:eastAsia="Times New Roman" w:hAnsi="Arial" w:cs="Arial"/>
          <w:sz w:val="20"/>
          <w:szCs w:val="20"/>
        </w:rPr>
        <w:t>eupyrene</w:t>
      </w:r>
      <w:proofErr w:type="spellEnd"/>
      <w:r w:rsidRPr="00D31C07">
        <w:rPr>
          <w:rFonts w:ascii="Arial" w:eastAsia="Times New Roman" w:hAnsi="Arial" w:cs="Arial"/>
          <w:sz w:val="20"/>
          <w:szCs w:val="20"/>
        </w:rPr>
        <w:t xml:space="preserve"> sperm remain bundled, </w:t>
      </w:r>
      <w:proofErr w:type="spellStart"/>
      <w:r w:rsidRPr="00D31C07">
        <w:rPr>
          <w:rFonts w:ascii="Arial" w:eastAsia="Times New Roman" w:hAnsi="Arial" w:cs="Arial"/>
          <w:sz w:val="20"/>
          <w:szCs w:val="20"/>
        </w:rPr>
        <w:t>apyrene</w:t>
      </w:r>
      <w:proofErr w:type="spellEnd"/>
      <w:r w:rsidRPr="00D31C07">
        <w:rPr>
          <w:rFonts w:ascii="Arial" w:eastAsia="Times New Roman" w:hAnsi="Arial" w:cs="Arial"/>
          <w:sz w:val="20"/>
          <w:szCs w:val="20"/>
        </w:rPr>
        <w:t xml:space="preserve"> sperm become dispersed, a pattern mirroring that in </w:t>
      </w:r>
      <w:r w:rsidRPr="00D31C07">
        <w:rPr>
          <w:rFonts w:ascii="Arial" w:eastAsia="Times New Roman" w:hAnsi="Arial" w:cs="Arial"/>
          <w:i/>
          <w:iCs/>
          <w:sz w:val="20"/>
          <w:szCs w:val="20"/>
        </w:rPr>
        <w:t>B. mori</w:t>
      </w:r>
      <w:r w:rsidRPr="00D31C07">
        <w:rPr>
          <w:rFonts w:ascii="Arial" w:eastAsia="Times New Roman" w:hAnsi="Arial" w:cs="Arial"/>
          <w:sz w:val="20"/>
          <w:szCs w:val="20"/>
        </w:rPr>
        <w:t xml:space="preserve"> (Omura, 1938b).</w:t>
      </w:r>
    </w:p>
    <w:p w14:paraId="128DA419" w14:textId="77777777" w:rsidR="00D976B7" w:rsidRPr="00D31C07" w:rsidRDefault="00D976B7" w:rsidP="00D976B7">
      <w:pPr>
        <w:spacing w:before="100" w:beforeAutospacing="1" w:after="100" w:afterAutospacing="1" w:line="240" w:lineRule="auto"/>
        <w:jc w:val="both"/>
        <w:rPr>
          <w:rFonts w:ascii="Arial" w:eastAsia="Times New Roman" w:hAnsi="Arial" w:cs="Arial"/>
          <w:sz w:val="20"/>
          <w:szCs w:val="20"/>
        </w:rPr>
      </w:pPr>
      <w:r w:rsidRPr="00D31C07">
        <w:rPr>
          <w:rFonts w:ascii="Arial" w:eastAsia="Times New Roman" w:hAnsi="Arial" w:cs="Arial"/>
          <w:sz w:val="20"/>
          <w:szCs w:val="20"/>
        </w:rPr>
        <w:t xml:space="preserve">Importantly, Biswas </w:t>
      </w:r>
      <w:r w:rsidRPr="00D31C07">
        <w:rPr>
          <w:rFonts w:ascii="Arial" w:eastAsia="Times New Roman" w:hAnsi="Arial" w:cs="Arial"/>
          <w:i/>
          <w:sz w:val="20"/>
          <w:szCs w:val="20"/>
        </w:rPr>
        <w:t>et al.</w:t>
      </w:r>
      <w:r w:rsidRPr="00D31C07">
        <w:rPr>
          <w:rFonts w:ascii="Arial" w:eastAsia="Times New Roman" w:hAnsi="Arial" w:cs="Arial"/>
          <w:sz w:val="20"/>
          <w:szCs w:val="20"/>
        </w:rPr>
        <w:t xml:space="preserve"> (2024) observed that the quantity of both sperm types transferred during mating was significantly lower in summer than in autumn or winter. Correspondingly, reduced sperm content in the spermatheca was associated with a decline in egg fertilization and hatchability. These findings suggest that elevated ambient temperatures may impair sperm production and storage, potentially explaining seasonal declines in seed quality. While similar correlations have been drawn in </w:t>
      </w:r>
      <w:r w:rsidRPr="00D31C07">
        <w:rPr>
          <w:rFonts w:ascii="Arial" w:eastAsia="Times New Roman" w:hAnsi="Arial" w:cs="Arial"/>
          <w:i/>
          <w:iCs/>
          <w:sz w:val="20"/>
          <w:szCs w:val="20"/>
        </w:rPr>
        <w:t>B. mori</w:t>
      </w:r>
      <w:r w:rsidRPr="00D31C07">
        <w:rPr>
          <w:rFonts w:ascii="Arial" w:eastAsia="Times New Roman" w:hAnsi="Arial" w:cs="Arial"/>
          <w:sz w:val="20"/>
          <w:szCs w:val="20"/>
        </w:rPr>
        <w:t xml:space="preserve"> (Saheb </w:t>
      </w:r>
      <w:r w:rsidRPr="00D31C07">
        <w:rPr>
          <w:rFonts w:ascii="Arial" w:eastAsia="Times New Roman" w:hAnsi="Arial" w:cs="Arial"/>
          <w:i/>
          <w:sz w:val="20"/>
          <w:szCs w:val="20"/>
        </w:rPr>
        <w:t>et al.,</w:t>
      </w:r>
      <w:r w:rsidRPr="00D31C07">
        <w:rPr>
          <w:rFonts w:ascii="Arial" w:eastAsia="Times New Roman" w:hAnsi="Arial" w:cs="Arial"/>
          <w:sz w:val="20"/>
          <w:szCs w:val="20"/>
        </w:rPr>
        <w:t xml:space="preserve"> 2009; Chen </w:t>
      </w:r>
      <w:r w:rsidRPr="00D31C07">
        <w:rPr>
          <w:rFonts w:ascii="Arial" w:eastAsia="Times New Roman" w:hAnsi="Arial" w:cs="Arial"/>
          <w:i/>
          <w:sz w:val="20"/>
          <w:szCs w:val="20"/>
        </w:rPr>
        <w:t>et al.,</w:t>
      </w:r>
      <w:r w:rsidRPr="00D31C07">
        <w:rPr>
          <w:rFonts w:ascii="Arial" w:eastAsia="Times New Roman" w:hAnsi="Arial" w:cs="Arial"/>
          <w:sz w:val="20"/>
          <w:szCs w:val="20"/>
        </w:rPr>
        <w:t xml:space="preserve"> 2020), the reproductive consequences of thermal stress in </w:t>
      </w:r>
      <w:r w:rsidRPr="00D31C07">
        <w:rPr>
          <w:rFonts w:ascii="Arial" w:eastAsia="Times New Roman" w:hAnsi="Arial" w:cs="Arial"/>
          <w:i/>
          <w:iCs/>
          <w:sz w:val="20"/>
          <w:szCs w:val="20"/>
        </w:rPr>
        <w:t xml:space="preserve">A. </w:t>
      </w:r>
      <w:proofErr w:type="spellStart"/>
      <w:r w:rsidRPr="00D31C07">
        <w:rPr>
          <w:rFonts w:ascii="Arial" w:eastAsia="Times New Roman" w:hAnsi="Arial" w:cs="Arial"/>
          <w:i/>
          <w:iCs/>
          <w:sz w:val="20"/>
          <w:szCs w:val="20"/>
        </w:rPr>
        <w:t>assamensis</w:t>
      </w:r>
      <w:proofErr w:type="spellEnd"/>
      <w:r w:rsidRPr="00D31C07">
        <w:rPr>
          <w:rFonts w:ascii="Arial" w:eastAsia="Times New Roman" w:hAnsi="Arial" w:cs="Arial"/>
          <w:sz w:val="20"/>
          <w:szCs w:val="20"/>
        </w:rPr>
        <w:t xml:space="preserve"> remain insufficiently explored and warrant further investigation.</w:t>
      </w:r>
    </w:p>
    <w:p w14:paraId="5EDD085B" w14:textId="77777777" w:rsidR="00D976B7" w:rsidRPr="00D31C07" w:rsidRDefault="00D976B7" w:rsidP="00D976B7">
      <w:pPr>
        <w:spacing w:before="100" w:beforeAutospacing="1" w:after="100" w:afterAutospacing="1" w:line="240" w:lineRule="auto"/>
        <w:jc w:val="both"/>
        <w:rPr>
          <w:rFonts w:ascii="Arial" w:eastAsia="Times New Roman" w:hAnsi="Arial" w:cs="Arial"/>
          <w:sz w:val="20"/>
          <w:szCs w:val="20"/>
        </w:rPr>
      </w:pPr>
      <w:r w:rsidRPr="00D31C07">
        <w:rPr>
          <w:rFonts w:ascii="Arial" w:eastAsia="Times New Roman" w:hAnsi="Arial" w:cs="Arial"/>
          <w:sz w:val="20"/>
          <w:szCs w:val="20"/>
        </w:rPr>
        <w:t xml:space="preserve">The anatomical comparisons drawn by Biswas et al. (2024) reveal that while the male reproductive morphology of </w:t>
      </w:r>
      <w:r w:rsidRPr="00D31C07">
        <w:rPr>
          <w:rFonts w:ascii="Arial" w:eastAsia="Times New Roman" w:hAnsi="Arial" w:cs="Arial"/>
          <w:i/>
          <w:iCs/>
          <w:sz w:val="20"/>
          <w:szCs w:val="20"/>
        </w:rPr>
        <w:t xml:space="preserve">A. </w:t>
      </w:r>
      <w:proofErr w:type="spellStart"/>
      <w:r w:rsidRPr="00D31C07">
        <w:rPr>
          <w:rFonts w:ascii="Arial" w:eastAsia="Times New Roman" w:hAnsi="Arial" w:cs="Arial"/>
          <w:i/>
          <w:iCs/>
          <w:sz w:val="20"/>
          <w:szCs w:val="20"/>
        </w:rPr>
        <w:t>assamensis</w:t>
      </w:r>
      <w:proofErr w:type="spellEnd"/>
      <w:r w:rsidRPr="00D31C07">
        <w:rPr>
          <w:rFonts w:ascii="Arial" w:eastAsia="Times New Roman" w:hAnsi="Arial" w:cs="Arial"/>
          <w:sz w:val="20"/>
          <w:szCs w:val="20"/>
        </w:rPr>
        <w:t xml:space="preserve"> diverges from that of </w:t>
      </w:r>
      <w:r w:rsidRPr="00D31C07">
        <w:rPr>
          <w:rFonts w:ascii="Arial" w:eastAsia="Times New Roman" w:hAnsi="Arial" w:cs="Arial"/>
          <w:i/>
          <w:iCs/>
          <w:sz w:val="20"/>
          <w:szCs w:val="20"/>
        </w:rPr>
        <w:t>B. mori</w:t>
      </w:r>
      <w:r w:rsidRPr="00D31C07">
        <w:rPr>
          <w:rFonts w:ascii="Arial" w:eastAsia="Times New Roman" w:hAnsi="Arial" w:cs="Arial"/>
          <w:sz w:val="20"/>
          <w:szCs w:val="20"/>
        </w:rPr>
        <w:t xml:space="preserve">, it closely resembles that of </w:t>
      </w:r>
      <w:r w:rsidRPr="00D31C07">
        <w:rPr>
          <w:rFonts w:ascii="Arial" w:eastAsia="Times New Roman" w:hAnsi="Arial" w:cs="Arial"/>
          <w:i/>
          <w:iCs/>
          <w:sz w:val="20"/>
          <w:szCs w:val="20"/>
        </w:rPr>
        <w:t xml:space="preserve">A. </w:t>
      </w:r>
      <w:proofErr w:type="spellStart"/>
      <w:r w:rsidRPr="00D31C07">
        <w:rPr>
          <w:rFonts w:ascii="Arial" w:eastAsia="Times New Roman" w:hAnsi="Arial" w:cs="Arial"/>
          <w:i/>
          <w:iCs/>
          <w:sz w:val="20"/>
          <w:szCs w:val="20"/>
        </w:rPr>
        <w:t>mylitta</w:t>
      </w:r>
      <w:proofErr w:type="spellEnd"/>
      <w:r w:rsidRPr="00D31C07">
        <w:rPr>
          <w:rFonts w:ascii="Arial" w:eastAsia="Times New Roman" w:hAnsi="Arial" w:cs="Arial"/>
          <w:sz w:val="20"/>
          <w:szCs w:val="20"/>
        </w:rPr>
        <w:t xml:space="preserve"> (</w:t>
      </w:r>
      <w:proofErr w:type="spellStart"/>
      <w:r w:rsidR="00BC2561" w:rsidRPr="00D31C07">
        <w:rPr>
          <w:rFonts w:ascii="Arial" w:hAnsi="Arial" w:cs="Arial"/>
          <w:color w:val="222222"/>
          <w:sz w:val="20"/>
          <w:szCs w:val="20"/>
          <w:shd w:val="clear" w:color="auto" w:fill="FFFFFF"/>
        </w:rPr>
        <w:t>Ghonmode</w:t>
      </w:r>
      <w:proofErr w:type="spellEnd"/>
      <w:r w:rsidR="00BC2561" w:rsidRPr="00D31C07">
        <w:rPr>
          <w:rFonts w:ascii="Arial" w:eastAsia="Times New Roman" w:hAnsi="Arial" w:cs="Arial"/>
          <w:sz w:val="20"/>
          <w:szCs w:val="20"/>
        </w:rPr>
        <w:t xml:space="preserve"> 2024</w:t>
      </w:r>
      <w:r w:rsidRPr="00D31C07">
        <w:rPr>
          <w:rFonts w:ascii="Arial" w:eastAsia="Times New Roman" w:hAnsi="Arial" w:cs="Arial"/>
          <w:sz w:val="20"/>
          <w:szCs w:val="20"/>
        </w:rPr>
        <w:t xml:space="preserve">). Similarly, female reproductive structures align with those reported in other </w:t>
      </w:r>
      <w:proofErr w:type="spellStart"/>
      <w:r w:rsidRPr="00D31C07">
        <w:rPr>
          <w:rFonts w:ascii="Arial" w:eastAsia="Times New Roman" w:hAnsi="Arial" w:cs="Arial"/>
          <w:sz w:val="20"/>
          <w:szCs w:val="20"/>
        </w:rPr>
        <w:t>saturniid</w:t>
      </w:r>
      <w:proofErr w:type="spellEnd"/>
      <w:r w:rsidRPr="00D31C07">
        <w:rPr>
          <w:rFonts w:ascii="Arial" w:eastAsia="Times New Roman" w:hAnsi="Arial" w:cs="Arial"/>
          <w:sz w:val="20"/>
          <w:szCs w:val="20"/>
        </w:rPr>
        <w:t xml:space="preserve"> moths, though differences in gland morphology and nomenclature persist (Omura, 1936; 1938b).</w:t>
      </w:r>
    </w:p>
    <w:p w14:paraId="60966A84" w14:textId="77777777" w:rsidR="00D976B7" w:rsidRPr="00D31C07" w:rsidRDefault="00D976B7" w:rsidP="00D976B7">
      <w:pPr>
        <w:spacing w:before="100" w:beforeAutospacing="1" w:after="100" w:afterAutospacing="1" w:line="240" w:lineRule="auto"/>
        <w:jc w:val="both"/>
        <w:rPr>
          <w:rFonts w:ascii="Arial" w:eastAsia="Times New Roman" w:hAnsi="Arial" w:cs="Arial"/>
          <w:sz w:val="20"/>
          <w:szCs w:val="20"/>
        </w:rPr>
      </w:pPr>
      <w:r w:rsidRPr="00D31C07">
        <w:rPr>
          <w:rFonts w:ascii="Arial" w:eastAsia="Times New Roman" w:hAnsi="Arial" w:cs="Arial"/>
          <w:sz w:val="20"/>
          <w:szCs w:val="20"/>
        </w:rPr>
        <w:t xml:space="preserve">During mating, the male transfers a spermatophore into the female bursa copulatrix, containing both </w:t>
      </w:r>
      <w:proofErr w:type="spellStart"/>
      <w:r w:rsidRPr="00D31C07">
        <w:rPr>
          <w:rFonts w:ascii="Arial" w:eastAsia="Times New Roman" w:hAnsi="Arial" w:cs="Arial"/>
          <w:sz w:val="20"/>
          <w:szCs w:val="20"/>
        </w:rPr>
        <w:t>eupyrene</w:t>
      </w:r>
      <w:proofErr w:type="spellEnd"/>
      <w:r w:rsidRPr="00D31C07">
        <w:rPr>
          <w:rFonts w:ascii="Arial" w:eastAsia="Times New Roman" w:hAnsi="Arial" w:cs="Arial"/>
          <w:sz w:val="20"/>
          <w:szCs w:val="20"/>
        </w:rPr>
        <w:t xml:space="preserve"> and </w:t>
      </w:r>
      <w:proofErr w:type="spellStart"/>
      <w:r w:rsidRPr="00D31C07">
        <w:rPr>
          <w:rFonts w:ascii="Arial" w:eastAsia="Times New Roman" w:hAnsi="Arial" w:cs="Arial"/>
          <w:sz w:val="20"/>
          <w:szCs w:val="20"/>
        </w:rPr>
        <w:t>apyrene</w:t>
      </w:r>
      <w:proofErr w:type="spellEnd"/>
      <w:r w:rsidRPr="00D31C07">
        <w:rPr>
          <w:rFonts w:ascii="Arial" w:eastAsia="Times New Roman" w:hAnsi="Arial" w:cs="Arial"/>
          <w:sz w:val="20"/>
          <w:szCs w:val="20"/>
        </w:rPr>
        <w:t xml:space="preserve"> sperm, along with accessory gland secretions (Norris, 1933; Omura, 1938a; Etman &amp; Hooper, 1979). Within </w:t>
      </w:r>
      <w:proofErr w:type="gramStart"/>
      <w:r w:rsidRPr="00D31C07">
        <w:rPr>
          <w:rFonts w:ascii="Arial" w:eastAsia="Times New Roman" w:hAnsi="Arial" w:cs="Arial"/>
          <w:sz w:val="20"/>
          <w:szCs w:val="20"/>
        </w:rPr>
        <w:t>one hour</w:t>
      </w:r>
      <w:proofErr w:type="gramEnd"/>
      <w:r w:rsidRPr="00D31C07">
        <w:rPr>
          <w:rFonts w:ascii="Arial" w:eastAsia="Times New Roman" w:hAnsi="Arial" w:cs="Arial"/>
          <w:sz w:val="20"/>
          <w:szCs w:val="20"/>
        </w:rPr>
        <w:t xml:space="preserve"> post-mating, both sperm types were observed in the spermatheca. The role of </w:t>
      </w:r>
      <w:proofErr w:type="spellStart"/>
      <w:r w:rsidRPr="00D31C07">
        <w:rPr>
          <w:rFonts w:ascii="Arial" w:eastAsia="Times New Roman" w:hAnsi="Arial" w:cs="Arial"/>
          <w:sz w:val="20"/>
          <w:szCs w:val="20"/>
        </w:rPr>
        <w:t>apyrene</w:t>
      </w:r>
      <w:proofErr w:type="spellEnd"/>
      <w:r w:rsidRPr="00D31C07">
        <w:rPr>
          <w:rFonts w:ascii="Arial" w:eastAsia="Times New Roman" w:hAnsi="Arial" w:cs="Arial"/>
          <w:sz w:val="20"/>
          <w:szCs w:val="20"/>
        </w:rPr>
        <w:t xml:space="preserve"> sperm in assisting fertilization, although not yet fully elucidated, is considered indispensable. As shown in </w:t>
      </w:r>
      <w:r w:rsidRPr="00D31C07">
        <w:rPr>
          <w:rFonts w:ascii="Arial" w:eastAsia="Times New Roman" w:hAnsi="Arial" w:cs="Arial"/>
          <w:i/>
          <w:iCs/>
          <w:sz w:val="20"/>
          <w:szCs w:val="20"/>
        </w:rPr>
        <w:t>B. mori</w:t>
      </w:r>
      <w:r w:rsidRPr="00D31C07">
        <w:rPr>
          <w:rFonts w:ascii="Arial" w:eastAsia="Times New Roman" w:hAnsi="Arial" w:cs="Arial"/>
          <w:sz w:val="20"/>
          <w:szCs w:val="20"/>
        </w:rPr>
        <w:t xml:space="preserve"> by </w:t>
      </w:r>
      <w:proofErr w:type="spellStart"/>
      <w:r w:rsidRPr="00D31C07">
        <w:rPr>
          <w:rFonts w:ascii="Arial" w:eastAsia="Times New Roman" w:hAnsi="Arial" w:cs="Arial"/>
          <w:sz w:val="20"/>
          <w:szCs w:val="20"/>
        </w:rPr>
        <w:t>Omura</w:t>
      </w:r>
      <w:proofErr w:type="spellEnd"/>
      <w:r w:rsidRPr="00D31C07">
        <w:rPr>
          <w:rFonts w:ascii="Arial" w:eastAsia="Times New Roman" w:hAnsi="Arial" w:cs="Arial"/>
          <w:sz w:val="20"/>
          <w:szCs w:val="20"/>
        </w:rPr>
        <w:t xml:space="preserve"> (1938a) and </w:t>
      </w:r>
      <w:proofErr w:type="spellStart"/>
      <w:r w:rsidRPr="00D31C07">
        <w:rPr>
          <w:rFonts w:ascii="Arial" w:eastAsia="Times New Roman" w:hAnsi="Arial" w:cs="Arial"/>
          <w:sz w:val="20"/>
          <w:szCs w:val="20"/>
        </w:rPr>
        <w:t>Karube</w:t>
      </w:r>
      <w:proofErr w:type="spellEnd"/>
      <w:r w:rsidRPr="00D31C07">
        <w:rPr>
          <w:rFonts w:ascii="Arial" w:eastAsia="Times New Roman" w:hAnsi="Arial" w:cs="Arial"/>
          <w:sz w:val="20"/>
          <w:szCs w:val="20"/>
        </w:rPr>
        <w:t xml:space="preserve"> &amp; Kobayashi (1999), fertilization takes place in the vestibulum, where stored sperm migrate downward. A reduction in </w:t>
      </w:r>
      <w:proofErr w:type="spellStart"/>
      <w:r w:rsidRPr="00D31C07">
        <w:rPr>
          <w:rFonts w:ascii="Arial" w:eastAsia="Times New Roman" w:hAnsi="Arial" w:cs="Arial"/>
          <w:sz w:val="20"/>
          <w:szCs w:val="20"/>
        </w:rPr>
        <w:t>eupyrene</w:t>
      </w:r>
      <w:proofErr w:type="spellEnd"/>
      <w:r w:rsidRPr="00D31C07">
        <w:rPr>
          <w:rFonts w:ascii="Arial" w:eastAsia="Times New Roman" w:hAnsi="Arial" w:cs="Arial"/>
          <w:sz w:val="20"/>
          <w:szCs w:val="20"/>
        </w:rPr>
        <w:t xml:space="preserve"> sperm storage, as noted in summer by Biswas </w:t>
      </w:r>
      <w:r w:rsidRPr="00D31C07">
        <w:rPr>
          <w:rFonts w:ascii="Arial" w:eastAsia="Times New Roman" w:hAnsi="Arial" w:cs="Arial"/>
          <w:i/>
          <w:sz w:val="20"/>
          <w:szCs w:val="20"/>
        </w:rPr>
        <w:t>et al.</w:t>
      </w:r>
      <w:r w:rsidRPr="00D31C07">
        <w:rPr>
          <w:rFonts w:ascii="Arial" w:eastAsia="Times New Roman" w:hAnsi="Arial" w:cs="Arial"/>
          <w:sz w:val="20"/>
          <w:szCs w:val="20"/>
        </w:rPr>
        <w:t xml:space="preserve"> (2024), may directly contribute to poor fertilization outcomes in </w:t>
      </w:r>
      <w:proofErr w:type="spellStart"/>
      <w:r w:rsidRPr="00D31C07">
        <w:rPr>
          <w:rFonts w:ascii="Arial" w:eastAsia="Times New Roman" w:hAnsi="Arial" w:cs="Arial"/>
          <w:sz w:val="20"/>
          <w:szCs w:val="20"/>
        </w:rPr>
        <w:t>grainage</w:t>
      </w:r>
      <w:proofErr w:type="spellEnd"/>
      <w:r w:rsidRPr="00D31C07">
        <w:rPr>
          <w:rFonts w:ascii="Arial" w:eastAsia="Times New Roman" w:hAnsi="Arial" w:cs="Arial"/>
          <w:sz w:val="20"/>
          <w:szCs w:val="20"/>
        </w:rPr>
        <w:t xml:space="preserve"> operations.</w:t>
      </w:r>
    </w:p>
    <w:p w14:paraId="05813388" w14:textId="77777777" w:rsidR="004121C9" w:rsidRPr="00D31C07" w:rsidRDefault="00D31C07" w:rsidP="00734D95">
      <w:pPr>
        <w:pStyle w:val="NormalWeb"/>
        <w:rPr>
          <w:rFonts w:ascii="Arial" w:hAnsi="Arial" w:cs="Arial"/>
          <w:sz w:val="22"/>
        </w:rPr>
      </w:pPr>
      <w:r w:rsidRPr="00D31C07">
        <w:rPr>
          <w:rStyle w:val="Strong"/>
          <w:rFonts w:ascii="Arial" w:hAnsi="Arial" w:cs="Arial"/>
          <w:sz w:val="22"/>
        </w:rPr>
        <w:t xml:space="preserve">3. </w:t>
      </w:r>
      <w:r w:rsidRPr="00D31C07">
        <w:rPr>
          <w:rFonts w:ascii="Arial" w:hAnsi="Arial" w:cs="Arial"/>
          <w:b/>
          <w:bCs/>
          <w:sz w:val="22"/>
        </w:rPr>
        <w:t xml:space="preserve">HORMONAL </w:t>
      </w:r>
      <w:r w:rsidRPr="00D31C07">
        <w:rPr>
          <w:rStyle w:val="Strong"/>
          <w:rFonts w:ascii="Arial" w:hAnsi="Arial" w:cs="Arial"/>
          <w:sz w:val="22"/>
        </w:rPr>
        <w:t>REGULATION OF REPRODUCTION</w:t>
      </w:r>
      <w:r w:rsidRPr="00D31C07">
        <w:rPr>
          <w:rFonts w:ascii="Arial" w:hAnsi="Arial" w:cs="Arial"/>
          <w:sz w:val="22"/>
        </w:rPr>
        <w:t xml:space="preserve"> </w:t>
      </w:r>
    </w:p>
    <w:p w14:paraId="48A29942" w14:textId="77777777" w:rsidR="004121C9" w:rsidRPr="00D31C07" w:rsidRDefault="004121C9" w:rsidP="004121C9">
      <w:pPr>
        <w:pStyle w:val="NormalWeb"/>
        <w:jc w:val="both"/>
        <w:rPr>
          <w:rFonts w:ascii="Arial" w:hAnsi="Arial" w:cs="Arial"/>
          <w:sz w:val="20"/>
          <w:szCs w:val="20"/>
        </w:rPr>
      </w:pPr>
      <w:r w:rsidRPr="00D31C07">
        <w:rPr>
          <w:rFonts w:ascii="Arial" w:hAnsi="Arial" w:cs="Arial"/>
          <w:sz w:val="20"/>
          <w:szCs w:val="20"/>
        </w:rPr>
        <w:t xml:space="preserve">Reproduction in insects is intricately regulated by endocrine mechanisms involving </w:t>
      </w:r>
      <w:proofErr w:type="spellStart"/>
      <w:r w:rsidRPr="00D31C07">
        <w:rPr>
          <w:rFonts w:ascii="Arial" w:hAnsi="Arial" w:cs="Arial"/>
          <w:sz w:val="20"/>
          <w:szCs w:val="20"/>
        </w:rPr>
        <w:t>ecdysteroids</w:t>
      </w:r>
      <w:proofErr w:type="spellEnd"/>
      <w:r w:rsidRPr="00D31C07">
        <w:rPr>
          <w:rFonts w:ascii="Arial" w:hAnsi="Arial" w:cs="Arial"/>
          <w:sz w:val="20"/>
          <w:szCs w:val="20"/>
        </w:rPr>
        <w:t xml:space="preserve"> and juvenile hormones (JHs), which coordinate developmental transitions, including larval growth, metamorphosis, and reproductive maturation (Soin </w:t>
      </w:r>
      <w:r w:rsidRPr="00D31C07">
        <w:rPr>
          <w:rFonts w:ascii="Arial" w:hAnsi="Arial" w:cs="Arial"/>
          <w:i/>
          <w:sz w:val="20"/>
          <w:szCs w:val="20"/>
        </w:rPr>
        <w:t>et al.,</w:t>
      </w:r>
      <w:r w:rsidRPr="00D31C07">
        <w:rPr>
          <w:rFonts w:ascii="Arial" w:hAnsi="Arial" w:cs="Arial"/>
          <w:sz w:val="20"/>
          <w:szCs w:val="20"/>
        </w:rPr>
        <w:t xml:space="preserve"> 2008). These hormones play key roles in vitellogenesis, oocyte development, and yolk deposition across diverse insect taxa (Wigglesworth, 1936; Joly, 1945; Pfeiffer, 1945; Scharrer, 1946; Thomson, 1952; De Loof &amp; De Wilde, 1970; Bell &amp; Barth, 1971).</w:t>
      </w:r>
    </w:p>
    <w:p w14:paraId="20DE634D" w14:textId="77777777" w:rsidR="004121C9" w:rsidRPr="00D31C07" w:rsidRDefault="004121C9" w:rsidP="004121C9">
      <w:pPr>
        <w:pStyle w:val="NormalWeb"/>
        <w:jc w:val="both"/>
        <w:rPr>
          <w:rFonts w:ascii="Arial" w:hAnsi="Arial" w:cs="Arial"/>
          <w:sz w:val="20"/>
          <w:szCs w:val="20"/>
        </w:rPr>
      </w:pPr>
      <w:r w:rsidRPr="00D31C07">
        <w:rPr>
          <w:rFonts w:ascii="Arial" w:hAnsi="Arial" w:cs="Arial"/>
          <w:sz w:val="20"/>
          <w:szCs w:val="20"/>
        </w:rPr>
        <w:t xml:space="preserve">In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a species with inherently low fecundity and frequent egg retention, hormonal regulation appears central to improving reproductive performance, especially under seed production constraints. Neog </w:t>
      </w:r>
      <w:r w:rsidRPr="00D31C07">
        <w:rPr>
          <w:rFonts w:ascii="Arial" w:hAnsi="Arial" w:cs="Arial"/>
          <w:i/>
          <w:sz w:val="20"/>
          <w:szCs w:val="20"/>
        </w:rPr>
        <w:t>et al.</w:t>
      </w:r>
      <w:r w:rsidRPr="00D31C07">
        <w:rPr>
          <w:rFonts w:ascii="Arial" w:hAnsi="Arial" w:cs="Arial"/>
          <w:sz w:val="20"/>
          <w:szCs w:val="20"/>
        </w:rPr>
        <w:t xml:space="preserve"> (2014) conducted a critical investigation into the effects of two major juvenile </w:t>
      </w:r>
      <w:r w:rsidRPr="00D31C07">
        <w:rPr>
          <w:rFonts w:ascii="Arial" w:hAnsi="Arial" w:cs="Arial"/>
          <w:sz w:val="20"/>
          <w:szCs w:val="20"/>
        </w:rPr>
        <w:lastRenderedPageBreak/>
        <w:t xml:space="preserve">hormones, juvenile hormone III (JH-III) and 20-hydroxyecdysone (20-E) on the reproductive physiology and rearing performance of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Their study revealed that topical application of JH-III (10 </w:t>
      </w:r>
      <w:proofErr w:type="spellStart"/>
      <w:r w:rsidRPr="00D31C07">
        <w:rPr>
          <w:rFonts w:ascii="Arial" w:hAnsi="Arial" w:cs="Arial"/>
          <w:sz w:val="20"/>
          <w:szCs w:val="20"/>
        </w:rPr>
        <w:t>μg</w:t>
      </w:r>
      <w:proofErr w:type="spellEnd"/>
      <w:r w:rsidRPr="00D31C07">
        <w:rPr>
          <w:rFonts w:ascii="Arial" w:hAnsi="Arial" w:cs="Arial"/>
          <w:sz w:val="20"/>
          <w:szCs w:val="20"/>
        </w:rPr>
        <w:t>) and 20-E (15 </w:t>
      </w:r>
      <w:proofErr w:type="spellStart"/>
      <w:r w:rsidRPr="00D31C07">
        <w:rPr>
          <w:rFonts w:ascii="Arial" w:hAnsi="Arial" w:cs="Arial"/>
          <w:sz w:val="20"/>
          <w:szCs w:val="20"/>
        </w:rPr>
        <w:t>μg</w:t>
      </w:r>
      <w:proofErr w:type="spellEnd"/>
      <w:r w:rsidRPr="00D31C07">
        <w:rPr>
          <w:rFonts w:ascii="Arial" w:hAnsi="Arial" w:cs="Arial"/>
          <w:sz w:val="20"/>
          <w:szCs w:val="20"/>
        </w:rPr>
        <w:t>) significantly enhanced multiple reproductive traits compared to controls. Notably, 20-E treatment led to reduced fifth instar larval duration, improved cocoon formation (79%), and the highest pupal and shell weights (6.61 g and 0.58 g, respectively). JH-III also improved these traits, albeit to a slightly lesser degree, and was found to increase larval duration by one to two days.</w:t>
      </w:r>
    </w:p>
    <w:p w14:paraId="0E945126" w14:textId="77777777" w:rsidR="004121C9" w:rsidRPr="00D31C07" w:rsidRDefault="004121C9" w:rsidP="004121C9">
      <w:pPr>
        <w:pStyle w:val="NormalWeb"/>
        <w:jc w:val="both"/>
        <w:rPr>
          <w:rFonts w:ascii="Arial" w:hAnsi="Arial" w:cs="Arial"/>
          <w:sz w:val="20"/>
          <w:szCs w:val="20"/>
        </w:rPr>
      </w:pPr>
      <w:r w:rsidRPr="00D31C07">
        <w:rPr>
          <w:rFonts w:ascii="Arial" w:hAnsi="Arial" w:cs="Arial"/>
          <w:sz w:val="20"/>
          <w:szCs w:val="20"/>
        </w:rPr>
        <w:t>Fecundity was markedly improved under both hormonal treatments</w:t>
      </w:r>
      <w:r w:rsidR="00F22F54" w:rsidRPr="00D31C07">
        <w:rPr>
          <w:rFonts w:ascii="Arial" w:hAnsi="Arial" w:cs="Arial"/>
          <w:sz w:val="20"/>
          <w:szCs w:val="20"/>
        </w:rPr>
        <w:t xml:space="preserve"> (Table 2)</w:t>
      </w:r>
      <w:r w:rsidRPr="00D31C07">
        <w:rPr>
          <w:rFonts w:ascii="Arial" w:hAnsi="Arial" w:cs="Arial"/>
          <w:sz w:val="20"/>
          <w:szCs w:val="20"/>
        </w:rPr>
        <w:t xml:space="preserve">. Neog et al. (2014) reported increased egg-laying (150–166 eggs per female moth) compared to untreated controls (100–115 eggs). Moreover, egg retention, a persistent problem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was substantially reduced following hormone application, with 20-E yielding the lowest average retained egg count (13.44), followed by JH-III. Vitellogenin synthesis in pupal tissues, pharate adults, normal eggs, and retained eggs was also elevated under hormonal influence. Ovarian length in treated pupae increased significantly (9.63 cm for 20-E and </w:t>
      </w:r>
      <w:proofErr w:type="gramStart"/>
      <w:r w:rsidRPr="00D31C07">
        <w:rPr>
          <w:rFonts w:ascii="Arial" w:hAnsi="Arial" w:cs="Arial"/>
          <w:sz w:val="20"/>
          <w:szCs w:val="20"/>
        </w:rPr>
        <w:t>9.31  cm</w:t>
      </w:r>
      <w:proofErr w:type="gramEnd"/>
      <w:r w:rsidRPr="00D31C07">
        <w:rPr>
          <w:rFonts w:ascii="Arial" w:hAnsi="Arial" w:cs="Arial"/>
          <w:sz w:val="20"/>
          <w:szCs w:val="20"/>
        </w:rPr>
        <w:t xml:space="preserve"> for JH-III), compared to controls (8.65 cm), suggesting enhanced ovarian development. In addition to hormonal effects on internal physiology, Neog </w:t>
      </w:r>
      <w:r w:rsidRPr="00D31C07">
        <w:rPr>
          <w:rFonts w:ascii="Arial" w:hAnsi="Arial" w:cs="Arial"/>
          <w:i/>
          <w:sz w:val="20"/>
          <w:szCs w:val="20"/>
        </w:rPr>
        <w:t>et al</w:t>
      </w:r>
      <w:r w:rsidRPr="00D31C07">
        <w:rPr>
          <w:rFonts w:ascii="Arial" w:hAnsi="Arial" w:cs="Arial"/>
          <w:sz w:val="20"/>
          <w:szCs w:val="20"/>
        </w:rPr>
        <w:t xml:space="preserve">. (2014) studied the ultrastructure of the brain and ovaries in larvae and pupae subjected to hormone treatments, identifying neuroendocrine regulation as a critical factor governing reproductive output. The presence of corpus </w:t>
      </w:r>
      <w:proofErr w:type="spellStart"/>
      <w:r w:rsidRPr="00D31C07">
        <w:rPr>
          <w:rFonts w:ascii="Arial" w:hAnsi="Arial" w:cs="Arial"/>
          <w:sz w:val="20"/>
          <w:szCs w:val="20"/>
        </w:rPr>
        <w:t>allatum</w:t>
      </w:r>
      <w:proofErr w:type="spellEnd"/>
      <w:r w:rsidRPr="00D31C07">
        <w:rPr>
          <w:rFonts w:ascii="Arial" w:hAnsi="Arial" w:cs="Arial"/>
          <w:sz w:val="20"/>
          <w:szCs w:val="20"/>
        </w:rPr>
        <w:t xml:space="preserve"> (CA) and its secretion of JH are known to be essential for yolk formation and ovarian maturation in multiple insect species (Wigglesworth, 1936; Bell &amp; Barth, 1971), and similar processes appear to operate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w:t>
      </w:r>
    </w:p>
    <w:p w14:paraId="6AF9DFEA" w14:textId="77777777" w:rsidR="004121C9" w:rsidRPr="00D31C07" w:rsidRDefault="004121C9" w:rsidP="004121C9">
      <w:pPr>
        <w:pStyle w:val="NormalWeb"/>
        <w:jc w:val="both"/>
        <w:rPr>
          <w:rFonts w:ascii="Arial" w:hAnsi="Arial" w:cs="Arial"/>
          <w:sz w:val="20"/>
          <w:szCs w:val="20"/>
        </w:rPr>
      </w:pPr>
      <w:r w:rsidRPr="00D31C07">
        <w:rPr>
          <w:rFonts w:ascii="Arial" w:hAnsi="Arial" w:cs="Arial"/>
          <w:sz w:val="20"/>
          <w:szCs w:val="20"/>
        </w:rPr>
        <w:t xml:space="preserve">Supporting evidence from other lepidopteran studies further reinforces the utility of hormone analogs in reproductive enhancement. Methoprene, a juvenile hormone analog, has been shown to improve fecundity in </w:t>
      </w:r>
      <w:r w:rsidRPr="00D31C07">
        <w:rPr>
          <w:rStyle w:val="Emphasis"/>
          <w:rFonts w:ascii="Arial" w:hAnsi="Arial" w:cs="Arial"/>
          <w:sz w:val="20"/>
          <w:szCs w:val="20"/>
        </w:rPr>
        <w:t>Bombyx mori</w:t>
      </w:r>
      <w:r w:rsidRPr="00D31C07">
        <w:rPr>
          <w:rFonts w:ascii="Arial" w:hAnsi="Arial" w:cs="Arial"/>
          <w:sz w:val="20"/>
          <w:szCs w:val="20"/>
        </w:rPr>
        <w:t xml:space="preserve"> and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yamamai</w:t>
      </w:r>
      <w:proofErr w:type="spellEnd"/>
      <w:r w:rsidRPr="00D31C07">
        <w:rPr>
          <w:rFonts w:ascii="Arial" w:hAnsi="Arial" w:cs="Arial"/>
          <w:sz w:val="20"/>
          <w:szCs w:val="20"/>
        </w:rPr>
        <w:t xml:space="preserve"> through various methods of application including topical spray and leaf immersion (</w:t>
      </w:r>
      <w:proofErr w:type="spellStart"/>
      <w:r w:rsidRPr="00D31C07">
        <w:rPr>
          <w:rFonts w:ascii="Arial" w:hAnsi="Arial" w:cs="Arial"/>
          <w:sz w:val="20"/>
          <w:szCs w:val="20"/>
        </w:rPr>
        <w:t>Gaboud</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1985; </w:t>
      </w:r>
      <w:r w:rsidR="0017499B" w:rsidRPr="00D31C07">
        <w:rPr>
          <w:rFonts w:ascii="Arial" w:hAnsi="Arial" w:cs="Arial"/>
          <w:sz w:val="20"/>
          <w:szCs w:val="20"/>
        </w:rPr>
        <w:t xml:space="preserve">Ye </w:t>
      </w:r>
      <w:proofErr w:type="spellStart"/>
      <w:r w:rsidRPr="00D31C07">
        <w:rPr>
          <w:rFonts w:ascii="Arial" w:hAnsi="Arial" w:cs="Arial"/>
          <w:sz w:val="20"/>
          <w:szCs w:val="20"/>
        </w:rPr>
        <w:t>Gong</w:t>
      </w:r>
      <w:r w:rsidR="0017499B" w:rsidRPr="00D31C07">
        <w:rPr>
          <w:rFonts w:ascii="Arial" w:hAnsi="Arial" w:cs="Arial"/>
          <w:sz w:val="20"/>
          <w:szCs w:val="20"/>
        </w:rPr>
        <w:t>Y</w:t>
      </w:r>
      <w:r w:rsidRPr="00D31C07">
        <w:rPr>
          <w:rFonts w:ascii="Arial" w:hAnsi="Arial" w:cs="Arial"/>
          <w:sz w:val="20"/>
          <w:szCs w:val="20"/>
        </w:rPr>
        <w:t>in</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1999). </w:t>
      </w:r>
      <w:proofErr w:type="spellStart"/>
      <w:r w:rsidRPr="00D31C07">
        <w:rPr>
          <w:rFonts w:ascii="Arial" w:hAnsi="Arial" w:cs="Arial"/>
          <w:sz w:val="20"/>
          <w:szCs w:val="20"/>
        </w:rPr>
        <w:t>Changamma</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(2000) demonstrated increased reproductive organ weights and fecundity in </w:t>
      </w:r>
      <w:r w:rsidRPr="00D31C07">
        <w:rPr>
          <w:rStyle w:val="Emphasis"/>
          <w:rFonts w:ascii="Arial" w:hAnsi="Arial" w:cs="Arial"/>
          <w:sz w:val="20"/>
          <w:szCs w:val="20"/>
        </w:rPr>
        <w:t>B. mori</w:t>
      </w:r>
      <w:r w:rsidRPr="00D31C07">
        <w:rPr>
          <w:rFonts w:ascii="Arial" w:hAnsi="Arial" w:cs="Arial"/>
          <w:sz w:val="20"/>
          <w:szCs w:val="20"/>
        </w:rPr>
        <w:t xml:space="preserve"> after </w:t>
      </w:r>
      <w:proofErr w:type="spellStart"/>
      <w:r w:rsidRPr="00D31C07">
        <w:rPr>
          <w:rFonts w:ascii="Arial" w:hAnsi="Arial" w:cs="Arial"/>
          <w:sz w:val="20"/>
          <w:szCs w:val="20"/>
        </w:rPr>
        <w:t>methoprene</w:t>
      </w:r>
      <w:proofErr w:type="spellEnd"/>
      <w:r w:rsidRPr="00D31C07">
        <w:rPr>
          <w:rFonts w:ascii="Arial" w:hAnsi="Arial" w:cs="Arial"/>
          <w:sz w:val="20"/>
          <w:szCs w:val="20"/>
        </w:rPr>
        <w:t xml:space="preserve"> treatment during the fifth instar. Similarly, Miranda </w:t>
      </w:r>
      <w:r w:rsidRPr="00D31C07">
        <w:rPr>
          <w:rFonts w:ascii="Arial" w:hAnsi="Arial" w:cs="Arial"/>
          <w:i/>
          <w:sz w:val="20"/>
          <w:szCs w:val="20"/>
        </w:rPr>
        <w:t>et al.</w:t>
      </w:r>
      <w:r w:rsidRPr="00D31C07">
        <w:rPr>
          <w:rFonts w:ascii="Arial" w:hAnsi="Arial" w:cs="Arial"/>
          <w:sz w:val="20"/>
          <w:szCs w:val="20"/>
        </w:rPr>
        <w:t xml:space="preserve"> (2002) found that </w:t>
      </w:r>
      <w:proofErr w:type="spellStart"/>
      <w:r w:rsidRPr="00D31C07">
        <w:rPr>
          <w:rFonts w:ascii="Arial" w:hAnsi="Arial" w:cs="Arial"/>
          <w:sz w:val="20"/>
          <w:szCs w:val="20"/>
        </w:rPr>
        <w:t>methoprene</w:t>
      </w:r>
      <w:proofErr w:type="spellEnd"/>
      <w:r w:rsidRPr="00D31C07">
        <w:rPr>
          <w:rFonts w:ascii="Arial" w:hAnsi="Arial" w:cs="Arial"/>
          <w:sz w:val="20"/>
          <w:szCs w:val="20"/>
        </w:rPr>
        <w:t xml:space="preserve"> prolonged fifth instar duration and significantly increased body weight.</w:t>
      </w:r>
    </w:p>
    <w:p w14:paraId="0F100E4B" w14:textId="77777777" w:rsidR="004121C9" w:rsidRPr="00D31C07" w:rsidRDefault="004121C9" w:rsidP="004121C9">
      <w:pPr>
        <w:pStyle w:val="NormalWeb"/>
        <w:jc w:val="both"/>
        <w:rPr>
          <w:rFonts w:ascii="Arial" w:hAnsi="Arial" w:cs="Arial"/>
          <w:sz w:val="20"/>
          <w:szCs w:val="20"/>
        </w:rPr>
      </w:pPr>
      <w:r w:rsidRPr="00D31C07">
        <w:rPr>
          <w:rFonts w:ascii="Arial" w:hAnsi="Arial" w:cs="Arial"/>
          <w:sz w:val="20"/>
          <w:szCs w:val="20"/>
        </w:rPr>
        <w:t xml:space="preserve">In a subsequent field study, Neog </w:t>
      </w:r>
      <w:r w:rsidRPr="00D31C07">
        <w:rPr>
          <w:rFonts w:ascii="Arial" w:hAnsi="Arial" w:cs="Arial"/>
          <w:i/>
          <w:sz w:val="20"/>
          <w:szCs w:val="20"/>
        </w:rPr>
        <w:t>et al.</w:t>
      </w:r>
      <w:r w:rsidRPr="00D31C07">
        <w:rPr>
          <w:rFonts w:ascii="Arial" w:hAnsi="Arial" w:cs="Arial"/>
          <w:sz w:val="20"/>
          <w:szCs w:val="20"/>
        </w:rPr>
        <w:t xml:space="preserve"> (2017) evaluated </w:t>
      </w:r>
      <w:proofErr w:type="spellStart"/>
      <w:r w:rsidRPr="00D31C07">
        <w:rPr>
          <w:rFonts w:ascii="Arial" w:hAnsi="Arial" w:cs="Arial"/>
          <w:sz w:val="20"/>
          <w:szCs w:val="20"/>
        </w:rPr>
        <w:t>methoprene</w:t>
      </w:r>
      <w:proofErr w:type="spellEnd"/>
      <w:r w:rsidRPr="00D31C07">
        <w:rPr>
          <w:rFonts w:ascii="Arial" w:hAnsi="Arial" w:cs="Arial"/>
          <w:sz w:val="20"/>
          <w:szCs w:val="20"/>
        </w:rPr>
        <w:t xml:space="preserve"> application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under commercial conditions and observed substantial improvements in reproductive parameters. Treated female moths exhibited higher fecundity (184 eggs/female) compared to controls (135 eggs/female), and the proportion of viable (valid) females was increased during both Katia (48.01% vs. 39.65%) and </w:t>
      </w:r>
      <w:proofErr w:type="spellStart"/>
      <w:r w:rsidRPr="00D31C07">
        <w:rPr>
          <w:rFonts w:ascii="Arial" w:hAnsi="Arial" w:cs="Arial"/>
          <w:sz w:val="20"/>
          <w:szCs w:val="20"/>
        </w:rPr>
        <w:t>Aherua</w:t>
      </w:r>
      <w:proofErr w:type="spellEnd"/>
      <w:r w:rsidRPr="00D31C07">
        <w:rPr>
          <w:rFonts w:ascii="Arial" w:hAnsi="Arial" w:cs="Arial"/>
          <w:sz w:val="20"/>
          <w:szCs w:val="20"/>
        </w:rPr>
        <w:t xml:space="preserve"> (44.19% vs. 36.58%) generations.</w:t>
      </w:r>
    </w:p>
    <w:p w14:paraId="76011781" w14:textId="77777777" w:rsidR="004121C9" w:rsidRPr="00D31C07" w:rsidRDefault="004121C9" w:rsidP="004121C9">
      <w:pPr>
        <w:pStyle w:val="NormalWeb"/>
        <w:jc w:val="both"/>
        <w:rPr>
          <w:rFonts w:ascii="Arial" w:hAnsi="Arial" w:cs="Arial"/>
          <w:sz w:val="20"/>
          <w:szCs w:val="20"/>
        </w:rPr>
      </w:pPr>
      <w:r w:rsidRPr="00D31C07">
        <w:rPr>
          <w:rFonts w:ascii="Arial" w:hAnsi="Arial" w:cs="Arial"/>
          <w:sz w:val="20"/>
          <w:szCs w:val="20"/>
        </w:rPr>
        <w:t xml:space="preserve">Collectively, these findings suggest that exogenous application of hormonal regulators such as JH-III, 20-E, and </w:t>
      </w:r>
      <w:proofErr w:type="spellStart"/>
      <w:r w:rsidRPr="00D31C07">
        <w:rPr>
          <w:rFonts w:ascii="Arial" w:hAnsi="Arial" w:cs="Arial"/>
          <w:sz w:val="20"/>
          <w:szCs w:val="20"/>
        </w:rPr>
        <w:t>methoprene</w:t>
      </w:r>
      <w:proofErr w:type="spellEnd"/>
      <w:r w:rsidRPr="00D31C07">
        <w:rPr>
          <w:rFonts w:ascii="Arial" w:hAnsi="Arial" w:cs="Arial"/>
          <w:sz w:val="20"/>
          <w:szCs w:val="20"/>
        </w:rPr>
        <w:t xml:space="preserve"> can serve as effective tools for enhancing seed production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Given that limited fecundity and egg retention remain major bottlenecks in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seed production (</w:t>
      </w:r>
      <w:proofErr w:type="spellStart"/>
      <w:r w:rsidRPr="00D31C07">
        <w:rPr>
          <w:rFonts w:ascii="Arial" w:hAnsi="Arial" w:cs="Arial"/>
          <w:sz w:val="20"/>
          <w:szCs w:val="20"/>
        </w:rPr>
        <w:t>Neog</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2014), hormonal intervention represents a promising strategy to improve reproductive output and stabilize supply for commercial rearing. However, further research is needed to elucidate the long-term physiological impacts of such treatments and to optimize dosages across seasons and developmental stages.</w:t>
      </w:r>
    </w:p>
    <w:p w14:paraId="22EF9BE9" w14:textId="77777777" w:rsidR="00F22F54" w:rsidRPr="00BF2A14" w:rsidRDefault="00F22F54" w:rsidP="004121C9">
      <w:pPr>
        <w:pStyle w:val="NormalWeb"/>
        <w:jc w:val="both"/>
        <w:rPr>
          <w:rFonts w:ascii="Arial" w:hAnsi="Arial" w:cs="Arial"/>
          <w:b/>
          <w:sz w:val="20"/>
        </w:rPr>
      </w:pPr>
      <w:r w:rsidRPr="00BF2A14">
        <w:rPr>
          <w:rFonts w:ascii="Arial" w:hAnsi="Arial" w:cs="Arial"/>
          <w:b/>
          <w:sz w:val="20"/>
        </w:rPr>
        <w:t xml:space="preserve">Table 2. Fecundity and no. of retained eggs treated by JH- III, 20- E and </w:t>
      </w:r>
      <w:proofErr w:type="spellStart"/>
      <w:r w:rsidRPr="00BF2A14">
        <w:rPr>
          <w:rFonts w:ascii="Arial" w:hAnsi="Arial" w:cs="Arial"/>
          <w:b/>
          <w:sz w:val="20"/>
        </w:rPr>
        <w:t>methoprene</w:t>
      </w:r>
      <w:proofErr w:type="spellEnd"/>
    </w:p>
    <w:tbl>
      <w:tblPr>
        <w:tblStyle w:val="TableGrid"/>
        <w:tblW w:w="0" w:type="auto"/>
        <w:tblInd w:w="1665"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03"/>
        <w:gridCol w:w="1576"/>
        <w:gridCol w:w="1701"/>
        <w:gridCol w:w="1418"/>
      </w:tblGrid>
      <w:tr w:rsidR="00F22F54" w:rsidRPr="00BF2A14" w14:paraId="30E9D1A6" w14:textId="77777777" w:rsidTr="00BF2A14">
        <w:tc>
          <w:tcPr>
            <w:tcW w:w="1403" w:type="dxa"/>
            <w:tcBorders>
              <w:top w:val="single" w:sz="4" w:space="0" w:color="auto"/>
              <w:bottom w:val="single" w:sz="4" w:space="0" w:color="auto"/>
            </w:tcBorders>
          </w:tcPr>
          <w:p w14:paraId="5D3D10C9" w14:textId="77777777" w:rsidR="00F22F54" w:rsidRPr="00BF2A14" w:rsidRDefault="00F22F54" w:rsidP="00BF2A14">
            <w:pPr>
              <w:pStyle w:val="NormalWeb"/>
              <w:spacing w:line="480" w:lineRule="auto"/>
              <w:jc w:val="both"/>
              <w:rPr>
                <w:rFonts w:ascii="Arial" w:hAnsi="Arial" w:cs="Arial"/>
                <w:b/>
                <w:sz w:val="20"/>
              </w:rPr>
            </w:pPr>
            <w:r w:rsidRPr="00BF2A14">
              <w:rPr>
                <w:rFonts w:ascii="Arial" w:hAnsi="Arial" w:cs="Arial"/>
                <w:b/>
                <w:sz w:val="20"/>
              </w:rPr>
              <w:t>Treatments</w:t>
            </w:r>
          </w:p>
        </w:tc>
        <w:tc>
          <w:tcPr>
            <w:tcW w:w="1576" w:type="dxa"/>
            <w:tcBorders>
              <w:top w:val="single" w:sz="4" w:space="0" w:color="auto"/>
              <w:bottom w:val="single" w:sz="4" w:space="0" w:color="auto"/>
            </w:tcBorders>
          </w:tcPr>
          <w:p w14:paraId="0AB9D261" w14:textId="77777777" w:rsidR="00F22F54" w:rsidRPr="00BF2A14" w:rsidRDefault="00F22F54" w:rsidP="00BF2A14">
            <w:pPr>
              <w:pStyle w:val="NormalWeb"/>
              <w:spacing w:line="480" w:lineRule="auto"/>
              <w:jc w:val="both"/>
              <w:rPr>
                <w:rFonts w:ascii="Arial" w:hAnsi="Arial" w:cs="Arial"/>
                <w:b/>
                <w:sz w:val="20"/>
              </w:rPr>
            </w:pPr>
            <w:r w:rsidRPr="00BF2A14">
              <w:rPr>
                <w:rFonts w:ascii="Arial" w:hAnsi="Arial" w:cs="Arial"/>
                <w:b/>
                <w:sz w:val="20"/>
              </w:rPr>
              <w:t>Fecundity (nos.)</w:t>
            </w:r>
          </w:p>
        </w:tc>
        <w:tc>
          <w:tcPr>
            <w:tcW w:w="1701" w:type="dxa"/>
            <w:tcBorders>
              <w:top w:val="single" w:sz="4" w:space="0" w:color="auto"/>
              <w:bottom w:val="single" w:sz="4" w:space="0" w:color="auto"/>
            </w:tcBorders>
          </w:tcPr>
          <w:p w14:paraId="15C8812C" w14:textId="77777777" w:rsidR="00F22F54" w:rsidRPr="00BF2A14" w:rsidRDefault="00F22F54" w:rsidP="00BF2A14">
            <w:pPr>
              <w:pStyle w:val="NormalWeb"/>
              <w:spacing w:line="480" w:lineRule="auto"/>
              <w:rPr>
                <w:rFonts w:ascii="Arial" w:hAnsi="Arial" w:cs="Arial"/>
                <w:b/>
                <w:sz w:val="20"/>
              </w:rPr>
            </w:pPr>
            <w:r w:rsidRPr="00BF2A14">
              <w:rPr>
                <w:rFonts w:ascii="Arial" w:hAnsi="Arial" w:cs="Arial"/>
                <w:b/>
                <w:sz w:val="20"/>
              </w:rPr>
              <w:t>Retained eggs (Nos.)</w:t>
            </w:r>
          </w:p>
        </w:tc>
        <w:tc>
          <w:tcPr>
            <w:tcW w:w="1418" w:type="dxa"/>
            <w:tcBorders>
              <w:top w:val="single" w:sz="4" w:space="0" w:color="auto"/>
              <w:bottom w:val="single" w:sz="4" w:space="0" w:color="auto"/>
            </w:tcBorders>
          </w:tcPr>
          <w:p w14:paraId="481035B9" w14:textId="77777777" w:rsidR="00F22F54" w:rsidRPr="00BF2A14" w:rsidRDefault="00F22F54" w:rsidP="00BF2A14">
            <w:pPr>
              <w:pStyle w:val="NormalWeb"/>
              <w:spacing w:line="480" w:lineRule="auto"/>
              <w:jc w:val="both"/>
              <w:rPr>
                <w:rFonts w:ascii="Arial" w:hAnsi="Arial" w:cs="Arial"/>
                <w:b/>
                <w:sz w:val="20"/>
              </w:rPr>
            </w:pPr>
            <w:r w:rsidRPr="00BF2A14">
              <w:rPr>
                <w:rFonts w:ascii="Arial" w:hAnsi="Arial" w:cs="Arial"/>
                <w:b/>
                <w:sz w:val="20"/>
              </w:rPr>
              <w:t>Reference</w:t>
            </w:r>
          </w:p>
        </w:tc>
      </w:tr>
      <w:tr w:rsidR="00F22F54" w:rsidRPr="00BF2A14" w14:paraId="7CEDB71B" w14:textId="77777777" w:rsidTr="00BF2A14">
        <w:trPr>
          <w:trHeight w:val="427"/>
        </w:trPr>
        <w:tc>
          <w:tcPr>
            <w:tcW w:w="1403" w:type="dxa"/>
            <w:tcBorders>
              <w:top w:val="single" w:sz="4" w:space="0" w:color="auto"/>
              <w:bottom w:val="nil"/>
            </w:tcBorders>
          </w:tcPr>
          <w:p w14:paraId="151CA62C" w14:textId="77777777"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JH-III</w:t>
            </w:r>
          </w:p>
        </w:tc>
        <w:tc>
          <w:tcPr>
            <w:tcW w:w="1576" w:type="dxa"/>
            <w:tcBorders>
              <w:top w:val="single" w:sz="4" w:space="0" w:color="auto"/>
              <w:bottom w:val="nil"/>
            </w:tcBorders>
          </w:tcPr>
          <w:p w14:paraId="071FA9CC" w14:textId="77777777"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154.22</w:t>
            </w:r>
          </w:p>
        </w:tc>
        <w:tc>
          <w:tcPr>
            <w:tcW w:w="1701" w:type="dxa"/>
            <w:tcBorders>
              <w:top w:val="single" w:sz="4" w:space="0" w:color="auto"/>
              <w:bottom w:val="nil"/>
            </w:tcBorders>
          </w:tcPr>
          <w:p w14:paraId="64C1B958" w14:textId="77777777"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18.89</w:t>
            </w:r>
          </w:p>
        </w:tc>
        <w:tc>
          <w:tcPr>
            <w:tcW w:w="1418" w:type="dxa"/>
            <w:vMerge w:val="restart"/>
            <w:tcBorders>
              <w:top w:val="single" w:sz="4" w:space="0" w:color="auto"/>
              <w:bottom w:val="nil"/>
            </w:tcBorders>
          </w:tcPr>
          <w:p w14:paraId="76F054AF" w14:textId="77777777"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 xml:space="preserve">Neog </w:t>
            </w:r>
            <w:r w:rsidRPr="00BF2A14">
              <w:rPr>
                <w:rFonts w:ascii="Arial" w:hAnsi="Arial" w:cs="Arial"/>
                <w:i/>
                <w:sz w:val="20"/>
              </w:rPr>
              <w:t>et al.</w:t>
            </w:r>
            <w:r w:rsidRPr="00BF2A14">
              <w:rPr>
                <w:rFonts w:ascii="Arial" w:hAnsi="Arial" w:cs="Arial"/>
                <w:sz w:val="20"/>
              </w:rPr>
              <w:t xml:space="preserve"> (2014)</w:t>
            </w:r>
          </w:p>
        </w:tc>
      </w:tr>
      <w:tr w:rsidR="00F22F54" w:rsidRPr="00BF2A14" w14:paraId="06158695" w14:textId="77777777" w:rsidTr="00BF2A14">
        <w:tc>
          <w:tcPr>
            <w:tcW w:w="1403" w:type="dxa"/>
            <w:tcBorders>
              <w:top w:val="nil"/>
            </w:tcBorders>
          </w:tcPr>
          <w:p w14:paraId="469678A0" w14:textId="77777777"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20-E</w:t>
            </w:r>
          </w:p>
        </w:tc>
        <w:tc>
          <w:tcPr>
            <w:tcW w:w="1576" w:type="dxa"/>
            <w:tcBorders>
              <w:top w:val="nil"/>
            </w:tcBorders>
          </w:tcPr>
          <w:p w14:paraId="159E68AC" w14:textId="77777777"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136.56</w:t>
            </w:r>
          </w:p>
        </w:tc>
        <w:tc>
          <w:tcPr>
            <w:tcW w:w="1701" w:type="dxa"/>
            <w:tcBorders>
              <w:top w:val="nil"/>
            </w:tcBorders>
          </w:tcPr>
          <w:p w14:paraId="79223A17" w14:textId="77777777"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13.44</w:t>
            </w:r>
          </w:p>
        </w:tc>
        <w:tc>
          <w:tcPr>
            <w:tcW w:w="1418" w:type="dxa"/>
            <w:vMerge/>
            <w:tcBorders>
              <w:top w:val="nil"/>
            </w:tcBorders>
          </w:tcPr>
          <w:p w14:paraId="311B799F" w14:textId="77777777" w:rsidR="00F22F54" w:rsidRPr="00BF2A14" w:rsidRDefault="00F22F54" w:rsidP="00BF2A14">
            <w:pPr>
              <w:pStyle w:val="NormalWeb"/>
              <w:spacing w:line="480" w:lineRule="auto"/>
              <w:jc w:val="both"/>
              <w:rPr>
                <w:rFonts w:ascii="Arial" w:hAnsi="Arial" w:cs="Arial"/>
                <w:sz w:val="20"/>
              </w:rPr>
            </w:pPr>
          </w:p>
        </w:tc>
      </w:tr>
      <w:tr w:rsidR="00F22F54" w:rsidRPr="00BF2A14" w14:paraId="3F854EDD" w14:textId="77777777" w:rsidTr="00BF2A14">
        <w:tc>
          <w:tcPr>
            <w:tcW w:w="1403" w:type="dxa"/>
          </w:tcPr>
          <w:p w14:paraId="02D8AFFD" w14:textId="77777777"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lastRenderedPageBreak/>
              <w:t>Untreated</w:t>
            </w:r>
          </w:p>
        </w:tc>
        <w:tc>
          <w:tcPr>
            <w:tcW w:w="1576" w:type="dxa"/>
          </w:tcPr>
          <w:p w14:paraId="4DE436AE" w14:textId="77777777"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110.17</w:t>
            </w:r>
          </w:p>
        </w:tc>
        <w:tc>
          <w:tcPr>
            <w:tcW w:w="1701" w:type="dxa"/>
          </w:tcPr>
          <w:p w14:paraId="47128CC7" w14:textId="77777777"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30.89</w:t>
            </w:r>
          </w:p>
        </w:tc>
        <w:tc>
          <w:tcPr>
            <w:tcW w:w="1418" w:type="dxa"/>
            <w:vMerge/>
          </w:tcPr>
          <w:p w14:paraId="2DAF776D" w14:textId="77777777" w:rsidR="00F22F54" w:rsidRPr="00BF2A14" w:rsidRDefault="00F22F54" w:rsidP="00BF2A14">
            <w:pPr>
              <w:pStyle w:val="NormalWeb"/>
              <w:spacing w:line="480" w:lineRule="auto"/>
              <w:jc w:val="both"/>
              <w:rPr>
                <w:rFonts w:ascii="Arial" w:hAnsi="Arial" w:cs="Arial"/>
                <w:sz w:val="20"/>
              </w:rPr>
            </w:pPr>
          </w:p>
        </w:tc>
      </w:tr>
      <w:tr w:rsidR="00F22F54" w:rsidRPr="00BF2A14" w14:paraId="496FFB03" w14:textId="77777777" w:rsidTr="00BF2A14">
        <w:tc>
          <w:tcPr>
            <w:tcW w:w="1403" w:type="dxa"/>
          </w:tcPr>
          <w:p w14:paraId="782F4BF3" w14:textId="77777777"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Methoprene</w:t>
            </w:r>
          </w:p>
        </w:tc>
        <w:tc>
          <w:tcPr>
            <w:tcW w:w="1576" w:type="dxa"/>
          </w:tcPr>
          <w:p w14:paraId="4981970C" w14:textId="77777777"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184</w:t>
            </w:r>
          </w:p>
        </w:tc>
        <w:tc>
          <w:tcPr>
            <w:tcW w:w="1701" w:type="dxa"/>
          </w:tcPr>
          <w:p w14:paraId="0B8C8540" w14:textId="77777777"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14</w:t>
            </w:r>
          </w:p>
        </w:tc>
        <w:tc>
          <w:tcPr>
            <w:tcW w:w="1418" w:type="dxa"/>
            <w:vMerge w:val="restart"/>
          </w:tcPr>
          <w:p w14:paraId="28E08C38" w14:textId="77777777"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 xml:space="preserve">Neog </w:t>
            </w:r>
            <w:r w:rsidRPr="00BF2A14">
              <w:rPr>
                <w:rFonts w:ascii="Arial" w:hAnsi="Arial" w:cs="Arial"/>
                <w:i/>
                <w:sz w:val="20"/>
              </w:rPr>
              <w:t>et al.</w:t>
            </w:r>
            <w:r w:rsidRPr="00BF2A14">
              <w:rPr>
                <w:rFonts w:ascii="Arial" w:hAnsi="Arial" w:cs="Arial"/>
                <w:sz w:val="20"/>
              </w:rPr>
              <w:t xml:space="preserve"> (2017)</w:t>
            </w:r>
          </w:p>
        </w:tc>
      </w:tr>
      <w:tr w:rsidR="00F22F54" w:rsidRPr="00BF2A14" w14:paraId="4223FD70" w14:textId="77777777" w:rsidTr="00BF2A14">
        <w:tc>
          <w:tcPr>
            <w:tcW w:w="1403" w:type="dxa"/>
          </w:tcPr>
          <w:p w14:paraId="67FD848B" w14:textId="77777777"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Untreated</w:t>
            </w:r>
          </w:p>
        </w:tc>
        <w:tc>
          <w:tcPr>
            <w:tcW w:w="1576" w:type="dxa"/>
          </w:tcPr>
          <w:p w14:paraId="03D2BC44" w14:textId="77777777"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135</w:t>
            </w:r>
          </w:p>
        </w:tc>
        <w:tc>
          <w:tcPr>
            <w:tcW w:w="1701" w:type="dxa"/>
          </w:tcPr>
          <w:p w14:paraId="468D222B" w14:textId="77777777"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47</w:t>
            </w:r>
          </w:p>
        </w:tc>
        <w:tc>
          <w:tcPr>
            <w:tcW w:w="1418" w:type="dxa"/>
            <w:vMerge/>
          </w:tcPr>
          <w:p w14:paraId="2F649E91" w14:textId="77777777" w:rsidR="00F22F54" w:rsidRPr="00BF2A14" w:rsidRDefault="00F22F54" w:rsidP="00BF2A14">
            <w:pPr>
              <w:pStyle w:val="NormalWeb"/>
              <w:spacing w:line="480" w:lineRule="auto"/>
              <w:jc w:val="both"/>
              <w:rPr>
                <w:rFonts w:ascii="Arial" w:hAnsi="Arial" w:cs="Arial"/>
                <w:sz w:val="20"/>
              </w:rPr>
            </w:pPr>
          </w:p>
        </w:tc>
      </w:tr>
    </w:tbl>
    <w:p w14:paraId="79BE8694" w14:textId="77777777" w:rsidR="004121C9" w:rsidRPr="00D31C07" w:rsidRDefault="00D31C07" w:rsidP="00091E0F">
      <w:pPr>
        <w:pStyle w:val="NormalWeb"/>
        <w:jc w:val="both"/>
        <w:rPr>
          <w:rFonts w:ascii="Arial" w:hAnsi="Arial" w:cs="Arial"/>
          <w:b/>
          <w:bCs/>
          <w:sz w:val="22"/>
        </w:rPr>
      </w:pPr>
      <w:r w:rsidRPr="00D31C07">
        <w:rPr>
          <w:rFonts w:ascii="Arial" w:hAnsi="Arial" w:cs="Arial"/>
          <w:b/>
          <w:bCs/>
          <w:sz w:val="22"/>
        </w:rPr>
        <w:t>4. SEASONAL INFLUENCE ON REPRODUCTIVE PERFORMANCE</w:t>
      </w:r>
    </w:p>
    <w:p w14:paraId="1D3DD441" w14:textId="77777777" w:rsidR="00091E0F" w:rsidRPr="00D31C07" w:rsidRDefault="00091E0F" w:rsidP="00091E0F">
      <w:pPr>
        <w:pStyle w:val="NormalWeb"/>
        <w:jc w:val="both"/>
        <w:rPr>
          <w:rFonts w:ascii="Arial" w:hAnsi="Arial" w:cs="Arial"/>
          <w:sz w:val="20"/>
          <w:szCs w:val="20"/>
        </w:rPr>
      </w:pPr>
      <w:r w:rsidRPr="00D31C07">
        <w:rPr>
          <w:rFonts w:ascii="Arial" w:hAnsi="Arial" w:cs="Arial"/>
          <w:sz w:val="20"/>
          <w:szCs w:val="20"/>
        </w:rPr>
        <w:t xml:space="preserve">Seasonal variation is a fundamental ecological factor influencing the reproductive performance, physiology, and overall developmental biology of insects, including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w:t>
      </w:r>
      <w:proofErr w:type="spellStart"/>
      <w:r w:rsidRPr="00D31C07">
        <w:rPr>
          <w:rFonts w:ascii="Arial" w:hAnsi="Arial" w:cs="Arial"/>
          <w:sz w:val="20"/>
          <w:szCs w:val="20"/>
        </w:rPr>
        <w:t>Odum</w:t>
      </w:r>
      <w:proofErr w:type="spellEnd"/>
      <w:r w:rsidRPr="00D31C07">
        <w:rPr>
          <w:rFonts w:ascii="Arial" w:hAnsi="Arial" w:cs="Arial"/>
          <w:sz w:val="20"/>
          <w:szCs w:val="20"/>
        </w:rPr>
        <w:t xml:space="preserve">, 1983; </w:t>
      </w:r>
      <w:proofErr w:type="spellStart"/>
      <w:r w:rsidRPr="00D31C07">
        <w:rPr>
          <w:rFonts w:ascii="Arial" w:hAnsi="Arial" w:cs="Arial"/>
          <w:sz w:val="20"/>
          <w:szCs w:val="20"/>
        </w:rPr>
        <w:t>Ouedraogo</w:t>
      </w:r>
      <w:proofErr w:type="spellEnd"/>
      <w:r w:rsidRPr="00D31C07">
        <w:rPr>
          <w:rFonts w:ascii="Arial" w:hAnsi="Arial" w:cs="Arial"/>
          <w:sz w:val="20"/>
          <w:szCs w:val="20"/>
        </w:rPr>
        <w:t xml:space="preserve"> </w:t>
      </w:r>
      <w:r w:rsidRPr="00D31C07">
        <w:rPr>
          <w:rFonts w:ascii="Arial" w:hAnsi="Arial" w:cs="Arial"/>
          <w:i/>
          <w:sz w:val="20"/>
          <w:szCs w:val="20"/>
        </w:rPr>
        <w:t xml:space="preserve">et al., </w:t>
      </w:r>
      <w:r w:rsidRPr="00D31C07">
        <w:rPr>
          <w:rFonts w:ascii="Arial" w:hAnsi="Arial" w:cs="Arial"/>
          <w:sz w:val="20"/>
          <w:szCs w:val="20"/>
        </w:rPr>
        <w:t xml:space="preserve">1996). As a multivoltine species reared in outdoor conditions, the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silkworm is particularly sensitive to fluctuations in temperature, humidity, and photoperiod, which in turn affect fecundity, egg quality, hatching success, and cocoon yield. Since seed production drives the entire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 value chain, understanding the season-linked physiological responses of the moth is vital for improving sericultural output.</w:t>
      </w:r>
    </w:p>
    <w:p w14:paraId="68047816" w14:textId="77777777" w:rsidR="00091E0F" w:rsidRPr="00D31C07" w:rsidRDefault="00091E0F" w:rsidP="00091E0F">
      <w:pPr>
        <w:pStyle w:val="NormalWeb"/>
        <w:jc w:val="both"/>
        <w:rPr>
          <w:rFonts w:ascii="Arial" w:hAnsi="Arial" w:cs="Arial"/>
          <w:sz w:val="20"/>
          <w:szCs w:val="20"/>
        </w:rPr>
      </w:pPr>
      <w:r w:rsidRPr="00D31C07">
        <w:rPr>
          <w:rFonts w:ascii="Arial" w:hAnsi="Arial" w:cs="Arial"/>
          <w:sz w:val="20"/>
          <w:szCs w:val="20"/>
        </w:rPr>
        <w:t xml:space="preserve">Recent investigations by </w:t>
      </w:r>
      <w:r w:rsidRPr="00D31C07">
        <w:rPr>
          <w:rStyle w:val="Strong"/>
          <w:rFonts w:ascii="Arial" w:hAnsi="Arial" w:cs="Arial"/>
          <w:b w:val="0"/>
          <w:sz w:val="20"/>
          <w:szCs w:val="20"/>
        </w:rPr>
        <w:t xml:space="preserve">Saikia </w:t>
      </w:r>
      <w:r w:rsidRPr="00D31C07">
        <w:rPr>
          <w:rStyle w:val="Strong"/>
          <w:rFonts w:ascii="Arial" w:hAnsi="Arial" w:cs="Arial"/>
          <w:b w:val="0"/>
          <w:i/>
          <w:sz w:val="20"/>
          <w:szCs w:val="20"/>
        </w:rPr>
        <w:t>et al.</w:t>
      </w:r>
      <w:r w:rsidRPr="00D31C07">
        <w:rPr>
          <w:rStyle w:val="Strong"/>
          <w:rFonts w:ascii="Arial" w:hAnsi="Arial" w:cs="Arial"/>
          <w:b w:val="0"/>
          <w:sz w:val="20"/>
          <w:szCs w:val="20"/>
        </w:rPr>
        <w:t xml:space="preserve"> (2023)</w:t>
      </w:r>
      <w:r w:rsidRPr="00D31C07">
        <w:rPr>
          <w:rFonts w:ascii="Arial" w:hAnsi="Arial" w:cs="Arial"/>
          <w:sz w:val="20"/>
          <w:szCs w:val="20"/>
        </w:rPr>
        <w:t xml:space="preserve"> have demonstrated that reproductive parameters of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vary significantly between spring and autumn. Their study revealed a longer oviposition period (6.33 days) under 5-hour mating duration in the spring season. However, the highest number of eggs per laying (223.67) was recorded in the autumn season, with a significantly higher average egg count (191.83 eggs/laying) compared to spring (157.54 eggs/laying)</w:t>
      </w:r>
      <w:r w:rsidR="00502BAA" w:rsidRPr="00D31C07">
        <w:rPr>
          <w:rFonts w:ascii="Arial" w:hAnsi="Arial" w:cs="Arial"/>
          <w:sz w:val="20"/>
          <w:szCs w:val="20"/>
        </w:rPr>
        <w:t xml:space="preserve"> (Table 3)</w:t>
      </w:r>
      <w:r w:rsidRPr="00D31C07">
        <w:rPr>
          <w:rFonts w:ascii="Arial" w:hAnsi="Arial" w:cs="Arial"/>
          <w:sz w:val="20"/>
          <w:szCs w:val="20"/>
        </w:rPr>
        <w:t>. Correspondingly, the mean egg mass was greater in autumn (1.20 g) than in spring (1.04 g). Interestingly, while fecundity increased in autumn, the incubation period of eggs was longer in this season (11.98 days) than in spring (10.00 days), underscoring the role of ambient conditions in embryonic development.</w:t>
      </w:r>
      <w:r w:rsidR="00FE757A" w:rsidRPr="00D31C07">
        <w:rPr>
          <w:rFonts w:ascii="Arial" w:hAnsi="Arial" w:cs="Arial"/>
          <w:sz w:val="20"/>
          <w:szCs w:val="20"/>
        </w:rPr>
        <w:t xml:space="preserve"> </w:t>
      </w:r>
      <w:r w:rsidRPr="00D31C07">
        <w:rPr>
          <w:rFonts w:ascii="Arial" w:hAnsi="Arial" w:cs="Arial"/>
          <w:sz w:val="20"/>
          <w:szCs w:val="20"/>
        </w:rPr>
        <w:t xml:space="preserve">Consistent with this, Thangavelu </w:t>
      </w:r>
      <w:r w:rsidRPr="00D31C07">
        <w:rPr>
          <w:rFonts w:ascii="Arial" w:hAnsi="Arial" w:cs="Arial"/>
          <w:i/>
          <w:sz w:val="20"/>
          <w:szCs w:val="20"/>
        </w:rPr>
        <w:t>et al.</w:t>
      </w:r>
      <w:r w:rsidRPr="00D31C07">
        <w:rPr>
          <w:rFonts w:ascii="Arial" w:hAnsi="Arial" w:cs="Arial"/>
          <w:sz w:val="20"/>
          <w:szCs w:val="20"/>
        </w:rPr>
        <w:t xml:space="preserve"> (1988) reported that egg-laying in </w:t>
      </w:r>
      <w:proofErr w:type="spellStart"/>
      <w:r w:rsidRPr="00D31C07">
        <w:rPr>
          <w:rFonts w:ascii="Arial" w:hAnsi="Arial" w:cs="Arial"/>
          <w:sz w:val="20"/>
          <w:szCs w:val="20"/>
        </w:rPr>
        <w:t>muga</w:t>
      </w:r>
      <w:proofErr w:type="spellEnd"/>
      <w:r w:rsidRPr="00D31C07">
        <w:rPr>
          <w:rFonts w:ascii="Arial" w:hAnsi="Arial" w:cs="Arial"/>
          <w:sz w:val="20"/>
          <w:szCs w:val="20"/>
        </w:rPr>
        <w:t xml:space="preserve"> moths typically spans 5–6 days and varies across days. Similarly, </w:t>
      </w:r>
      <w:r w:rsidRPr="00D31C07">
        <w:rPr>
          <w:rStyle w:val="Strong"/>
          <w:rFonts w:ascii="Arial" w:hAnsi="Arial" w:cs="Arial"/>
          <w:b w:val="0"/>
          <w:sz w:val="20"/>
          <w:szCs w:val="20"/>
        </w:rPr>
        <w:t xml:space="preserve">Srivastava </w:t>
      </w:r>
      <w:r w:rsidRPr="00D31C07">
        <w:rPr>
          <w:rStyle w:val="Strong"/>
          <w:rFonts w:ascii="Arial" w:hAnsi="Arial" w:cs="Arial"/>
          <w:b w:val="0"/>
          <w:i/>
          <w:sz w:val="20"/>
          <w:szCs w:val="20"/>
        </w:rPr>
        <w:t>et al.</w:t>
      </w:r>
      <w:r w:rsidRPr="00D31C07">
        <w:rPr>
          <w:rStyle w:val="Strong"/>
          <w:rFonts w:ascii="Arial" w:hAnsi="Arial" w:cs="Arial"/>
          <w:b w:val="0"/>
          <w:sz w:val="20"/>
          <w:szCs w:val="20"/>
        </w:rPr>
        <w:t xml:space="preserve"> (1998)</w:t>
      </w:r>
      <w:r w:rsidRPr="00D31C07">
        <w:rPr>
          <w:rFonts w:ascii="Arial" w:hAnsi="Arial" w:cs="Arial"/>
          <w:sz w:val="20"/>
          <w:szCs w:val="20"/>
        </w:rPr>
        <w:t xml:space="preserve"> emphasized that environmental factors cause marked variability in fecundity, hatchability, and cocoon quality in other </w:t>
      </w:r>
      <w:proofErr w:type="spellStart"/>
      <w:r w:rsidRPr="00D31C07">
        <w:rPr>
          <w:rFonts w:ascii="Arial" w:hAnsi="Arial" w:cs="Arial"/>
          <w:sz w:val="20"/>
          <w:szCs w:val="20"/>
        </w:rPr>
        <w:t>saturniids</w:t>
      </w:r>
      <w:proofErr w:type="spellEnd"/>
      <w:r w:rsidRPr="00D31C07">
        <w:rPr>
          <w:rFonts w:ascii="Arial" w:hAnsi="Arial" w:cs="Arial"/>
          <w:sz w:val="20"/>
          <w:szCs w:val="20"/>
        </w:rPr>
        <w:t xml:space="preserve"> such as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mylitta</w:t>
      </w:r>
      <w:r w:rsidRPr="00D31C07">
        <w:rPr>
          <w:rFonts w:ascii="Arial" w:hAnsi="Arial" w:cs="Arial"/>
          <w:sz w:val="20"/>
          <w:szCs w:val="20"/>
        </w:rPr>
        <w:t xml:space="preserve">. </w:t>
      </w:r>
      <w:r w:rsidRPr="00D31C07">
        <w:rPr>
          <w:rStyle w:val="Strong"/>
          <w:rFonts w:ascii="Arial" w:hAnsi="Arial" w:cs="Arial"/>
          <w:b w:val="0"/>
          <w:sz w:val="20"/>
          <w:szCs w:val="20"/>
        </w:rPr>
        <w:t xml:space="preserve">Kakati </w:t>
      </w:r>
      <w:r w:rsidRPr="00D31C07">
        <w:rPr>
          <w:rStyle w:val="Strong"/>
          <w:rFonts w:ascii="Arial" w:hAnsi="Arial" w:cs="Arial"/>
          <w:b w:val="0"/>
          <w:i/>
          <w:sz w:val="20"/>
          <w:szCs w:val="20"/>
        </w:rPr>
        <w:t>et al.</w:t>
      </w:r>
      <w:r w:rsidRPr="00D31C07">
        <w:rPr>
          <w:rStyle w:val="Strong"/>
          <w:rFonts w:ascii="Arial" w:hAnsi="Arial" w:cs="Arial"/>
          <w:b w:val="0"/>
          <w:sz w:val="20"/>
          <w:szCs w:val="20"/>
        </w:rPr>
        <w:t xml:space="preserve"> (2005)</w:t>
      </w:r>
      <w:r w:rsidRPr="00D31C07">
        <w:rPr>
          <w:rFonts w:ascii="Arial" w:hAnsi="Arial" w:cs="Arial"/>
          <w:sz w:val="20"/>
          <w:szCs w:val="20"/>
        </w:rPr>
        <w:t xml:space="preserve"> observed higher fecundity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during the autumn season, although the hatching percentage was greater in spring. This trend has been echoed in </w:t>
      </w:r>
      <w:proofErr w:type="spellStart"/>
      <w:r w:rsidRPr="00D31C07">
        <w:rPr>
          <w:rFonts w:ascii="Arial" w:hAnsi="Arial" w:cs="Arial"/>
          <w:sz w:val="20"/>
          <w:szCs w:val="20"/>
        </w:rPr>
        <w:t>eri</w:t>
      </w:r>
      <w:proofErr w:type="spellEnd"/>
      <w:r w:rsidRPr="00D31C07">
        <w:rPr>
          <w:rFonts w:ascii="Arial" w:hAnsi="Arial" w:cs="Arial"/>
          <w:sz w:val="20"/>
          <w:szCs w:val="20"/>
        </w:rPr>
        <w:t xml:space="preserve"> silkworms as well, with reports indicating superior fecundity in autumn (Sarkar &amp; Sarmah, 2010; Sharma &amp; Kalita, 2017), although optimal seasonal performance may vary across strains and </w:t>
      </w:r>
      <w:proofErr w:type="spellStart"/>
      <w:r w:rsidRPr="00D31C07">
        <w:rPr>
          <w:rFonts w:ascii="Arial" w:hAnsi="Arial" w:cs="Arial"/>
          <w:sz w:val="20"/>
          <w:szCs w:val="20"/>
        </w:rPr>
        <w:t>ecoraces</w:t>
      </w:r>
      <w:proofErr w:type="spellEnd"/>
      <w:r w:rsidRPr="00D31C07">
        <w:rPr>
          <w:rFonts w:ascii="Arial" w:hAnsi="Arial" w:cs="Arial"/>
          <w:sz w:val="20"/>
          <w:szCs w:val="20"/>
        </w:rPr>
        <w:t xml:space="preserve"> (Deka </w:t>
      </w:r>
      <w:r w:rsidRPr="00D31C07">
        <w:rPr>
          <w:rFonts w:ascii="Arial" w:hAnsi="Arial" w:cs="Arial"/>
          <w:i/>
          <w:sz w:val="20"/>
          <w:szCs w:val="20"/>
        </w:rPr>
        <w:t xml:space="preserve">et al., </w:t>
      </w:r>
      <w:r w:rsidRPr="00D31C07">
        <w:rPr>
          <w:rFonts w:ascii="Arial" w:hAnsi="Arial" w:cs="Arial"/>
          <w:sz w:val="20"/>
          <w:szCs w:val="20"/>
        </w:rPr>
        <w:t>2011).</w:t>
      </w:r>
    </w:p>
    <w:p w14:paraId="0E7FBFDC" w14:textId="77777777" w:rsidR="00502BAA" w:rsidRPr="00BF2A14" w:rsidRDefault="00502BAA" w:rsidP="00091E0F">
      <w:pPr>
        <w:pStyle w:val="NormalWeb"/>
        <w:jc w:val="both"/>
        <w:rPr>
          <w:rFonts w:ascii="Arial" w:hAnsi="Arial" w:cs="Arial"/>
          <w:b/>
          <w:sz w:val="20"/>
          <w:szCs w:val="20"/>
        </w:rPr>
      </w:pPr>
      <w:r w:rsidRPr="00BF2A14">
        <w:rPr>
          <w:rFonts w:ascii="Arial" w:hAnsi="Arial" w:cs="Arial"/>
          <w:b/>
          <w:sz w:val="20"/>
          <w:szCs w:val="20"/>
        </w:rPr>
        <w:t xml:space="preserve">Table 3. Seasonal variation in oviposition performance and egg characteristics of </w:t>
      </w:r>
      <w:proofErr w:type="spellStart"/>
      <w:r w:rsidRPr="00BF2A14">
        <w:rPr>
          <w:rStyle w:val="Emphasis"/>
          <w:rFonts w:ascii="Arial" w:hAnsi="Arial" w:cs="Arial"/>
          <w:b/>
          <w:sz w:val="20"/>
          <w:szCs w:val="20"/>
        </w:rPr>
        <w:t>Antheraea</w:t>
      </w:r>
      <w:proofErr w:type="spellEnd"/>
      <w:r w:rsidRPr="00BF2A14">
        <w:rPr>
          <w:rStyle w:val="Emphasis"/>
          <w:rFonts w:ascii="Arial" w:hAnsi="Arial" w:cs="Arial"/>
          <w:b/>
          <w:sz w:val="20"/>
          <w:szCs w:val="20"/>
        </w:rPr>
        <w:t xml:space="preserve"> </w:t>
      </w:r>
      <w:proofErr w:type="spellStart"/>
      <w:r w:rsidRPr="00BF2A14">
        <w:rPr>
          <w:rStyle w:val="Emphasis"/>
          <w:rFonts w:ascii="Arial" w:hAnsi="Arial" w:cs="Arial"/>
          <w:b/>
          <w:sz w:val="20"/>
          <w:szCs w:val="20"/>
        </w:rPr>
        <w:t>assamensis</w:t>
      </w:r>
      <w:proofErr w:type="spellEnd"/>
    </w:p>
    <w:tbl>
      <w:tblPr>
        <w:tblStyle w:val="TableGrid"/>
        <w:tblW w:w="0" w:type="auto"/>
        <w:tblInd w:w="1668"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2976"/>
        <w:gridCol w:w="1560"/>
        <w:gridCol w:w="1701"/>
      </w:tblGrid>
      <w:tr w:rsidR="00502BAA" w:rsidRPr="00BF2A14" w14:paraId="3695CE3C" w14:textId="77777777" w:rsidTr="00BF2A14">
        <w:tc>
          <w:tcPr>
            <w:tcW w:w="2976" w:type="dxa"/>
            <w:vMerge w:val="restart"/>
            <w:tcBorders>
              <w:top w:val="single" w:sz="4" w:space="0" w:color="auto"/>
              <w:bottom w:val="single" w:sz="4" w:space="0" w:color="auto"/>
            </w:tcBorders>
          </w:tcPr>
          <w:p w14:paraId="55F0028F" w14:textId="77777777" w:rsidR="00502BAA" w:rsidRPr="00BF2A14" w:rsidRDefault="00502BAA" w:rsidP="00BF2A14">
            <w:pPr>
              <w:pStyle w:val="NormalWeb"/>
              <w:spacing w:line="480" w:lineRule="auto"/>
              <w:jc w:val="both"/>
              <w:rPr>
                <w:rFonts w:ascii="Arial" w:hAnsi="Arial" w:cs="Arial"/>
                <w:b/>
                <w:sz w:val="20"/>
              </w:rPr>
            </w:pPr>
            <w:r w:rsidRPr="00BF2A14">
              <w:rPr>
                <w:rFonts w:ascii="Arial" w:hAnsi="Arial" w:cs="Arial"/>
                <w:b/>
                <w:sz w:val="20"/>
              </w:rPr>
              <w:t>Parameters</w:t>
            </w:r>
          </w:p>
        </w:tc>
        <w:tc>
          <w:tcPr>
            <w:tcW w:w="3261" w:type="dxa"/>
            <w:gridSpan w:val="2"/>
            <w:tcBorders>
              <w:top w:val="single" w:sz="4" w:space="0" w:color="auto"/>
              <w:bottom w:val="single" w:sz="4" w:space="0" w:color="auto"/>
            </w:tcBorders>
          </w:tcPr>
          <w:p w14:paraId="739F0528" w14:textId="77777777" w:rsidR="00502BAA" w:rsidRPr="00BF2A14" w:rsidRDefault="00502BAA" w:rsidP="00BF2A14">
            <w:pPr>
              <w:pStyle w:val="NormalWeb"/>
              <w:spacing w:line="480" w:lineRule="auto"/>
              <w:jc w:val="center"/>
              <w:rPr>
                <w:rFonts w:ascii="Arial" w:hAnsi="Arial" w:cs="Arial"/>
                <w:b/>
                <w:sz w:val="20"/>
              </w:rPr>
            </w:pPr>
            <w:r w:rsidRPr="00BF2A14">
              <w:rPr>
                <w:rFonts w:ascii="Arial" w:hAnsi="Arial" w:cs="Arial"/>
                <w:b/>
                <w:sz w:val="20"/>
              </w:rPr>
              <w:t>Season</w:t>
            </w:r>
          </w:p>
        </w:tc>
      </w:tr>
      <w:tr w:rsidR="00502BAA" w:rsidRPr="00BF2A14" w14:paraId="6B730801" w14:textId="77777777" w:rsidTr="00BF2A14">
        <w:tc>
          <w:tcPr>
            <w:tcW w:w="2976" w:type="dxa"/>
            <w:vMerge/>
            <w:tcBorders>
              <w:top w:val="single" w:sz="4" w:space="0" w:color="auto"/>
              <w:bottom w:val="single" w:sz="4" w:space="0" w:color="auto"/>
            </w:tcBorders>
          </w:tcPr>
          <w:p w14:paraId="2C15B3A2" w14:textId="77777777" w:rsidR="00502BAA" w:rsidRPr="00BF2A14" w:rsidRDefault="00502BAA" w:rsidP="00BF2A14">
            <w:pPr>
              <w:pStyle w:val="NormalWeb"/>
              <w:spacing w:line="480" w:lineRule="auto"/>
              <w:jc w:val="both"/>
              <w:rPr>
                <w:rFonts w:ascii="Arial" w:hAnsi="Arial" w:cs="Arial"/>
                <w:b/>
                <w:sz w:val="20"/>
              </w:rPr>
            </w:pPr>
          </w:p>
        </w:tc>
        <w:tc>
          <w:tcPr>
            <w:tcW w:w="1560" w:type="dxa"/>
            <w:tcBorders>
              <w:top w:val="single" w:sz="4" w:space="0" w:color="auto"/>
              <w:bottom w:val="single" w:sz="4" w:space="0" w:color="auto"/>
            </w:tcBorders>
          </w:tcPr>
          <w:p w14:paraId="57990D8A" w14:textId="77777777" w:rsidR="00502BAA" w:rsidRPr="00BF2A14" w:rsidRDefault="00502BAA" w:rsidP="00BF2A14">
            <w:pPr>
              <w:pStyle w:val="NormalWeb"/>
              <w:spacing w:line="480" w:lineRule="auto"/>
              <w:jc w:val="both"/>
              <w:rPr>
                <w:rFonts w:ascii="Arial" w:hAnsi="Arial" w:cs="Arial"/>
                <w:b/>
                <w:sz w:val="20"/>
              </w:rPr>
            </w:pPr>
            <w:r w:rsidRPr="00BF2A14">
              <w:rPr>
                <w:rFonts w:ascii="Arial" w:hAnsi="Arial" w:cs="Arial"/>
                <w:b/>
                <w:sz w:val="20"/>
              </w:rPr>
              <w:t>Spring</w:t>
            </w:r>
          </w:p>
        </w:tc>
        <w:tc>
          <w:tcPr>
            <w:tcW w:w="1701" w:type="dxa"/>
            <w:tcBorders>
              <w:top w:val="single" w:sz="4" w:space="0" w:color="auto"/>
              <w:bottom w:val="single" w:sz="4" w:space="0" w:color="auto"/>
            </w:tcBorders>
          </w:tcPr>
          <w:p w14:paraId="25A9501C" w14:textId="77777777" w:rsidR="00502BAA" w:rsidRPr="00BF2A14" w:rsidRDefault="00502BAA" w:rsidP="00BF2A14">
            <w:pPr>
              <w:pStyle w:val="NormalWeb"/>
              <w:spacing w:line="480" w:lineRule="auto"/>
              <w:jc w:val="both"/>
              <w:rPr>
                <w:rFonts w:ascii="Arial" w:hAnsi="Arial" w:cs="Arial"/>
                <w:b/>
                <w:sz w:val="20"/>
              </w:rPr>
            </w:pPr>
            <w:r w:rsidRPr="00BF2A14">
              <w:rPr>
                <w:rFonts w:ascii="Arial" w:hAnsi="Arial" w:cs="Arial"/>
                <w:b/>
                <w:sz w:val="20"/>
              </w:rPr>
              <w:t>Autumn</w:t>
            </w:r>
          </w:p>
        </w:tc>
      </w:tr>
      <w:tr w:rsidR="00502BAA" w:rsidRPr="00BF2A14" w14:paraId="77F92C83" w14:textId="77777777" w:rsidTr="00BF2A14">
        <w:tc>
          <w:tcPr>
            <w:tcW w:w="2976" w:type="dxa"/>
            <w:tcBorders>
              <w:top w:val="single" w:sz="4" w:space="0" w:color="auto"/>
              <w:bottom w:val="nil"/>
            </w:tcBorders>
          </w:tcPr>
          <w:p w14:paraId="3706F34B" w14:textId="77777777" w:rsidR="00502BAA" w:rsidRPr="00BF2A14" w:rsidRDefault="00502BAA" w:rsidP="00BF2A14">
            <w:pPr>
              <w:pStyle w:val="NormalWeb"/>
              <w:spacing w:line="480" w:lineRule="auto"/>
              <w:rPr>
                <w:rFonts w:ascii="Arial" w:hAnsi="Arial" w:cs="Arial"/>
                <w:sz w:val="20"/>
              </w:rPr>
            </w:pPr>
            <w:proofErr w:type="spellStart"/>
            <w:r w:rsidRPr="00BF2A14">
              <w:rPr>
                <w:rFonts w:ascii="Arial" w:hAnsi="Arial" w:cs="Arial"/>
                <w:sz w:val="20"/>
              </w:rPr>
              <w:t>Ovposition</w:t>
            </w:r>
            <w:proofErr w:type="spellEnd"/>
            <w:r w:rsidRPr="00BF2A14">
              <w:rPr>
                <w:rFonts w:ascii="Arial" w:hAnsi="Arial" w:cs="Arial"/>
                <w:sz w:val="20"/>
              </w:rPr>
              <w:t xml:space="preserve"> period (days)</w:t>
            </w:r>
          </w:p>
        </w:tc>
        <w:tc>
          <w:tcPr>
            <w:tcW w:w="1560" w:type="dxa"/>
            <w:tcBorders>
              <w:top w:val="single" w:sz="4" w:space="0" w:color="auto"/>
              <w:bottom w:val="nil"/>
            </w:tcBorders>
          </w:tcPr>
          <w:p w14:paraId="20B05180" w14:textId="77777777" w:rsidR="00502BAA" w:rsidRPr="00BF2A14" w:rsidRDefault="00502BAA" w:rsidP="00BF2A14">
            <w:pPr>
              <w:pStyle w:val="NormalWeb"/>
              <w:spacing w:line="480" w:lineRule="auto"/>
              <w:jc w:val="both"/>
              <w:rPr>
                <w:rFonts w:ascii="Arial" w:hAnsi="Arial" w:cs="Arial"/>
                <w:sz w:val="20"/>
              </w:rPr>
            </w:pPr>
            <w:r w:rsidRPr="00BF2A14">
              <w:rPr>
                <w:rFonts w:ascii="Arial" w:hAnsi="Arial" w:cs="Arial"/>
                <w:sz w:val="20"/>
              </w:rPr>
              <w:t xml:space="preserve">6.04 </w:t>
            </w:r>
          </w:p>
        </w:tc>
        <w:tc>
          <w:tcPr>
            <w:tcW w:w="1701" w:type="dxa"/>
            <w:tcBorders>
              <w:top w:val="single" w:sz="4" w:space="0" w:color="auto"/>
              <w:bottom w:val="nil"/>
            </w:tcBorders>
          </w:tcPr>
          <w:p w14:paraId="27335965" w14:textId="77777777" w:rsidR="00502BAA" w:rsidRPr="00BF2A14" w:rsidRDefault="00502BAA" w:rsidP="00BF2A14">
            <w:pPr>
              <w:pStyle w:val="NormalWeb"/>
              <w:spacing w:line="480" w:lineRule="auto"/>
              <w:jc w:val="both"/>
              <w:rPr>
                <w:rFonts w:ascii="Arial" w:hAnsi="Arial" w:cs="Arial"/>
                <w:sz w:val="20"/>
              </w:rPr>
            </w:pPr>
            <w:r w:rsidRPr="00BF2A14">
              <w:rPr>
                <w:rFonts w:ascii="Arial" w:hAnsi="Arial" w:cs="Arial"/>
                <w:sz w:val="20"/>
              </w:rPr>
              <w:t>5.91</w:t>
            </w:r>
          </w:p>
        </w:tc>
      </w:tr>
      <w:tr w:rsidR="00502BAA" w:rsidRPr="00BF2A14" w14:paraId="4D4DFE72" w14:textId="77777777" w:rsidTr="00BF2A14">
        <w:tc>
          <w:tcPr>
            <w:tcW w:w="2976" w:type="dxa"/>
            <w:tcBorders>
              <w:top w:val="nil"/>
            </w:tcBorders>
          </w:tcPr>
          <w:p w14:paraId="2D2D9FF7" w14:textId="77777777" w:rsidR="00502BAA" w:rsidRPr="00BF2A14" w:rsidRDefault="00502BAA" w:rsidP="00BF2A14">
            <w:pPr>
              <w:pStyle w:val="NormalWeb"/>
              <w:spacing w:line="480" w:lineRule="auto"/>
              <w:rPr>
                <w:rFonts w:ascii="Arial" w:hAnsi="Arial" w:cs="Arial"/>
                <w:sz w:val="20"/>
              </w:rPr>
            </w:pPr>
            <w:r w:rsidRPr="00BF2A14">
              <w:rPr>
                <w:rFonts w:ascii="Arial" w:hAnsi="Arial" w:cs="Arial"/>
                <w:sz w:val="20"/>
              </w:rPr>
              <w:t>Number of eggs (eggs/laying</w:t>
            </w:r>
          </w:p>
        </w:tc>
        <w:tc>
          <w:tcPr>
            <w:tcW w:w="1560" w:type="dxa"/>
            <w:tcBorders>
              <w:top w:val="nil"/>
            </w:tcBorders>
          </w:tcPr>
          <w:p w14:paraId="4A5EA2AB" w14:textId="77777777" w:rsidR="00502BAA" w:rsidRPr="00BF2A14" w:rsidRDefault="00502BAA" w:rsidP="00BF2A14">
            <w:pPr>
              <w:pStyle w:val="NormalWeb"/>
              <w:spacing w:line="480" w:lineRule="auto"/>
              <w:jc w:val="both"/>
              <w:rPr>
                <w:rFonts w:ascii="Arial" w:hAnsi="Arial" w:cs="Arial"/>
                <w:sz w:val="20"/>
              </w:rPr>
            </w:pPr>
            <w:r w:rsidRPr="00BF2A14">
              <w:rPr>
                <w:rFonts w:ascii="Arial" w:hAnsi="Arial" w:cs="Arial"/>
                <w:sz w:val="20"/>
              </w:rPr>
              <w:t xml:space="preserve">157.54 </w:t>
            </w:r>
          </w:p>
        </w:tc>
        <w:tc>
          <w:tcPr>
            <w:tcW w:w="1701" w:type="dxa"/>
            <w:tcBorders>
              <w:top w:val="nil"/>
            </w:tcBorders>
          </w:tcPr>
          <w:p w14:paraId="2B934F17" w14:textId="77777777" w:rsidR="00502BAA" w:rsidRPr="00BF2A14" w:rsidRDefault="00502BAA" w:rsidP="00BF2A14">
            <w:pPr>
              <w:pStyle w:val="NormalWeb"/>
              <w:spacing w:line="480" w:lineRule="auto"/>
              <w:jc w:val="both"/>
              <w:rPr>
                <w:rFonts w:ascii="Arial" w:hAnsi="Arial" w:cs="Arial"/>
                <w:sz w:val="20"/>
              </w:rPr>
            </w:pPr>
            <w:r w:rsidRPr="00BF2A14">
              <w:rPr>
                <w:rFonts w:ascii="Arial" w:hAnsi="Arial" w:cs="Arial"/>
                <w:sz w:val="20"/>
              </w:rPr>
              <w:t>191.83</w:t>
            </w:r>
          </w:p>
        </w:tc>
      </w:tr>
      <w:tr w:rsidR="00502BAA" w:rsidRPr="00BF2A14" w14:paraId="0BA65AD5" w14:textId="77777777" w:rsidTr="00BF2A14">
        <w:tc>
          <w:tcPr>
            <w:tcW w:w="2976" w:type="dxa"/>
          </w:tcPr>
          <w:p w14:paraId="44273421" w14:textId="77777777" w:rsidR="00502BAA" w:rsidRPr="00BF2A14" w:rsidRDefault="00502BAA" w:rsidP="00BF2A14">
            <w:pPr>
              <w:pStyle w:val="NormalWeb"/>
              <w:spacing w:line="480" w:lineRule="auto"/>
              <w:rPr>
                <w:rFonts w:ascii="Arial" w:hAnsi="Arial" w:cs="Arial"/>
                <w:sz w:val="20"/>
              </w:rPr>
            </w:pPr>
            <w:r w:rsidRPr="00BF2A14">
              <w:rPr>
                <w:rFonts w:ascii="Arial" w:hAnsi="Arial" w:cs="Arial"/>
                <w:sz w:val="20"/>
              </w:rPr>
              <w:t>Egg weight (g/laying)</w:t>
            </w:r>
          </w:p>
        </w:tc>
        <w:tc>
          <w:tcPr>
            <w:tcW w:w="1560" w:type="dxa"/>
          </w:tcPr>
          <w:p w14:paraId="2F07B23A" w14:textId="77777777" w:rsidR="00502BAA" w:rsidRPr="00BF2A14" w:rsidRDefault="00502BAA" w:rsidP="00BF2A14">
            <w:pPr>
              <w:pStyle w:val="NormalWeb"/>
              <w:spacing w:line="480" w:lineRule="auto"/>
              <w:jc w:val="both"/>
              <w:rPr>
                <w:rFonts w:ascii="Arial" w:hAnsi="Arial" w:cs="Arial"/>
                <w:sz w:val="20"/>
              </w:rPr>
            </w:pPr>
            <w:r w:rsidRPr="00BF2A14">
              <w:rPr>
                <w:rFonts w:ascii="Arial" w:hAnsi="Arial" w:cs="Arial"/>
                <w:sz w:val="20"/>
              </w:rPr>
              <w:t xml:space="preserve">1.04 </w:t>
            </w:r>
          </w:p>
        </w:tc>
        <w:tc>
          <w:tcPr>
            <w:tcW w:w="1701" w:type="dxa"/>
          </w:tcPr>
          <w:p w14:paraId="554D258C" w14:textId="77777777" w:rsidR="00502BAA" w:rsidRPr="00BF2A14" w:rsidRDefault="00502BAA" w:rsidP="00BF2A14">
            <w:pPr>
              <w:pStyle w:val="NormalWeb"/>
              <w:spacing w:line="480" w:lineRule="auto"/>
              <w:jc w:val="both"/>
              <w:rPr>
                <w:rFonts w:ascii="Arial" w:hAnsi="Arial" w:cs="Arial"/>
                <w:sz w:val="20"/>
              </w:rPr>
            </w:pPr>
            <w:r w:rsidRPr="00BF2A14">
              <w:rPr>
                <w:rFonts w:ascii="Arial" w:hAnsi="Arial" w:cs="Arial"/>
                <w:sz w:val="20"/>
              </w:rPr>
              <w:t>1.20</w:t>
            </w:r>
          </w:p>
        </w:tc>
      </w:tr>
      <w:tr w:rsidR="00502BAA" w:rsidRPr="00BF2A14" w14:paraId="2E2B78E5" w14:textId="77777777" w:rsidTr="00BF2A14">
        <w:tc>
          <w:tcPr>
            <w:tcW w:w="2976" w:type="dxa"/>
          </w:tcPr>
          <w:p w14:paraId="07F7513C" w14:textId="77777777" w:rsidR="00502BAA" w:rsidRPr="00BF2A14" w:rsidRDefault="00502BAA" w:rsidP="00BF2A14">
            <w:pPr>
              <w:pStyle w:val="NormalWeb"/>
              <w:spacing w:line="480" w:lineRule="auto"/>
              <w:rPr>
                <w:rFonts w:ascii="Arial" w:hAnsi="Arial" w:cs="Arial"/>
                <w:sz w:val="20"/>
              </w:rPr>
            </w:pPr>
            <w:r w:rsidRPr="00BF2A14">
              <w:rPr>
                <w:rFonts w:ascii="Arial" w:hAnsi="Arial" w:cs="Arial"/>
                <w:sz w:val="20"/>
              </w:rPr>
              <w:t>Incubation period (days)</w:t>
            </w:r>
          </w:p>
        </w:tc>
        <w:tc>
          <w:tcPr>
            <w:tcW w:w="1560" w:type="dxa"/>
          </w:tcPr>
          <w:p w14:paraId="35F41296" w14:textId="77777777" w:rsidR="00502BAA" w:rsidRPr="00BF2A14" w:rsidRDefault="00502BAA" w:rsidP="00BF2A14">
            <w:pPr>
              <w:pStyle w:val="NormalWeb"/>
              <w:spacing w:line="480" w:lineRule="auto"/>
              <w:jc w:val="both"/>
              <w:rPr>
                <w:rFonts w:ascii="Arial" w:hAnsi="Arial" w:cs="Arial"/>
                <w:sz w:val="20"/>
              </w:rPr>
            </w:pPr>
            <w:r w:rsidRPr="00BF2A14">
              <w:rPr>
                <w:rFonts w:ascii="Arial" w:hAnsi="Arial" w:cs="Arial"/>
                <w:sz w:val="20"/>
              </w:rPr>
              <w:t xml:space="preserve">10.00 </w:t>
            </w:r>
          </w:p>
        </w:tc>
        <w:tc>
          <w:tcPr>
            <w:tcW w:w="1701" w:type="dxa"/>
          </w:tcPr>
          <w:p w14:paraId="6F79C946" w14:textId="77777777" w:rsidR="00502BAA" w:rsidRPr="00BF2A14" w:rsidRDefault="00502BAA" w:rsidP="00BF2A14">
            <w:pPr>
              <w:pStyle w:val="NormalWeb"/>
              <w:spacing w:line="480" w:lineRule="auto"/>
              <w:jc w:val="both"/>
              <w:rPr>
                <w:rFonts w:ascii="Arial" w:hAnsi="Arial" w:cs="Arial"/>
                <w:sz w:val="20"/>
              </w:rPr>
            </w:pPr>
            <w:r w:rsidRPr="00BF2A14">
              <w:rPr>
                <w:rFonts w:ascii="Arial" w:hAnsi="Arial" w:cs="Arial"/>
                <w:sz w:val="20"/>
              </w:rPr>
              <w:t>11.98</w:t>
            </w:r>
          </w:p>
        </w:tc>
      </w:tr>
      <w:tr w:rsidR="00502BAA" w:rsidRPr="00BF2A14" w14:paraId="4E481530" w14:textId="77777777" w:rsidTr="00BF2A14">
        <w:tc>
          <w:tcPr>
            <w:tcW w:w="2976" w:type="dxa"/>
          </w:tcPr>
          <w:p w14:paraId="54C9A369" w14:textId="77777777" w:rsidR="00502BAA" w:rsidRPr="00BF2A14" w:rsidRDefault="00502BAA" w:rsidP="00BF2A14">
            <w:pPr>
              <w:pStyle w:val="NormalWeb"/>
              <w:spacing w:line="480" w:lineRule="auto"/>
              <w:rPr>
                <w:rFonts w:ascii="Arial" w:hAnsi="Arial" w:cs="Arial"/>
                <w:sz w:val="20"/>
              </w:rPr>
            </w:pPr>
            <w:r w:rsidRPr="00BF2A14">
              <w:rPr>
                <w:rFonts w:ascii="Arial" w:hAnsi="Arial" w:cs="Arial"/>
                <w:sz w:val="20"/>
              </w:rPr>
              <w:t>Period of egg hatching (days)</w:t>
            </w:r>
          </w:p>
        </w:tc>
        <w:tc>
          <w:tcPr>
            <w:tcW w:w="1560" w:type="dxa"/>
          </w:tcPr>
          <w:p w14:paraId="568ED227" w14:textId="77777777" w:rsidR="00502BAA" w:rsidRPr="00BF2A14" w:rsidRDefault="00502BAA" w:rsidP="00BF2A14">
            <w:pPr>
              <w:pStyle w:val="NormalWeb"/>
              <w:spacing w:line="480" w:lineRule="auto"/>
              <w:jc w:val="both"/>
              <w:rPr>
                <w:rFonts w:ascii="Arial" w:hAnsi="Arial" w:cs="Arial"/>
                <w:sz w:val="20"/>
              </w:rPr>
            </w:pPr>
            <w:r w:rsidRPr="00BF2A14">
              <w:rPr>
                <w:rFonts w:ascii="Arial" w:hAnsi="Arial" w:cs="Arial"/>
                <w:sz w:val="20"/>
              </w:rPr>
              <w:t xml:space="preserve">5.87 </w:t>
            </w:r>
          </w:p>
        </w:tc>
        <w:tc>
          <w:tcPr>
            <w:tcW w:w="1701" w:type="dxa"/>
          </w:tcPr>
          <w:p w14:paraId="4021084C" w14:textId="77777777" w:rsidR="00502BAA" w:rsidRPr="00BF2A14" w:rsidRDefault="00502BAA" w:rsidP="00BF2A14">
            <w:pPr>
              <w:pStyle w:val="NormalWeb"/>
              <w:spacing w:line="480" w:lineRule="auto"/>
              <w:jc w:val="both"/>
              <w:rPr>
                <w:rFonts w:ascii="Arial" w:hAnsi="Arial" w:cs="Arial"/>
                <w:sz w:val="20"/>
              </w:rPr>
            </w:pPr>
            <w:r w:rsidRPr="00BF2A14">
              <w:rPr>
                <w:rFonts w:ascii="Arial" w:hAnsi="Arial" w:cs="Arial"/>
                <w:sz w:val="20"/>
              </w:rPr>
              <w:t>5.75</w:t>
            </w:r>
          </w:p>
        </w:tc>
      </w:tr>
    </w:tbl>
    <w:p w14:paraId="3E61BA83" w14:textId="77777777" w:rsidR="00502BAA" w:rsidRPr="00BF2A14" w:rsidRDefault="00204E6D" w:rsidP="00091E0F">
      <w:pPr>
        <w:pStyle w:val="NormalWeb"/>
        <w:jc w:val="both"/>
        <w:rPr>
          <w:rFonts w:ascii="Arial" w:hAnsi="Arial" w:cs="Arial"/>
          <w:sz w:val="20"/>
        </w:rPr>
      </w:pPr>
      <w:r w:rsidRPr="00BF2A14">
        <w:rPr>
          <w:rStyle w:val="Strong"/>
          <w:rFonts w:ascii="Arial" w:hAnsi="Arial" w:cs="Arial"/>
          <w:b w:val="0"/>
          <w:sz w:val="20"/>
        </w:rPr>
        <w:t xml:space="preserve">Source: Saikia </w:t>
      </w:r>
      <w:r w:rsidRPr="00BF2A14">
        <w:rPr>
          <w:rStyle w:val="Strong"/>
          <w:rFonts w:ascii="Arial" w:hAnsi="Arial" w:cs="Arial"/>
          <w:b w:val="0"/>
          <w:i/>
          <w:sz w:val="20"/>
        </w:rPr>
        <w:t>et al.</w:t>
      </w:r>
      <w:r w:rsidRPr="00BF2A14">
        <w:rPr>
          <w:rStyle w:val="Strong"/>
          <w:rFonts w:ascii="Arial" w:hAnsi="Arial" w:cs="Arial"/>
          <w:b w:val="0"/>
          <w:sz w:val="20"/>
        </w:rPr>
        <w:t xml:space="preserve"> (2023)</w:t>
      </w:r>
    </w:p>
    <w:p w14:paraId="463D18E5" w14:textId="77777777" w:rsidR="00091E0F" w:rsidRPr="00D31C07" w:rsidRDefault="00091E0F" w:rsidP="00091E0F">
      <w:pPr>
        <w:pStyle w:val="NormalWeb"/>
        <w:jc w:val="both"/>
        <w:rPr>
          <w:rFonts w:ascii="Arial" w:hAnsi="Arial" w:cs="Arial"/>
          <w:sz w:val="20"/>
          <w:szCs w:val="20"/>
        </w:rPr>
      </w:pPr>
      <w:r w:rsidRPr="00D31C07">
        <w:rPr>
          <w:rFonts w:ascii="Arial" w:hAnsi="Arial" w:cs="Arial"/>
          <w:sz w:val="20"/>
          <w:szCs w:val="20"/>
        </w:rPr>
        <w:lastRenderedPageBreak/>
        <w:t xml:space="preserve">Seasonal variations also modulate the efficacy of hormonal interventions. </w:t>
      </w:r>
      <w:r w:rsidRPr="00D31C07">
        <w:rPr>
          <w:rStyle w:val="Strong"/>
          <w:rFonts w:ascii="Arial" w:hAnsi="Arial" w:cs="Arial"/>
          <w:b w:val="0"/>
          <w:sz w:val="20"/>
          <w:szCs w:val="20"/>
        </w:rPr>
        <w:t xml:space="preserve">Neog </w:t>
      </w:r>
      <w:r w:rsidRPr="00D31C07">
        <w:rPr>
          <w:rStyle w:val="Strong"/>
          <w:rFonts w:ascii="Arial" w:hAnsi="Arial" w:cs="Arial"/>
          <w:b w:val="0"/>
          <w:i/>
          <w:sz w:val="20"/>
          <w:szCs w:val="20"/>
        </w:rPr>
        <w:t>et al.</w:t>
      </w:r>
      <w:r w:rsidRPr="00D31C07">
        <w:rPr>
          <w:rStyle w:val="Strong"/>
          <w:rFonts w:ascii="Arial" w:hAnsi="Arial" w:cs="Arial"/>
          <w:b w:val="0"/>
          <w:sz w:val="20"/>
          <w:szCs w:val="20"/>
        </w:rPr>
        <w:t xml:space="preserve"> (2013)</w:t>
      </w:r>
      <w:r w:rsidRPr="00D31C07">
        <w:rPr>
          <w:rFonts w:ascii="Arial" w:hAnsi="Arial" w:cs="Arial"/>
          <w:sz w:val="20"/>
          <w:szCs w:val="20"/>
        </w:rPr>
        <w:t xml:space="preserve"> found that topical application of juvenile hormone (JH-III) and 20-hydroxyecdysone (20-E) improved reproductive performance in all seasons, with the most pronounced effects during the </w:t>
      </w:r>
      <w:proofErr w:type="spellStart"/>
      <w:r w:rsidRPr="00D31C07">
        <w:rPr>
          <w:rFonts w:ascii="Arial" w:hAnsi="Arial" w:cs="Arial"/>
          <w:sz w:val="20"/>
          <w:szCs w:val="20"/>
        </w:rPr>
        <w:t>Bhodia</w:t>
      </w:r>
      <w:proofErr w:type="spellEnd"/>
      <w:r w:rsidRPr="00D31C07">
        <w:rPr>
          <w:rFonts w:ascii="Arial" w:hAnsi="Arial" w:cs="Arial"/>
          <w:sz w:val="20"/>
          <w:szCs w:val="20"/>
        </w:rPr>
        <w:t xml:space="preserve"> season (August–September), where fecundity rose to 166 eggs per female from a baseline of 100–115 in untreated c</w:t>
      </w:r>
      <w:r w:rsidR="00FE757A" w:rsidRPr="00D31C07">
        <w:rPr>
          <w:rFonts w:ascii="Arial" w:hAnsi="Arial" w:cs="Arial"/>
          <w:sz w:val="20"/>
          <w:szCs w:val="20"/>
        </w:rPr>
        <w:t xml:space="preserve">ontrols. Notably, egg retention </w:t>
      </w:r>
      <w:r w:rsidRPr="00D31C07">
        <w:rPr>
          <w:rFonts w:ascii="Arial" w:hAnsi="Arial" w:cs="Arial"/>
          <w:sz w:val="20"/>
          <w:szCs w:val="20"/>
        </w:rPr>
        <w:t xml:space="preserve">commonly observed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00FE757A" w:rsidRPr="00D31C07">
        <w:rPr>
          <w:rFonts w:ascii="Arial" w:hAnsi="Arial" w:cs="Arial"/>
          <w:sz w:val="20"/>
          <w:szCs w:val="20"/>
        </w:rPr>
        <w:t xml:space="preserve"> </w:t>
      </w:r>
      <w:r w:rsidRPr="00D31C07">
        <w:rPr>
          <w:rFonts w:ascii="Arial" w:hAnsi="Arial" w:cs="Arial"/>
          <w:sz w:val="20"/>
          <w:szCs w:val="20"/>
        </w:rPr>
        <w:t>was drastically reduced by 20-E application, with treated moths retaining as few as 8 eggs compared to 37.67 in untreated counterparts during the October–November season.</w:t>
      </w:r>
    </w:p>
    <w:p w14:paraId="30F0D2D9" w14:textId="77777777" w:rsidR="00502BAA" w:rsidRPr="00D31C07" w:rsidRDefault="00091E0F" w:rsidP="00091E0F">
      <w:pPr>
        <w:pStyle w:val="NormalWeb"/>
        <w:jc w:val="both"/>
        <w:rPr>
          <w:rFonts w:ascii="Arial" w:hAnsi="Arial" w:cs="Arial"/>
          <w:sz w:val="20"/>
          <w:szCs w:val="20"/>
        </w:rPr>
      </w:pPr>
      <w:r w:rsidRPr="00D31C07">
        <w:rPr>
          <w:rFonts w:ascii="Arial" w:hAnsi="Arial" w:cs="Arial"/>
          <w:sz w:val="20"/>
          <w:szCs w:val="20"/>
        </w:rPr>
        <w:t xml:space="preserve">Mating duration is another critical variable interacting with seasonal factors. </w:t>
      </w:r>
      <w:r w:rsidRPr="00D31C07">
        <w:rPr>
          <w:rStyle w:val="Strong"/>
          <w:rFonts w:ascii="Arial" w:hAnsi="Arial" w:cs="Arial"/>
          <w:b w:val="0"/>
          <w:sz w:val="20"/>
          <w:szCs w:val="20"/>
        </w:rPr>
        <w:t>Goswami &amp; Singh (2012)</w:t>
      </w:r>
      <w:r w:rsidRPr="00D31C07">
        <w:rPr>
          <w:rFonts w:ascii="Arial" w:hAnsi="Arial" w:cs="Arial"/>
          <w:sz w:val="20"/>
          <w:szCs w:val="20"/>
        </w:rPr>
        <w:t xml:space="preserve"> showed that 4 hours of mating sufficed to achieve optimal fecundity in both summer and winter</w:t>
      </w:r>
      <w:r w:rsidR="000D0E48" w:rsidRPr="00D31C07">
        <w:rPr>
          <w:rFonts w:ascii="Arial" w:hAnsi="Arial" w:cs="Arial"/>
          <w:sz w:val="20"/>
          <w:szCs w:val="20"/>
        </w:rPr>
        <w:t xml:space="preserve"> (Table 4)</w:t>
      </w:r>
      <w:r w:rsidRPr="00D31C07">
        <w:rPr>
          <w:rFonts w:ascii="Arial" w:hAnsi="Arial" w:cs="Arial"/>
          <w:sz w:val="20"/>
          <w:szCs w:val="20"/>
        </w:rPr>
        <w:t>. However, the absolute</w:t>
      </w:r>
      <w:r w:rsidR="00FE757A" w:rsidRPr="00D31C07">
        <w:rPr>
          <w:rFonts w:ascii="Arial" w:hAnsi="Arial" w:cs="Arial"/>
          <w:sz w:val="20"/>
          <w:szCs w:val="20"/>
        </w:rPr>
        <w:t xml:space="preserve"> values differed across seasons,</w:t>
      </w:r>
      <w:r w:rsidRPr="00D31C07">
        <w:rPr>
          <w:rFonts w:ascii="Arial" w:hAnsi="Arial" w:cs="Arial"/>
          <w:sz w:val="20"/>
          <w:szCs w:val="20"/>
        </w:rPr>
        <w:t xml:space="preserve"> in winter, fecundity ranged from 110 to 137 eggs per female, while in summer it increased to 159–179 eggs. Taken together, these studies highlight the substantial influence of seasonal variation on reproductive output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impacting both intrinsic physiological traits and responsiveness to mating and hormonal cues. Autumn appears to favor higher fecundity and egg weight, while spring supports superior hatching rates. Seasonal optimization of mating duration and application of reproductive hormones may thus serve as effective strategies to mitigate seed production bottlenecks and stabilize output in commercial sericulture.</w:t>
      </w:r>
    </w:p>
    <w:p w14:paraId="21D59784" w14:textId="77777777" w:rsidR="000D0E48" w:rsidRPr="00BF2A14" w:rsidRDefault="000D0E48" w:rsidP="00091E0F">
      <w:pPr>
        <w:pStyle w:val="NormalWeb"/>
        <w:jc w:val="both"/>
        <w:rPr>
          <w:rFonts w:ascii="Arial" w:hAnsi="Arial" w:cs="Arial"/>
          <w:b/>
          <w:sz w:val="20"/>
        </w:rPr>
      </w:pPr>
      <w:r w:rsidRPr="00BF2A14">
        <w:rPr>
          <w:rFonts w:ascii="Arial" w:hAnsi="Arial" w:cs="Arial"/>
          <w:b/>
          <w:sz w:val="20"/>
        </w:rPr>
        <w:t xml:space="preserve">Table 4. Effect of season on fecundity of </w:t>
      </w:r>
      <w:proofErr w:type="spellStart"/>
      <w:r w:rsidRPr="00BF2A14">
        <w:rPr>
          <w:rFonts w:ascii="Arial" w:hAnsi="Arial" w:cs="Arial"/>
          <w:b/>
          <w:sz w:val="20"/>
        </w:rPr>
        <w:t>muga</w:t>
      </w:r>
      <w:proofErr w:type="spellEnd"/>
      <w:r w:rsidRPr="00BF2A14">
        <w:rPr>
          <w:rFonts w:ascii="Arial" w:hAnsi="Arial" w:cs="Arial"/>
          <w:b/>
          <w:sz w:val="20"/>
        </w:rPr>
        <w:t xml:space="preserve"> silk moth in different mating durations</w:t>
      </w:r>
    </w:p>
    <w:tbl>
      <w:tblPr>
        <w:tblStyle w:val="TableGrid"/>
        <w:tblW w:w="0" w:type="auto"/>
        <w:tblInd w:w="703"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596"/>
        <w:gridCol w:w="1596"/>
        <w:gridCol w:w="1596"/>
        <w:gridCol w:w="1596"/>
        <w:gridCol w:w="1596"/>
      </w:tblGrid>
      <w:tr w:rsidR="00204E6D" w:rsidRPr="00BF2A14" w14:paraId="0DA02888" w14:textId="77777777" w:rsidTr="00BF2A14">
        <w:tc>
          <w:tcPr>
            <w:tcW w:w="1596" w:type="dxa"/>
            <w:vMerge w:val="restart"/>
            <w:tcBorders>
              <w:top w:val="single" w:sz="4" w:space="0" w:color="auto"/>
              <w:bottom w:val="single" w:sz="4" w:space="0" w:color="auto"/>
            </w:tcBorders>
          </w:tcPr>
          <w:p w14:paraId="1A225DC6" w14:textId="77777777" w:rsidR="00204E6D" w:rsidRPr="00BF2A14" w:rsidRDefault="00204E6D" w:rsidP="00BF2A14">
            <w:pPr>
              <w:pStyle w:val="NormalWeb"/>
              <w:spacing w:line="480" w:lineRule="auto"/>
              <w:jc w:val="both"/>
              <w:rPr>
                <w:rFonts w:ascii="Arial" w:hAnsi="Arial" w:cs="Arial"/>
                <w:b/>
                <w:sz w:val="20"/>
                <w:szCs w:val="20"/>
              </w:rPr>
            </w:pPr>
            <w:r w:rsidRPr="00BF2A14">
              <w:rPr>
                <w:rFonts w:ascii="Arial" w:hAnsi="Arial" w:cs="Arial"/>
                <w:b/>
                <w:sz w:val="20"/>
                <w:szCs w:val="20"/>
              </w:rPr>
              <w:t>Mating duration (Hours)</w:t>
            </w:r>
          </w:p>
        </w:tc>
        <w:tc>
          <w:tcPr>
            <w:tcW w:w="6384" w:type="dxa"/>
            <w:gridSpan w:val="4"/>
            <w:tcBorders>
              <w:top w:val="single" w:sz="4" w:space="0" w:color="auto"/>
              <w:bottom w:val="single" w:sz="4" w:space="0" w:color="auto"/>
            </w:tcBorders>
          </w:tcPr>
          <w:p w14:paraId="33743EF6" w14:textId="77777777" w:rsidR="00204E6D" w:rsidRPr="00BF2A14" w:rsidRDefault="00204E6D" w:rsidP="00BF2A14">
            <w:pPr>
              <w:pStyle w:val="NormalWeb"/>
              <w:spacing w:line="480" w:lineRule="auto"/>
              <w:jc w:val="center"/>
              <w:rPr>
                <w:rFonts w:ascii="Arial" w:hAnsi="Arial" w:cs="Arial"/>
                <w:b/>
                <w:sz w:val="20"/>
                <w:szCs w:val="20"/>
              </w:rPr>
            </w:pPr>
            <w:r w:rsidRPr="00BF2A14">
              <w:rPr>
                <w:rFonts w:ascii="Arial" w:hAnsi="Arial" w:cs="Arial"/>
                <w:b/>
                <w:sz w:val="20"/>
                <w:szCs w:val="20"/>
              </w:rPr>
              <w:t>Season</w:t>
            </w:r>
          </w:p>
        </w:tc>
      </w:tr>
      <w:tr w:rsidR="00204E6D" w:rsidRPr="00BF2A14" w14:paraId="085DE7CB" w14:textId="77777777" w:rsidTr="00BF2A14">
        <w:tc>
          <w:tcPr>
            <w:tcW w:w="1596" w:type="dxa"/>
            <w:vMerge/>
            <w:tcBorders>
              <w:top w:val="single" w:sz="4" w:space="0" w:color="auto"/>
              <w:bottom w:val="single" w:sz="4" w:space="0" w:color="auto"/>
            </w:tcBorders>
          </w:tcPr>
          <w:p w14:paraId="543F8F9E" w14:textId="77777777" w:rsidR="00204E6D" w:rsidRPr="00BF2A14" w:rsidRDefault="00204E6D" w:rsidP="00BF2A14">
            <w:pPr>
              <w:pStyle w:val="NormalWeb"/>
              <w:spacing w:line="480" w:lineRule="auto"/>
              <w:jc w:val="both"/>
              <w:rPr>
                <w:rFonts w:ascii="Arial" w:hAnsi="Arial" w:cs="Arial"/>
                <w:b/>
                <w:sz w:val="20"/>
                <w:szCs w:val="20"/>
              </w:rPr>
            </w:pPr>
          </w:p>
        </w:tc>
        <w:tc>
          <w:tcPr>
            <w:tcW w:w="1596" w:type="dxa"/>
            <w:tcBorders>
              <w:top w:val="single" w:sz="4" w:space="0" w:color="auto"/>
              <w:bottom w:val="single" w:sz="4" w:space="0" w:color="auto"/>
            </w:tcBorders>
          </w:tcPr>
          <w:p w14:paraId="257592AB" w14:textId="77777777" w:rsidR="00204E6D" w:rsidRPr="00BF2A14" w:rsidRDefault="00204E6D" w:rsidP="00BF2A14">
            <w:pPr>
              <w:pStyle w:val="NormalWeb"/>
              <w:spacing w:line="480" w:lineRule="auto"/>
              <w:jc w:val="both"/>
              <w:rPr>
                <w:rFonts w:ascii="Arial" w:hAnsi="Arial" w:cs="Arial"/>
                <w:b/>
                <w:sz w:val="20"/>
                <w:szCs w:val="20"/>
              </w:rPr>
            </w:pPr>
            <w:r w:rsidRPr="00BF2A14">
              <w:rPr>
                <w:rFonts w:ascii="Arial" w:hAnsi="Arial" w:cs="Arial"/>
                <w:b/>
                <w:sz w:val="20"/>
                <w:szCs w:val="20"/>
              </w:rPr>
              <w:t>Spring</w:t>
            </w:r>
          </w:p>
        </w:tc>
        <w:tc>
          <w:tcPr>
            <w:tcW w:w="1596" w:type="dxa"/>
            <w:tcBorders>
              <w:top w:val="single" w:sz="4" w:space="0" w:color="auto"/>
              <w:bottom w:val="single" w:sz="4" w:space="0" w:color="auto"/>
            </w:tcBorders>
          </w:tcPr>
          <w:p w14:paraId="2A885DAC" w14:textId="77777777" w:rsidR="00204E6D" w:rsidRPr="00BF2A14" w:rsidRDefault="00204E6D" w:rsidP="00BF2A14">
            <w:pPr>
              <w:pStyle w:val="NormalWeb"/>
              <w:spacing w:line="480" w:lineRule="auto"/>
              <w:jc w:val="both"/>
              <w:rPr>
                <w:rFonts w:ascii="Arial" w:hAnsi="Arial" w:cs="Arial"/>
                <w:b/>
                <w:sz w:val="20"/>
                <w:szCs w:val="20"/>
              </w:rPr>
            </w:pPr>
            <w:r w:rsidRPr="00BF2A14">
              <w:rPr>
                <w:rFonts w:ascii="Arial" w:hAnsi="Arial" w:cs="Arial"/>
                <w:b/>
                <w:sz w:val="20"/>
                <w:szCs w:val="20"/>
              </w:rPr>
              <w:t>Summer</w:t>
            </w:r>
          </w:p>
        </w:tc>
        <w:tc>
          <w:tcPr>
            <w:tcW w:w="1596" w:type="dxa"/>
            <w:tcBorders>
              <w:top w:val="single" w:sz="4" w:space="0" w:color="auto"/>
              <w:bottom w:val="single" w:sz="4" w:space="0" w:color="auto"/>
            </w:tcBorders>
          </w:tcPr>
          <w:p w14:paraId="4C7E6820" w14:textId="77777777" w:rsidR="00204E6D" w:rsidRPr="00BF2A14" w:rsidRDefault="00204E6D" w:rsidP="00BF2A14">
            <w:pPr>
              <w:pStyle w:val="NormalWeb"/>
              <w:spacing w:line="480" w:lineRule="auto"/>
              <w:jc w:val="both"/>
              <w:rPr>
                <w:rFonts w:ascii="Arial" w:hAnsi="Arial" w:cs="Arial"/>
                <w:b/>
                <w:sz w:val="20"/>
                <w:szCs w:val="20"/>
              </w:rPr>
            </w:pPr>
            <w:r w:rsidRPr="00BF2A14">
              <w:rPr>
                <w:rFonts w:ascii="Arial" w:hAnsi="Arial" w:cs="Arial"/>
                <w:b/>
                <w:sz w:val="20"/>
                <w:szCs w:val="20"/>
              </w:rPr>
              <w:t>Autumn</w:t>
            </w:r>
          </w:p>
        </w:tc>
        <w:tc>
          <w:tcPr>
            <w:tcW w:w="1596" w:type="dxa"/>
            <w:tcBorders>
              <w:top w:val="single" w:sz="4" w:space="0" w:color="auto"/>
              <w:bottom w:val="single" w:sz="4" w:space="0" w:color="auto"/>
            </w:tcBorders>
          </w:tcPr>
          <w:p w14:paraId="286D68E5" w14:textId="77777777" w:rsidR="00204E6D" w:rsidRPr="00BF2A14" w:rsidRDefault="00204E6D" w:rsidP="00BF2A14">
            <w:pPr>
              <w:pStyle w:val="NormalWeb"/>
              <w:spacing w:line="480" w:lineRule="auto"/>
              <w:jc w:val="both"/>
              <w:rPr>
                <w:rFonts w:ascii="Arial" w:hAnsi="Arial" w:cs="Arial"/>
                <w:b/>
                <w:sz w:val="20"/>
                <w:szCs w:val="20"/>
              </w:rPr>
            </w:pPr>
            <w:r w:rsidRPr="00BF2A14">
              <w:rPr>
                <w:rFonts w:ascii="Arial" w:hAnsi="Arial" w:cs="Arial"/>
                <w:b/>
                <w:sz w:val="20"/>
                <w:szCs w:val="20"/>
              </w:rPr>
              <w:t>Winter</w:t>
            </w:r>
          </w:p>
        </w:tc>
      </w:tr>
      <w:tr w:rsidR="00204E6D" w:rsidRPr="00BF2A14" w14:paraId="5775ACDB" w14:textId="77777777" w:rsidTr="00BF2A14">
        <w:tc>
          <w:tcPr>
            <w:tcW w:w="1596" w:type="dxa"/>
            <w:tcBorders>
              <w:top w:val="single" w:sz="4" w:space="0" w:color="auto"/>
              <w:bottom w:val="nil"/>
            </w:tcBorders>
          </w:tcPr>
          <w:p w14:paraId="15921EFB" w14:textId="77777777"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 xml:space="preserve">2 </w:t>
            </w:r>
            <w:proofErr w:type="spellStart"/>
            <w:r w:rsidRPr="00BF2A14">
              <w:rPr>
                <w:rFonts w:ascii="Arial" w:hAnsi="Arial" w:cs="Arial"/>
                <w:sz w:val="20"/>
                <w:szCs w:val="20"/>
              </w:rPr>
              <w:t>Hr</w:t>
            </w:r>
            <w:proofErr w:type="spellEnd"/>
          </w:p>
        </w:tc>
        <w:tc>
          <w:tcPr>
            <w:tcW w:w="1596" w:type="dxa"/>
            <w:tcBorders>
              <w:top w:val="single" w:sz="4" w:space="0" w:color="auto"/>
              <w:bottom w:val="nil"/>
            </w:tcBorders>
          </w:tcPr>
          <w:p w14:paraId="21BB3A8F" w14:textId="77777777"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126.17</w:t>
            </w:r>
          </w:p>
        </w:tc>
        <w:tc>
          <w:tcPr>
            <w:tcW w:w="1596" w:type="dxa"/>
            <w:tcBorders>
              <w:top w:val="single" w:sz="4" w:space="0" w:color="auto"/>
              <w:bottom w:val="nil"/>
            </w:tcBorders>
          </w:tcPr>
          <w:p w14:paraId="26C23C58" w14:textId="77777777"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114</w:t>
            </w:r>
          </w:p>
        </w:tc>
        <w:tc>
          <w:tcPr>
            <w:tcW w:w="1596" w:type="dxa"/>
            <w:tcBorders>
              <w:top w:val="single" w:sz="4" w:space="0" w:color="auto"/>
              <w:bottom w:val="nil"/>
            </w:tcBorders>
          </w:tcPr>
          <w:p w14:paraId="0491BEE2" w14:textId="77777777"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175.25</w:t>
            </w:r>
          </w:p>
        </w:tc>
        <w:tc>
          <w:tcPr>
            <w:tcW w:w="1596" w:type="dxa"/>
            <w:tcBorders>
              <w:top w:val="single" w:sz="4" w:space="0" w:color="auto"/>
              <w:bottom w:val="nil"/>
            </w:tcBorders>
          </w:tcPr>
          <w:p w14:paraId="66549F71" w14:textId="77777777"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172</w:t>
            </w:r>
          </w:p>
        </w:tc>
      </w:tr>
      <w:tr w:rsidR="00204E6D" w:rsidRPr="00BF2A14" w14:paraId="21153579" w14:textId="77777777" w:rsidTr="00BF2A14">
        <w:tc>
          <w:tcPr>
            <w:tcW w:w="1596" w:type="dxa"/>
            <w:tcBorders>
              <w:top w:val="nil"/>
            </w:tcBorders>
          </w:tcPr>
          <w:p w14:paraId="58754298" w14:textId="77777777"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 xml:space="preserve">3 </w:t>
            </w:r>
            <w:proofErr w:type="spellStart"/>
            <w:r w:rsidRPr="00BF2A14">
              <w:rPr>
                <w:rFonts w:ascii="Arial" w:hAnsi="Arial" w:cs="Arial"/>
                <w:sz w:val="20"/>
                <w:szCs w:val="20"/>
              </w:rPr>
              <w:t>Hr</w:t>
            </w:r>
            <w:proofErr w:type="spellEnd"/>
          </w:p>
        </w:tc>
        <w:tc>
          <w:tcPr>
            <w:tcW w:w="1596" w:type="dxa"/>
            <w:tcBorders>
              <w:top w:val="nil"/>
            </w:tcBorders>
          </w:tcPr>
          <w:p w14:paraId="2588B6C8" w14:textId="77777777"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 xml:space="preserve">156.00 </w:t>
            </w:r>
          </w:p>
        </w:tc>
        <w:tc>
          <w:tcPr>
            <w:tcW w:w="1596" w:type="dxa"/>
            <w:tcBorders>
              <w:top w:val="nil"/>
            </w:tcBorders>
          </w:tcPr>
          <w:p w14:paraId="08D8F046" w14:textId="77777777"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176</w:t>
            </w:r>
          </w:p>
        </w:tc>
        <w:tc>
          <w:tcPr>
            <w:tcW w:w="1596" w:type="dxa"/>
            <w:tcBorders>
              <w:top w:val="nil"/>
            </w:tcBorders>
          </w:tcPr>
          <w:p w14:paraId="05866A33" w14:textId="77777777"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156.17</w:t>
            </w:r>
          </w:p>
        </w:tc>
        <w:tc>
          <w:tcPr>
            <w:tcW w:w="1596" w:type="dxa"/>
            <w:tcBorders>
              <w:top w:val="nil"/>
            </w:tcBorders>
          </w:tcPr>
          <w:p w14:paraId="10A4E5EB" w14:textId="77777777"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128</w:t>
            </w:r>
          </w:p>
        </w:tc>
      </w:tr>
      <w:tr w:rsidR="00204E6D" w:rsidRPr="00BF2A14" w14:paraId="5EF8D0B9" w14:textId="77777777" w:rsidTr="00BF2A14">
        <w:tc>
          <w:tcPr>
            <w:tcW w:w="1596" w:type="dxa"/>
          </w:tcPr>
          <w:p w14:paraId="45B13946" w14:textId="77777777"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 xml:space="preserve">4 </w:t>
            </w:r>
            <w:proofErr w:type="spellStart"/>
            <w:r w:rsidRPr="00BF2A14">
              <w:rPr>
                <w:rFonts w:ascii="Arial" w:hAnsi="Arial" w:cs="Arial"/>
                <w:sz w:val="20"/>
                <w:szCs w:val="20"/>
              </w:rPr>
              <w:t>Hr</w:t>
            </w:r>
            <w:proofErr w:type="spellEnd"/>
          </w:p>
        </w:tc>
        <w:tc>
          <w:tcPr>
            <w:tcW w:w="1596" w:type="dxa"/>
          </w:tcPr>
          <w:p w14:paraId="3AEF15DC" w14:textId="77777777"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 xml:space="preserve">164.67 </w:t>
            </w:r>
          </w:p>
        </w:tc>
        <w:tc>
          <w:tcPr>
            <w:tcW w:w="1596" w:type="dxa"/>
          </w:tcPr>
          <w:p w14:paraId="01267430" w14:textId="77777777"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179</w:t>
            </w:r>
          </w:p>
        </w:tc>
        <w:tc>
          <w:tcPr>
            <w:tcW w:w="1596" w:type="dxa"/>
          </w:tcPr>
          <w:p w14:paraId="3B44120E" w14:textId="77777777"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223.67</w:t>
            </w:r>
          </w:p>
        </w:tc>
        <w:tc>
          <w:tcPr>
            <w:tcW w:w="1596" w:type="dxa"/>
          </w:tcPr>
          <w:p w14:paraId="3D757AE7" w14:textId="77777777"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137</w:t>
            </w:r>
          </w:p>
        </w:tc>
      </w:tr>
      <w:tr w:rsidR="00204E6D" w:rsidRPr="00BF2A14" w14:paraId="24A69473" w14:textId="77777777" w:rsidTr="00BF2A14">
        <w:tc>
          <w:tcPr>
            <w:tcW w:w="1596" w:type="dxa"/>
          </w:tcPr>
          <w:p w14:paraId="0A6C3D20" w14:textId="77777777"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 xml:space="preserve">5 </w:t>
            </w:r>
            <w:proofErr w:type="spellStart"/>
            <w:r w:rsidRPr="00BF2A14">
              <w:rPr>
                <w:rFonts w:ascii="Arial" w:hAnsi="Arial" w:cs="Arial"/>
                <w:sz w:val="20"/>
                <w:szCs w:val="20"/>
              </w:rPr>
              <w:t>Hr</w:t>
            </w:r>
            <w:proofErr w:type="spellEnd"/>
          </w:p>
        </w:tc>
        <w:tc>
          <w:tcPr>
            <w:tcW w:w="1596" w:type="dxa"/>
          </w:tcPr>
          <w:p w14:paraId="7571A806" w14:textId="77777777"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 xml:space="preserve">183.33 </w:t>
            </w:r>
          </w:p>
        </w:tc>
        <w:tc>
          <w:tcPr>
            <w:tcW w:w="1596" w:type="dxa"/>
          </w:tcPr>
          <w:p w14:paraId="2447DF40" w14:textId="77777777"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168</w:t>
            </w:r>
          </w:p>
        </w:tc>
        <w:tc>
          <w:tcPr>
            <w:tcW w:w="1596" w:type="dxa"/>
          </w:tcPr>
          <w:p w14:paraId="744C5178" w14:textId="77777777"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212.25</w:t>
            </w:r>
          </w:p>
        </w:tc>
        <w:tc>
          <w:tcPr>
            <w:tcW w:w="1596" w:type="dxa"/>
          </w:tcPr>
          <w:p w14:paraId="2EDE63C7" w14:textId="77777777"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128</w:t>
            </w:r>
          </w:p>
        </w:tc>
      </w:tr>
    </w:tbl>
    <w:p w14:paraId="2599BA60" w14:textId="77777777" w:rsidR="000D0E48" w:rsidRPr="00BF2A14" w:rsidRDefault="000D0E48" w:rsidP="004E49E6">
      <w:pPr>
        <w:pStyle w:val="NormalWeb"/>
        <w:jc w:val="both"/>
        <w:rPr>
          <w:rStyle w:val="Strong"/>
          <w:rFonts w:ascii="Arial" w:hAnsi="Arial" w:cs="Arial"/>
          <w:b w:val="0"/>
          <w:bCs w:val="0"/>
          <w:sz w:val="20"/>
        </w:rPr>
      </w:pPr>
      <w:r w:rsidRPr="00BF2A14">
        <w:rPr>
          <w:rStyle w:val="Strong"/>
          <w:rFonts w:ascii="Arial" w:hAnsi="Arial" w:cs="Arial"/>
          <w:b w:val="0"/>
          <w:sz w:val="20"/>
        </w:rPr>
        <w:t xml:space="preserve">Source: Saikia </w:t>
      </w:r>
      <w:r w:rsidRPr="00BF2A14">
        <w:rPr>
          <w:rStyle w:val="Strong"/>
          <w:rFonts w:ascii="Arial" w:hAnsi="Arial" w:cs="Arial"/>
          <w:b w:val="0"/>
          <w:i/>
          <w:sz w:val="20"/>
        </w:rPr>
        <w:t>et al.</w:t>
      </w:r>
      <w:r w:rsidRPr="00BF2A14">
        <w:rPr>
          <w:rStyle w:val="Strong"/>
          <w:rFonts w:ascii="Arial" w:hAnsi="Arial" w:cs="Arial"/>
          <w:b w:val="0"/>
          <w:sz w:val="20"/>
        </w:rPr>
        <w:t xml:space="preserve"> (2023); </w:t>
      </w:r>
      <w:r w:rsidR="004E49E6" w:rsidRPr="00BF2A14">
        <w:rPr>
          <w:rFonts w:ascii="Arial" w:hAnsi="Arial" w:cs="Arial"/>
          <w:sz w:val="20"/>
        </w:rPr>
        <w:t>Goswami &amp; Singh (2012)</w:t>
      </w:r>
    </w:p>
    <w:p w14:paraId="158FAA01" w14:textId="77777777" w:rsidR="00FE757A" w:rsidRPr="00D31C07" w:rsidRDefault="00D31C07" w:rsidP="00FE757A">
      <w:pPr>
        <w:pStyle w:val="NormalWeb"/>
        <w:rPr>
          <w:rFonts w:ascii="Arial" w:hAnsi="Arial" w:cs="Arial"/>
          <w:sz w:val="22"/>
        </w:rPr>
      </w:pPr>
      <w:r w:rsidRPr="00D31C07">
        <w:rPr>
          <w:rStyle w:val="Strong"/>
          <w:rFonts w:ascii="Arial" w:hAnsi="Arial" w:cs="Arial"/>
          <w:sz w:val="22"/>
        </w:rPr>
        <w:t xml:space="preserve">5. </w:t>
      </w:r>
      <w:r w:rsidRPr="00D31C07">
        <w:rPr>
          <w:rFonts w:ascii="Arial" w:hAnsi="Arial" w:cs="Arial"/>
          <w:b/>
          <w:sz w:val="22"/>
        </w:rPr>
        <w:t>MATING BEHAVIOUR AND INFLUENCE OF COUPLING DURATION ON REPRODUCTIVE SUCCESS</w:t>
      </w:r>
    </w:p>
    <w:p w14:paraId="43799386" w14:textId="77777777" w:rsidR="00E267A7" w:rsidRPr="00D31C07" w:rsidRDefault="00E267A7" w:rsidP="00103755">
      <w:pPr>
        <w:pStyle w:val="NormalWeb"/>
        <w:jc w:val="both"/>
        <w:rPr>
          <w:rFonts w:ascii="Arial" w:hAnsi="Arial" w:cs="Arial"/>
          <w:sz w:val="20"/>
          <w:szCs w:val="20"/>
        </w:rPr>
      </w:pPr>
      <w:r w:rsidRPr="00D31C07">
        <w:rPr>
          <w:rFonts w:ascii="Arial" w:hAnsi="Arial" w:cs="Arial"/>
          <w:sz w:val="20"/>
          <w:szCs w:val="20"/>
        </w:rPr>
        <w:t xml:space="preserve">Mating </w:t>
      </w:r>
      <w:proofErr w:type="spellStart"/>
      <w:r w:rsidRPr="00D31C07">
        <w:rPr>
          <w:rFonts w:ascii="Arial" w:hAnsi="Arial" w:cs="Arial"/>
          <w:sz w:val="20"/>
          <w:szCs w:val="20"/>
        </w:rPr>
        <w:t>behaviour</w:t>
      </w:r>
      <w:proofErr w:type="spellEnd"/>
      <w:r w:rsidRPr="00D31C07">
        <w:rPr>
          <w:rFonts w:ascii="Arial" w:hAnsi="Arial" w:cs="Arial"/>
          <w:sz w:val="20"/>
          <w:szCs w:val="20"/>
        </w:rPr>
        <w:t xml:space="preserve"> in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is a critical determinant of reproductive success and directly influences both fecundity and fertility, key parameters in seed quality and productivity. The mating process in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silkworm is initiated through olfactory cues, where the male moth detects female pheromones and exhibits a characteristic downward bending of the antennae during the receptive period (Majumdar </w:t>
      </w:r>
      <w:r w:rsidRPr="00D31C07">
        <w:rPr>
          <w:rFonts w:ascii="Arial" w:hAnsi="Arial" w:cs="Arial"/>
          <w:i/>
          <w:sz w:val="20"/>
          <w:szCs w:val="20"/>
        </w:rPr>
        <w:t>et al.,</w:t>
      </w:r>
      <w:r w:rsidRPr="00D31C07">
        <w:rPr>
          <w:rFonts w:ascii="Arial" w:hAnsi="Arial" w:cs="Arial"/>
          <w:sz w:val="20"/>
          <w:szCs w:val="20"/>
        </w:rPr>
        <w:t xml:space="preserve"> 2024). This sensory </w:t>
      </w:r>
      <w:proofErr w:type="spellStart"/>
      <w:r w:rsidRPr="00D31C07">
        <w:rPr>
          <w:rFonts w:ascii="Arial" w:hAnsi="Arial" w:cs="Arial"/>
          <w:sz w:val="20"/>
          <w:szCs w:val="20"/>
        </w:rPr>
        <w:t>behaviour</w:t>
      </w:r>
      <w:proofErr w:type="spellEnd"/>
      <w:r w:rsidRPr="00D31C07">
        <w:rPr>
          <w:rFonts w:ascii="Arial" w:hAnsi="Arial" w:cs="Arial"/>
          <w:sz w:val="20"/>
          <w:szCs w:val="20"/>
        </w:rPr>
        <w:t xml:space="preserve"> facilitates mate localization and successful copulation.</w:t>
      </w:r>
    </w:p>
    <w:p w14:paraId="2A1D4722" w14:textId="77777777" w:rsidR="00E267A7" w:rsidRPr="00D31C07" w:rsidRDefault="00E267A7" w:rsidP="00103755">
      <w:pPr>
        <w:pStyle w:val="NormalWeb"/>
        <w:jc w:val="both"/>
        <w:rPr>
          <w:rFonts w:ascii="Arial" w:hAnsi="Arial" w:cs="Arial"/>
          <w:sz w:val="20"/>
          <w:szCs w:val="20"/>
        </w:rPr>
      </w:pPr>
      <w:r w:rsidRPr="00D31C07">
        <w:rPr>
          <w:rFonts w:ascii="Arial" w:hAnsi="Arial" w:cs="Arial"/>
          <w:sz w:val="20"/>
          <w:szCs w:val="20"/>
        </w:rPr>
        <w:t xml:space="preserve">Under natural conditions, mating typically begins during the evening hours and may extend overnight, often lasting between 10 to 12 hours, with undisturbed pairs occasionally remaining coupled for up to 24 hours (Majumdar </w:t>
      </w:r>
      <w:r w:rsidRPr="00D31C07">
        <w:rPr>
          <w:rFonts w:ascii="Arial" w:hAnsi="Arial" w:cs="Arial"/>
          <w:i/>
          <w:sz w:val="20"/>
          <w:szCs w:val="20"/>
        </w:rPr>
        <w:t>et al.,</w:t>
      </w:r>
      <w:r w:rsidRPr="00D31C07">
        <w:rPr>
          <w:rFonts w:ascii="Arial" w:hAnsi="Arial" w:cs="Arial"/>
          <w:sz w:val="20"/>
          <w:szCs w:val="20"/>
        </w:rPr>
        <w:t xml:space="preserve"> 2024). Similar extended copulation </w:t>
      </w:r>
      <w:proofErr w:type="spellStart"/>
      <w:r w:rsidRPr="00D31C07">
        <w:rPr>
          <w:rFonts w:ascii="Arial" w:hAnsi="Arial" w:cs="Arial"/>
          <w:sz w:val="20"/>
          <w:szCs w:val="20"/>
        </w:rPr>
        <w:t>behaviour</w:t>
      </w:r>
      <w:proofErr w:type="spellEnd"/>
      <w:r w:rsidRPr="00D31C07">
        <w:rPr>
          <w:rFonts w:ascii="Arial" w:hAnsi="Arial" w:cs="Arial"/>
          <w:sz w:val="20"/>
          <w:szCs w:val="20"/>
        </w:rPr>
        <w:t xml:space="preserve"> has been reported in other wild silk moths such as </w:t>
      </w:r>
      <w:r w:rsidRPr="00D31C07">
        <w:rPr>
          <w:rStyle w:val="Emphasis"/>
          <w:rFonts w:ascii="Arial" w:hAnsi="Arial" w:cs="Arial"/>
          <w:sz w:val="20"/>
          <w:szCs w:val="20"/>
        </w:rPr>
        <w:t xml:space="preserve">Antheraea </w:t>
      </w:r>
      <w:proofErr w:type="spellStart"/>
      <w:r w:rsidRPr="00D31C07">
        <w:rPr>
          <w:rStyle w:val="Emphasis"/>
          <w:rFonts w:ascii="Arial" w:hAnsi="Arial" w:cs="Arial"/>
          <w:sz w:val="20"/>
          <w:szCs w:val="20"/>
        </w:rPr>
        <w:t>mylitta</w:t>
      </w:r>
      <w:proofErr w:type="spellEnd"/>
      <w:r w:rsidRPr="00D31C07">
        <w:rPr>
          <w:rFonts w:ascii="Arial" w:hAnsi="Arial" w:cs="Arial"/>
          <w:sz w:val="20"/>
          <w:szCs w:val="20"/>
        </w:rPr>
        <w:t xml:space="preserve"> and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pernyi</w:t>
      </w:r>
      <w:proofErr w:type="spellEnd"/>
      <w:r w:rsidRPr="00D31C07">
        <w:rPr>
          <w:rFonts w:ascii="Arial" w:hAnsi="Arial" w:cs="Arial"/>
          <w:sz w:val="20"/>
          <w:szCs w:val="20"/>
        </w:rPr>
        <w:t xml:space="preserve"> (</w:t>
      </w:r>
      <w:proofErr w:type="spellStart"/>
      <w:r w:rsidRPr="00D31C07">
        <w:rPr>
          <w:rFonts w:ascii="Arial" w:hAnsi="Arial" w:cs="Arial"/>
          <w:sz w:val="20"/>
          <w:szCs w:val="20"/>
        </w:rPr>
        <w:t>Kuang</w:t>
      </w:r>
      <w:proofErr w:type="spellEnd"/>
      <w:r w:rsidRPr="00D31C07">
        <w:rPr>
          <w:rFonts w:ascii="Arial" w:hAnsi="Arial" w:cs="Arial"/>
          <w:sz w:val="20"/>
          <w:szCs w:val="20"/>
        </w:rPr>
        <w:t xml:space="preserve">-Ming &amp; Ta-Yuan, 1958; Singh &amp; </w:t>
      </w:r>
      <w:proofErr w:type="spellStart"/>
      <w:r w:rsidRPr="00D31C07">
        <w:rPr>
          <w:rFonts w:ascii="Arial" w:hAnsi="Arial" w:cs="Arial"/>
          <w:sz w:val="20"/>
          <w:szCs w:val="20"/>
        </w:rPr>
        <w:t>Debaraj</w:t>
      </w:r>
      <w:proofErr w:type="spellEnd"/>
      <w:r w:rsidRPr="00D31C07">
        <w:rPr>
          <w:rFonts w:ascii="Arial" w:hAnsi="Arial" w:cs="Arial"/>
          <w:sz w:val="20"/>
          <w:szCs w:val="20"/>
        </w:rPr>
        <w:t xml:space="preserve">, 2011; Singh </w:t>
      </w:r>
      <w:r w:rsidRPr="00D31C07">
        <w:rPr>
          <w:rFonts w:ascii="Arial" w:hAnsi="Arial" w:cs="Arial"/>
          <w:i/>
          <w:sz w:val="20"/>
          <w:szCs w:val="20"/>
        </w:rPr>
        <w:t>et al.,</w:t>
      </w:r>
      <w:r w:rsidR="009A2959" w:rsidRPr="00D31C07">
        <w:rPr>
          <w:rFonts w:ascii="Arial" w:hAnsi="Arial" w:cs="Arial"/>
          <w:sz w:val="20"/>
          <w:szCs w:val="20"/>
        </w:rPr>
        <w:t xml:space="preserve"> 2011</w:t>
      </w:r>
      <w:proofErr w:type="gramStart"/>
      <w:r w:rsidR="009A2959" w:rsidRPr="00D31C07">
        <w:rPr>
          <w:rFonts w:ascii="Arial" w:hAnsi="Arial" w:cs="Arial"/>
          <w:sz w:val="20"/>
          <w:szCs w:val="20"/>
        </w:rPr>
        <w:t>a,b</w:t>
      </w:r>
      <w:proofErr w:type="gramEnd"/>
      <w:r w:rsidRPr="00D31C07">
        <w:rPr>
          <w:rFonts w:ascii="Arial" w:hAnsi="Arial" w:cs="Arial"/>
          <w:sz w:val="20"/>
          <w:szCs w:val="20"/>
        </w:rPr>
        <w:t xml:space="preserve">). It is generally accepted that a single successful copulation is sufficient for fertilization, although males are occasionally reused in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operations when fresh males are in short supply.</w:t>
      </w:r>
      <w:r w:rsidR="00103755" w:rsidRPr="00D31C07">
        <w:rPr>
          <w:rFonts w:ascii="Arial" w:hAnsi="Arial" w:cs="Arial"/>
          <w:sz w:val="20"/>
          <w:szCs w:val="20"/>
        </w:rPr>
        <w:t xml:space="preserve"> </w:t>
      </w:r>
      <w:r w:rsidRPr="00D31C07">
        <w:rPr>
          <w:rFonts w:ascii="Arial" w:hAnsi="Arial" w:cs="Arial"/>
          <w:sz w:val="20"/>
          <w:szCs w:val="20"/>
        </w:rPr>
        <w:t xml:space="preserve">Experimental evidence underscores the significance of coupling duration on reproductive outcomes. Majumdar </w:t>
      </w:r>
      <w:r w:rsidRPr="00D31C07">
        <w:rPr>
          <w:rFonts w:ascii="Arial" w:hAnsi="Arial" w:cs="Arial"/>
          <w:i/>
          <w:sz w:val="20"/>
          <w:szCs w:val="20"/>
        </w:rPr>
        <w:t>et al.</w:t>
      </w:r>
      <w:r w:rsidRPr="00D31C07">
        <w:rPr>
          <w:rFonts w:ascii="Arial" w:hAnsi="Arial" w:cs="Arial"/>
          <w:sz w:val="20"/>
          <w:szCs w:val="20"/>
        </w:rPr>
        <w:t xml:space="preserve"> (2024) reported that fecundity and fertility improved with increased mating </w:t>
      </w:r>
      <w:r w:rsidRPr="00D31C07">
        <w:rPr>
          <w:rFonts w:ascii="Arial" w:hAnsi="Arial" w:cs="Arial"/>
          <w:sz w:val="20"/>
          <w:szCs w:val="20"/>
        </w:rPr>
        <w:lastRenderedPageBreak/>
        <w:t>duration, particularly in the 7–</w:t>
      </w:r>
      <w:proofErr w:type="gramStart"/>
      <w:r w:rsidRPr="00D31C07">
        <w:rPr>
          <w:rFonts w:ascii="Arial" w:hAnsi="Arial" w:cs="Arial"/>
          <w:sz w:val="20"/>
          <w:szCs w:val="20"/>
        </w:rPr>
        <w:t>8 hour</w:t>
      </w:r>
      <w:proofErr w:type="gramEnd"/>
      <w:r w:rsidRPr="00D31C07">
        <w:rPr>
          <w:rFonts w:ascii="Arial" w:hAnsi="Arial" w:cs="Arial"/>
          <w:sz w:val="20"/>
          <w:szCs w:val="20"/>
        </w:rPr>
        <w:t xml:space="preserve"> range, which yielded higher fecundity (148–151 eggs/moth in Baisakhi and 165–168 eggs/moth in </w:t>
      </w:r>
      <w:proofErr w:type="spellStart"/>
      <w:r w:rsidRPr="00D31C07">
        <w:rPr>
          <w:rFonts w:ascii="Arial" w:hAnsi="Arial" w:cs="Arial"/>
          <w:sz w:val="20"/>
          <w:szCs w:val="20"/>
        </w:rPr>
        <w:t>Bhodia</w:t>
      </w:r>
      <w:proofErr w:type="spellEnd"/>
      <w:r w:rsidRPr="00D31C07">
        <w:rPr>
          <w:rFonts w:ascii="Arial" w:hAnsi="Arial" w:cs="Arial"/>
          <w:sz w:val="20"/>
          <w:szCs w:val="20"/>
        </w:rPr>
        <w:t xml:space="preserve"> crops) and maximum fertility (up to 85%). Their findings suggest that although fecundity plateaus beyond 5 hours of mating, fertility continues to increase until 7–8 hours, beyond which it stabilizes. This aligns with earlier findings by Thangavelu </w:t>
      </w:r>
      <w:r w:rsidRPr="00D31C07">
        <w:rPr>
          <w:rFonts w:ascii="Arial" w:hAnsi="Arial" w:cs="Arial"/>
          <w:i/>
          <w:sz w:val="20"/>
          <w:szCs w:val="20"/>
        </w:rPr>
        <w:t>et al.</w:t>
      </w:r>
      <w:r w:rsidRPr="00D31C07">
        <w:rPr>
          <w:rFonts w:ascii="Arial" w:hAnsi="Arial" w:cs="Arial"/>
          <w:sz w:val="20"/>
          <w:szCs w:val="20"/>
        </w:rPr>
        <w:t xml:space="preserve"> (1988) and Goswami &amp; Singh (2012), who observed that mating durations of 4–6 hours were sufficient for optimal oviposition and hatching under normal conditions.</w:t>
      </w:r>
    </w:p>
    <w:p w14:paraId="403EB9D2" w14:textId="77777777" w:rsidR="00E267A7" w:rsidRPr="00D31C07" w:rsidRDefault="00E267A7" w:rsidP="00103755">
      <w:pPr>
        <w:pStyle w:val="NormalWeb"/>
        <w:jc w:val="both"/>
        <w:rPr>
          <w:rFonts w:ascii="Arial" w:hAnsi="Arial" w:cs="Arial"/>
          <w:sz w:val="20"/>
          <w:szCs w:val="20"/>
        </w:rPr>
      </w:pPr>
      <w:r w:rsidRPr="00D31C07">
        <w:rPr>
          <w:rFonts w:ascii="Arial" w:hAnsi="Arial" w:cs="Arial"/>
          <w:sz w:val="20"/>
          <w:szCs w:val="20"/>
        </w:rPr>
        <w:t xml:space="preserve">Environmental factors such as temperature, humidity, and photoperiod also modulate mating efficiency and egg viability. The timing and duration of copulation are especially important, as they influence sperm transfer and retention. Goswami </w:t>
      </w:r>
      <w:r w:rsidR="00103755" w:rsidRPr="00D31C07">
        <w:rPr>
          <w:rFonts w:ascii="Arial" w:hAnsi="Arial" w:cs="Arial"/>
          <w:sz w:val="20"/>
          <w:szCs w:val="20"/>
        </w:rPr>
        <w:t xml:space="preserve">&amp; </w:t>
      </w:r>
      <w:r w:rsidRPr="00D31C07">
        <w:rPr>
          <w:rFonts w:ascii="Arial" w:hAnsi="Arial" w:cs="Arial"/>
          <w:sz w:val="20"/>
          <w:szCs w:val="20"/>
        </w:rPr>
        <w:t>Singh (2012) observed that during winter, shorter coupling durations (60 minutes) resulted in low hatching percentages (~61.22%), while mating periods ranging from 300 to 480 minutes significantly improved hatchability (&gt;80%). Similar improvements were seen in summer, where 180 minutes of mating was adequate for optimum hatching, compared to 300 minutes required in winter.</w:t>
      </w:r>
    </w:p>
    <w:p w14:paraId="416B784B" w14:textId="77777777" w:rsidR="000D0E48" w:rsidRPr="00D31C07" w:rsidRDefault="00E267A7" w:rsidP="00103755">
      <w:pPr>
        <w:pStyle w:val="NormalWeb"/>
        <w:jc w:val="both"/>
        <w:rPr>
          <w:rFonts w:ascii="Arial" w:hAnsi="Arial" w:cs="Arial"/>
          <w:sz w:val="20"/>
          <w:szCs w:val="20"/>
        </w:rPr>
      </w:pPr>
      <w:r w:rsidRPr="00D31C07">
        <w:rPr>
          <w:rFonts w:ascii="Arial" w:hAnsi="Arial" w:cs="Arial"/>
          <w:sz w:val="20"/>
          <w:szCs w:val="20"/>
        </w:rPr>
        <w:t xml:space="preserve">The relationship between coupling duration and reproductive success has also been established in mulberry silkworms, where 3–5 hours of mating is considered optimal for achieving high fecundity and fertility (Jolly, 1983; </w:t>
      </w:r>
      <w:proofErr w:type="spellStart"/>
      <w:r w:rsidRPr="00D31C07">
        <w:rPr>
          <w:rFonts w:ascii="Arial" w:hAnsi="Arial" w:cs="Arial"/>
          <w:sz w:val="20"/>
          <w:szCs w:val="20"/>
        </w:rPr>
        <w:t>Narasimhanna</w:t>
      </w:r>
      <w:proofErr w:type="spellEnd"/>
      <w:r w:rsidRPr="00D31C07">
        <w:rPr>
          <w:rFonts w:ascii="Arial" w:hAnsi="Arial" w:cs="Arial"/>
          <w:sz w:val="20"/>
          <w:szCs w:val="20"/>
        </w:rPr>
        <w:t xml:space="preserve">, 1988; </w:t>
      </w:r>
      <w:proofErr w:type="spellStart"/>
      <w:r w:rsidRPr="00D31C07">
        <w:rPr>
          <w:rFonts w:ascii="Arial" w:hAnsi="Arial" w:cs="Arial"/>
          <w:sz w:val="20"/>
          <w:szCs w:val="20"/>
        </w:rPr>
        <w:t>Yeole</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1995). However,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optimal coupling duration appears to be season-dependent. Goswami &amp; Singh (2012) demonstrated that during summer, a 180-minute coupling period was sufficient for optimal hatchability, while 300 minutes were required during colder months to achieve similar results.</w:t>
      </w:r>
      <w:r w:rsidR="00103755" w:rsidRPr="00D31C07">
        <w:rPr>
          <w:rFonts w:ascii="Arial" w:hAnsi="Arial" w:cs="Arial"/>
          <w:sz w:val="20"/>
          <w:szCs w:val="20"/>
        </w:rPr>
        <w:t xml:space="preserve"> </w:t>
      </w:r>
      <w:r w:rsidRPr="00D31C07">
        <w:rPr>
          <w:rFonts w:ascii="Arial" w:hAnsi="Arial" w:cs="Arial"/>
          <w:sz w:val="20"/>
          <w:szCs w:val="20"/>
        </w:rPr>
        <w:t xml:space="preserve">Overall, these findings underscore the importance of optimizing mating duration for enhancing both fecundity and fertility in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silkworms. Understanding the interplay between </w:t>
      </w:r>
      <w:proofErr w:type="spellStart"/>
      <w:r w:rsidRPr="00D31C07">
        <w:rPr>
          <w:rFonts w:ascii="Arial" w:hAnsi="Arial" w:cs="Arial"/>
          <w:sz w:val="20"/>
          <w:szCs w:val="20"/>
        </w:rPr>
        <w:t>behavioural</w:t>
      </w:r>
      <w:proofErr w:type="spellEnd"/>
      <w:r w:rsidRPr="00D31C07">
        <w:rPr>
          <w:rFonts w:ascii="Arial" w:hAnsi="Arial" w:cs="Arial"/>
          <w:sz w:val="20"/>
          <w:szCs w:val="20"/>
        </w:rPr>
        <w:t xml:space="preserve">, physiological, and environmental factors during mating can inform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practices, ensuring efficient seed production and improved larval performance in subsequent generations.</w:t>
      </w:r>
    </w:p>
    <w:p w14:paraId="52F2A844" w14:textId="77777777" w:rsidR="005C0806" w:rsidRPr="00D31C07" w:rsidRDefault="00D31C07" w:rsidP="005C0806">
      <w:pPr>
        <w:pStyle w:val="Heading3"/>
        <w:rPr>
          <w:rFonts w:ascii="Arial" w:hAnsi="Arial" w:cs="Arial"/>
          <w:sz w:val="22"/>
        </w:rPr>
      </w:pPr>
      <w:r w:rsidRPr="00D31C07">
        <w:rPr>
          <w:rStyle w:val="Strong"/>
          <w:rFonts w:ascii="Arial" w:hAnsi="Arial" w:cs="Arial"/>
          <w:b/>
          <w:bCs/>
          <w:sz w:val="22"/>
        </w:rPr>
        <w:t>6. OVIPOSITION BEHAVIOR AND ARTIFICIAL DEVICES FOR EGG LAYING</w:t>
      </w:r>
    </w:p>
    <w:p w14:paraId="422E1C6F" w14:textId="77777777" w:rsidR="005C0806" w:rsidRPr="00D31C07" w:rsidRDefault="005C0806" w:rsidP="005C0806">
      <w:pPr>
        <w:pStyle w:val="NormalWeb"/>
        <w:jc w:val="both"/>
        <w:rPr>
          <w:rFonts w:ascii="Arial" w:hAnsi="Arial" w:cs="Arial"/>
          <w:sz w:val="20"/>
          <w:szCs w:val="20"/>
        </w:rPr>
      </w:pPr>
      <w:r w:rsidRPr="00D31C07">
        <w:rPr>
          <w:rFonts w:ascii="Arial" w:hAnsi="Arial" w:cs="Arial"/>
          <w:sz w:val="20"/>
          <w:szCs w:val="20"/>
        </w:rPr>
        <w:t xml:space="preserve">Oviposition behavior in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is a critical determinant of seed quality, influenced by both physiological timing and environmental stimuli. Female moths typically initiate oviposition approximately 10 hours after mating, often preferring subdued or dark conditions for laying eggs (Sarmah </w:t>
      </w:r>
      <w:r w:rsidRPr="00D31C07">
        <w:rPr>
          <w:rFonts w:ascii="Arial" w:hAnsi="Arial" w:cs="Arial"/>
          <w:i/>
          <w:sz w:val="20"/>
          <w:szCs w:val="20"/>
        </w:rPr>
        <w:t>et al.,</w:t>
      </w:r>
      <w:r w:rsidRPr="00D31C07">
        <w:rPr>
          <w:rFonts w:ascii="Arial" w:hAnsi="Arial" w:cs="Arial"/>
          <w:sz w:val="20"/>
          <w:szCs w:val="20"/>
        </w:rPr>
        <w:t xml:space="preserve"> 2010). The majority of viable and developmentally competent eggs are deposited during the first three days following the onset of oviposition, highlighting the importance of synchronizing rearing practices with peak fecundity windows (</w:t>
      </w:r>
      <w:r w:rsidR="00401A7D" w:rsidRPr="00D31C07">
        <w:rPr>
          <w:rFonts w:ascii="Arial" w:hAnsi="Arial" w:cs="Arial"/>
          <w:sz w:val="20"/>
          <w:szCs w:val="20"/>
        </w:rPr>
        <w:t xml:space="preserve">Kakati </w:t>
      </w:r>
      <w:r w:rsidR="00401A7D" w:rsidRPr="00D31C07">
        <w:rPr>
          <w:rFonts w:ascii="Arial" w:hAnsi="Arial" w:cs="Arial"/>
          <w:i/>
          <w:sz w:val="20"/>
          <w:szCs w:val="20"/>
        </w:rPr>
        <w:t>et al.,</w:t>
      </w:r>
      <w:r w:rsidR="00401A7D" w:rsidRPr="00D31C07">
        <w:rPr>
          <w:rFonts w:ascii="Arial" w:hAnsi="Arial" w:cs="Arial"/>
          <w:sz w:val="20"/>
          <w:szCs w:val="20"/>
        </w:rPr>
        <w:t xml:space="preserve"> 2005; Kakati, 2002</w:t>
      </w:r>
      <w:r w:rsidRPr="00D31C07">
        <w:rPr>
          <w:rFonts w:ascii="Arial" w:hAnsi="Arial" w:cs="Arial"/>
          <w:sz w:val="20"/>
          <w:szCs w:val="20"/>
        </w:rPr>
        <w:t>).</w:t>
      </w:r>
    </w:p>
    <w:p w14:paraId="7E059F18" w14:textId="77777777" w:rsidR="005C0806" w:rsidRPr="00D31C07" w:rsidRDefault="005C0806" w:rsidP="005C0806">
      <w:pPr>
        <w:pStyle w:val="NormalWeb"/>
        <w:jc w:val="both"/>
        <w:rPr>
          <w:rFonts w:ascii="Arial" w:hAnsi="Arial" w:cs="Arial"/>
          <w:sz w:val="20"/>
          <w:szCs w:val="20"/>
        </w:rPr>
      </w:pPr>
      <w:r w:rsidRPr="00D31C07">
        <w:rPr>
          <w:rFonts w:ascii="Arial" w:hAnsi="Arial" w:cs="Arial"/>
          <w:sz w:val="20"/>
          <w:szCs w:val="20"/>
        </w:rPr>
        <w:t xml:space="preserve">Moths exhibit preferences for specific substrates during oviposition, and such preferences directly affect both fecundity and hatchability. Traditionally, oviposition has been facilitated using devices made from thatch grass, locally referred to as </w:t>
      </w:r>
      <w:proofErr w:type="spellStart"/>
      <w:r w:rsidRPr="00D31C07">
        <w:rPr>
          <w:rStyle w:val="Emphasis"/>
          <w:rFonts w:ascii="Arial" w:hAnsi="Arial" w:cs="Arial"/>
          <w:sz w:val="20"/>
          <w:szCs w:val="20"/>
        </w:rPr>
        <w:t>kharika</w:t>
      </w:r>
      <w:proofErr w:type="spellEnd"/>
      <w:r w:rsidRPr="00D31C07">
        <w:rPr>
          <w:rFonts w:ascii="Arial" w:hAnsi="Arial" w:cs="Arial"/>
          <w:sz w:val="20"/>
          <w:szCs w:val="20"/>
        </w:rPr>
        <w:t xml:space="preserve"> or </w:t>
      </w:r>
      <w:r w:rsidRPr="00D31C07">
        <w:rPr>
          <w:rStyle w:val="Emphasis"/>
          <w:rFonts w:ascii="Arial" w:hAnsi="Arial" w:cs="Arial"/>
          <w:sz w:val="20"/>
          <w:szCs w:val="20"/>
        </w:rPr>
        <w:t xml:space="preserve">Sang </w:t>
      </w:r>
      <w:proofErr w:type="spellStart"/>
      <w:r w:rsidRPr="00D31C07">
        <w:rPr>
          <w:rStyle w:val="Emphasis"/>
          <w:rFonts w:ascii="Arial" w:hAnsi="Arial" w:cs="Arial"/>
          <w:sz w:val="20"/>
          <w:szCs w:val="20"/>
        </w:rPr>
        <w:t>Kher</w:t>
      </w:r>
      <w:proofErr w:type="spellEnd"/>
      <w:r w:rsidRPr="00D31C07">
        <w:rPr>
          <w:rFonts w:ascii="Arial" w:hAnsi="Arial" w:cs="Arial"/>
          <w:sz w:val="20"/>
          <w:szCs w:val="20"/>
        </w:rPr>
        <w:t xml:space="preserve">. However, recent research has evaluated alternative biodegradable oviposition substrates to enhance seed quality and hygiene in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operations.</w:t>
      </w:r>
    </w:p>
    <w:p w14:paraId="38B55494" w14:textId="77777777" w:rsidR="005C0806" w:rsidRPr="00D31C07" w:rsidRDefault="005C0806" w:rsidP="007228F6">
      <w:pPr>
        <w:pStyle w:val="NormalWeb"/>
        <w:jc w:val="both"/>
        <w:rPr>
          <w:rFonts w:ascii="Arial" w:hAnsi="Arial" w:cs="Arial"/>
          <w:sz w:val="20"/>
          <w:szCs w:val="20"/>
        </w:rPr>
      </w:pPr>
      <w:r w:rsidRPr="00D31C07">
        <w:rPr>
          <w:rFonts w:ascii="Arial" w:hAnsi="Arial" w:cs="Arial"/>
          <w:sz w:val="20"/>
          <w:szCs w:val="20"/>
        </w:rPr>
        <w:t xml:space="preserve">Saikia </w:t>
      </w:r>
      <w:r w:rsidRPr="00D31C07">
        <w:rPr>
          <w:rFonts w:ascii="Arial" w:hAnsi="Arial" w:cs="Arial"/>
          <w:i/>
          <w:sz w:val="20"/>
          <w:szCs w:val="20"/>
        </w:rPr>
        <w:t xml:space="preserve">et al. </w:t>
      </w:r>
      <w:r w:rsidRPr="00D31C07">
        <w:rPr>
          <w:rFonts w:ascii="Arial" w:hAnsi="Arial" w:cs="Arial"/>
          <w:sz w:val="20"/>
          <w:szCs w:val="20"/>
        </w:rPr>
        <w:t xml:space="preserve">(2019) conducted a comparative analysis of various oviposition devices and found that paper-based devices yielded the highest fecundity (191.88 eggs/female) with an average egg mass of 1.24 g per laying. This performance was statistically comparable to tree twig-based devices (182.33 eggs/female; 1.17 g egg mass). In contrast, devices made of rice straw and thatch grass recorded lower fecundity (158.21 and 166.33 eggs/female, respectively) and reduced egg mass (1.00 g and 1.06 g, respectively). These differences were attributed primarily to variations in surface texture and uniformity across the devices. The influence of substratum characteristics on oviposition behavior has been well-documented in lepidopteran species. A smoother surface typically promotes higher egg deposition, whereas rough or uneven textures tend to reduce oviposition (Legay, 1989; Gupta </w:t>
      </w:r>
      <w:r w:rsidRPr="00D31C07">
        <w:rPr>
          <w:rFonts w:ascii="Arial" w:hAnsi="Arial" w:cs="Arial"/>
          <w:i/>
          <w:sz w:val="20"/>
          <w:szCs w:val="20"/>
        </w:rPr>
        <w:t>et al.,</w:t>
      </w:r>
      <w:r w:rsidRPr="00D31C07">
        <w:rPr>
          <w:rFonts w:ascii="Arial" w:hAnsi="Arial" w:cs="Arial"/>
          <w:sz w:val="20"/>
          <w:szCs w:val="20"/>
        </w:rPr>
        <w:t xml:space="preserve"> 1990; </w:t>
      </w:r>
      <w:proofErr w:type="spellStart"/>
      <w:r w:rsidRPr="00D31C07">
        <w:rPr>
          <w:rFonts w:ascii="Arial" w:hAnsi="Arial" w:cs="Arial"/>
          <w:sz w:val="20"/>
          <w:szCs w:val="20"/>
        </w:rPr>
        <w:t>Manjulakumari</w:t>
      </w:r>
      <w:proofErr w:type="spellEnd"/>
      <w:r w:rsidRPr="00D31C07">
        <w:rPr>
          <w:rFonts w:ascii="Arial" w:hAnsi="Arial" w:cs="Arial"/>
          <w:sz w:val="20"/>
          <w:szCs w:val="20"/>
        </w:rPr>
        <w:t xml:space="preserve"> &amp; </w:t>
      </w:r>
      <w:proofErr w:type="spellStart"/>
      <w:r w:rsidRPr="00D31C07">
        <w:rPr>
          <w:rFonts w:ascii="Arial" w:hAnsi="Arial" w:cs="Arial"/>
          <w:sz w:val="20"/>
          <w:szCs w:val="20"/>
        </w:rPr>
        <w:t>Githabali</w:t>
      </w:r>
      <w:proofErr w:type="spellEnd"/>
      <w:r w:rsidRPr="00D31C07">
        <w:rPr>
          <w:rFonts w:ascii="Arial" w:hAnsi="Arial" w:cs="Arial"/>
          <w:sz w:val="20"/>
          <w:szCs w:val="20"/>
        </w:rPr>
        <w:t xml:space="preserve">, 1991). Thus, material selection and device design play an instrumental role in optimizing egg yield and quality. In terms of hatchability, however, the trends differed slightly. Thatch grass-based devices supported the highest hatching success (93.98%), followed closely by tree twig (92.72%) and paper-based (92.62%) devices. Rice straw-based devices, though biodegradable, yielded </w:t>
      </w:r>
      <w:r w:rsidRPr="00D31C07">
        <w:rPr>
          <w:rFonts w:ascii="Arial" w:hAnsi="Arial" w:cs="Arial"/>
          <w:sz w:val="20"/>
          <w:szCs w:val="20"/>
        </w:rPr>
        <w:lastRenderedPageBreak/>
        <w:t xml:space="preserve">the lowest hatchability (89.44%) (Saikia </w:t>
      </w:r>
      <w:r w:rsidRPr="00D31C07">
        <w:rPr>
          <w:rFonts w:ascii="Arial" w:hAnsi="Arial" w:cs="Arial"/>
          <w:i/>
          <w:sz w:val="20"/>
          <w:szCs w:val="20"/>
        </w:rPr>
        <w:t>et al.,</w:t>
      </w:r>
      <w:r w:rsidRPr="00D31C07">
        <w:rPr>
          <w:rFonts w:ascii="Arial" w:hAnsi="Arial" w:cs="Arial"/>
          <w:sz w:val="20"/>
          <w:szCs w:val="20"/>
        </w:rPr>
        <w:t xml:space="preserve"> 2019). This suggests that while certain materials may favor higher egg deposition, they may not necessarily support optimal egg development or viability.</w:t>
      </w:r>
    </w:p>
    <w:p w14:paraId="1F7A8B28" w14:textId="77777777" w:rsidR="005C0806" w:rsidRPr="00D31C07" w:rsidRDefault="005C0806" w:rsidP="005C0806">
      <w:pPr>
        <w:pStyle w:val="NormalWeb"/>
        <w:jc w:val="both"/>
        <w:rPr>
          <w:rFonts w:ascii="Arial" w:hAnsi="Arial" w:cs="Arial"/>
          <w:sz w:val="20"/>
          <w:szCs w:val="20"/>
        </w:rPr>
      </w:pPr>
      <w:r w:rsidRPr="00D31C07">
        <w:rPr>
          <w:rFonts w:ascii="Arial" w:hAnsi="Arial" w:cs="Arial"/>
          <w:sz w:val="20"/>
          <w:szCs w:val="20"/>
        </w:rPr>
        <w:t xml:space="preserve">Taken together, these findings indicate that while traditional </w:t>
      </w:r>
      <w:proofErr w:type="spellStart"/>
      <w:r w:rsidRPr="00D31C07">
        <w:rPr>
          <w:rStyle w:val="Emphasis"/>
          <w:rFonts w:ascii="Arial" w:hAnsi="Arial" w:cs="Arial"/>
          <w:sz w:val="20"/>
          <w:szCs w:val="20"/>
        </w:rPr>
        <w:t>kharika</w:t>
      </w:r>
      <w:proofErr w:type="spellEnd"/>
      <w:r w:rsidRPr="00D31C07">
        <w:rPr>
          <w:rFonts w:ascii="Arial" w:hAnsi="Arial" w:cs="Arial"/>
          <w:sz w:val="20"/>
          <w:szCs w:val="20"/>
        </w:rPr>
        <w:t xml:space="preserve"> remains effective, alternative devices such as biodegradable paper and tree twigs offer comparable or superior outcomes in terms of fecundity and hatchability. Integrating such substrates into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practices may help improve hygiene, reduce handling time, and enhance the efficiency of seed production systems in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sericulture.</w:t>
      </w:r>
    </w:p>
    <w:p w14:paraId="3B394BC2" w14:textId="77777777" w:rsidR="006437D0" w:rsidRPr="00D31C07" w:rsidRDefault="00D31C07" w:rsidP="006437D0">
      <w:pPr>
        <w:pStyle w:val="Heading3"/>
        <w:rPr>
          <w:rFonts w:ascii="Arial" w:hAnsi="Arial" w:cs="Arial"/>
          <w:sz w:val="22"/>
          <w:szCs w:val="22"/>
        </w:rPr>
      </w:pPr>
      <w:r w:rsidRPr="00D31C07">
        <w:rPr>
          <w:rStyle w:val="Strong"/>
          <w:rFonts w:ascii="Arial" w:hAnsi="Arial" w:cs="Arial"/>
          <w:b/>
          <w:bCs/>
          <w:sz w:val="22"/>
          <w:szCs w:val="22"/>
        </w:rPr>
        <w:t>7. CONCLUSION</w:t>
      </w:r>
    </w:p>
    <w:p w14:paraId="201C1D3B" w14:textId="77777777" w:rsidR="006437D0" w:rsidRPr="00D31C07" w:rsidRDefault="006437D0" w:rsidP="006437D0">
      <w:pPr>
        <w:pStyle w:val="NormalWeb"/>
        <w:jc w:val="both"/>
        <w:rPr>
          <w:rFonts w:ascii="Arial" w:hAnsi="Arial" w:cs="Arial"/>
          <w:sz w:val="20"/>
          <w:szCs w:val="20"/>
        </w:rPr>
      </w:pPr>
      <w:r w:rsidRPr="00D31C07">
        <w:rPr>
          <w:rFonts w:ascii="Arial" w:hAnsi="Arial" w:cs="Arial"/>
          <w:sz w:val="20"/>
          <w:szCs w:val="20"/>
        </w:rPr>
        <w:t xml:space="preserve">The reproductive biology of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remains both a pivotal challenge and a promising frontier in the advancement of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sericulture. This review underscores the intricate coordination between anatomical structures, physiological processes, endocrine control, behavioral cues, and environmental influences that collectively govern reproductive success. Although studies have elucidated important factors such as seasonal variation, mating duration, and oviposition preferences, current understanding is predominantly empirical and lacks mechanistic depth. Unlocking the full reproductive potential of this species requires deeper exploration into the molecular and hormonal pathways that regulate vitellogenesis, spermatogenesis, and egg viability. Emerging tools in genomics, transcriptomics, and reproductive biotechnology offer exciting opportunities to fill these gaps. By integrating these approaches with precision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practices and adaptive seed production strategies, it is possible to enhance reproductive efficiency, improve seed viability, and strengthen the resilience of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against climatic and ecological stressors. Given its ecological uniqueness and cultural significance, safeguarding the reproductive integrity of this species is not only a scientific imperative but also a socio-economic necessity for the sustainable future of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 production. A multidisciplinary, data-driven approach will be key to transforming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into a robust model for sustainable, climate-resilient sericulture.</w:t>
      </w:r>
    </w:p>
    <w:p w14:paraId="719A2C68" w14:textId="77777777" w:rsidR="00D31C07" w:rsidRPr="00D31C07" w:rsidRDefault="00D31C07" w:rsidP="00D31C07">
      <w:pPr>
        <w:pStyle w:val="Heading3"/>
        <w:rPr>
          <w:rFonts w:ascii="Arial" w:hAnsi="Arial" w:cs="Arial"/>
          <w:sz w:val="22"/>
          <w:szCs w:val="22"/>
        </w:rPr>
      </w:pPr>
      <w:r>
        <w:rPr>
          <w:rStyle w:val="Strong"/>
          <w:rFonts w:ascii="Arial" w:hAnsi="Arial" w:cs="Arial"/>
          <w:b/>
          <w:bCs/>
          <w:sz w:val="22"/>
          <w:szCs w:val="22"/>
        </w:rPr>
        <w:t>8</w:t>
      </w:r>
      <w:r w:rsidRPr="00D31C07">
        <w:rPr>
          <w:rStyle w:val="Strong"/>
          <w:rFonts w:ascii="Arial" w:hAnsi="Arial" w:cs="Arial"/>
          <w:b/>
          <w:bCs/>
          <w:sz w:val="22"/>
          <w:szCs w:val="22"/>
        </w:rPr>
        <w:t xml:space="preserve">. </w:t>
      </w:r>
      <w:r w:rsidRPr="00D31C07">
        <w:rPr>
          <w:rFonts w:ascii="Arial" w:hAnsi="Arial" w:cs="Arial"/>
          <w:sz w:val="22"/>
          <w:szCs w:val="22"/>
        </w:rPr>
        <w:t>GAPS AND FUTURE RESEARCH DIRECTIONS</w:t>
      </w:r>
    </w:p>
    <w:p w14:paraId="42A69907" w14:textId="77777777" w:rsidR="00D31C07" w:rsidRPr="00D31C07" w:rsidRDefault="00D31C07" w:rsidP="00D31C07">
      <w:pPr>
        <w:pStyle w:val="NormalWeb"/>
        <w:jc w:val="both"/>
        <w:rPr>
          <w:rFonts w:ascii="Arial" w:hAnsi="Arial" w:cs="Arial"/>
          <w:sz w:val="20"/>
          <w:szCs w:val="20"/>
        </w:rPr>
      </w:pPr>
      <w:r w:rsidRPr="00D31C07">
        <w:rPr>
          <w:rFonts w:ascii="Arial" w:hAnsi="Arial" w:cs="Arial"/>
          <w:sz w:val="20"/>
          <w:szCs w:val="20"/>
        </w:rPr>
        <w:t xml:space="preserve">Despite the ecological, economic, and cultural importance of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comprehensive research on its reproductive biology remains fragmented and underdeveloped. The species is mono-raced, semi-domesticated, and geographically restricted to the Indo-Burma biodiversity hotspot, making it highly vulnerable to climate change, habitat degradation, and anthropogenic pressures. The seasonal constraints of seed production, limited adaptability to captive rearing, and high mortality during the larval and pupal stages further complicate its conservation and sustainable utilization.</w:t>
      </w:r>
    </w:p>
    <w:p w14:paraId="0C497624" w14:textId="77777777" w:rsidR="00D31C07" w:rsidRPr="00D31C07" w:rsidRDefault="00D31C07" w:rsidP="00D31C07">
      <w:pPr>
        <w:pStyle w:val="NormalWeb"/>
        <w:jc w:val="both"/>
        <w:rPr>
          <w:rFonts w:ascii="Arial" w:hAnsi="Arial" w:cs="Arial"/>
          <w:sz w:val="20"/>
          <w:szCs w:val="20"/>
        </w:rPr>
      </w:pPr>
      <w:r w:rsidRPr="00D31C07">
        <w:rPr>
          <w:rFonts w:ascii="Arial" w:hAnsi="Arial" w:cs="Arial"/>
          <w:sz w:val="20"/>
          <w:szCs w:val="20"/>
        </w:rPr>
        <w:t xml:space="preserve">Current studies on reproductive physiology have largely focused on descriptive anatomy, oviposition behavior, and limited endocrine manipulations. However, the mechanistic understanding of hormonal regulation, sperm physiology, reproductive senescence, and stress-induced reproductive failures remain poorly characterized. Key regulatory pathways, such as the neuroendocrine axis controlling vitellogenesis and oocyte maturation have not yet been elucidated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although similar pathways have been well-documented in model insects such as </w:t>
      </w:r>
      <w:r w:rsidRPr="00D31C07">
        <w:rPr>
          <w:rStyle w:val="Emphasis"/>
          <w:rFonts w:ascii="Arial" w:hAnsi="Arial" w:cs="Arial"/>
          <w:sz w:val="20"/>
          <w:szCs w:val="20"/>
        </w:rPr>
        <w:t>Bombyx mori</w:t>
      </w:r>
      <w:r w:rsidRPr="00D31C07">
        <w:rPr>
          <w:rFonts w:ascii="Arial" w:hAnsi="Arial" w:cs="Arial"/>
          <w:sz w:val="20"/>
          <w:szCs w:val="20"/>
        </w:rPr>
        <w:t xml:space="preserve">. This represents a significant knowledge gap that hampers the rational design of hormone-assisted seed technology. Furthermore, the effects of abiotic stressors particularly fluctuating temperature, humidity, and photoperiod on reproductive output and gamete viability are insufficiently quantified. The seasonal variability in fecundity and hatchability is well reported, but the molecular, physiological, and epigenetic bases underlying these changes are not yet understood. No genomic, transcriptomic, or proteomic datasets currently exist to support functional annotation of reproductive genes, developmental markers, or stress-response regulators in this species. In addition, the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techniques currently in practice remain dependent on empirical knowledge rather than standardized, evidence-based protocols. Techniques such as mechanical coupling, hormone supplementation, and oviposition device innovation show potential but lack consistent validation across seasons and geographical regions. There is a critical need for precision reproductive management supported by data-driven models integrating physiology, climate, and molecular indicators.</w:t>
      </w:r>
    </w:p>
    <w:p w14:paraId="7945F953" w14:textId="77777777" w:rsidR="00D31C07" w:rsidRDefault="00D31C07" w:rsidP="006437D0">
      <w:pPr>
        <w:pStyle w:val="NormalWeb"/>
        <w:jc w:val="both"/>
        <w:rPr>
          <w:rFonts w:ascii="Arial" w:hAnsi="Arial" w:cs="Arial"/>
          <w:sz w:val="20"/>
          <w:szCs w:val="20"/>
        </w:rPr>
      </w:pPr>
      <w:r w:rsidRPr="00D31C07">
        <w:rPr>
          <w:rFonts w:ascii="Arial" w:hAnsi="Arial" w:cs="Arial"/>
          <w:sz w:val="20"/>
          <w:szCs w:val="20"/>
        </w:rPr>
        <w:lastRenderedPageBreak/>
        <w:t xml:space="preserve">To ensure the long-term sustainability and productivity of the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 industry, a multipronged research approach is essential. Future research must focus on the molecular regulation of reproduction, including the hormonal, genetic, and environmental controls of gametogenesis, vitellogenesis, fertilization, and embryonic development. High-throughput omics approaches such as transcriptomics, proteomics, and metabolomics should be employed to identify key reproductive genes and regulatory networks. The development of a high-quality reference genome is critical to enable functional genomic studies, marker-assisted selection, and conservation genomics. In parallel, optimizing the application of hormonal treatments such as juvenile hormone (JH-III) and 20-hydroxyecdysone (20-E) across seasons can enhance fecundity and seed viability, though their long-term physiological effects require further investigation. Detailed studies on sperm biology, including sperm dimorphism, viability, and seasonal variability, are also essential to improve fertility diagnostics and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success. Environmental physiology must be systematically examined to quantify the impacts of temperature, humidity, and photoperiod on reproductive outcomes. Moreover,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practices, including artificial coupling and oviposition devices need to be standardized and validated across regions. Genetic conservation strategies, such as cryopreservation and germplasm banking, should be prioritized to safeguard this mono-raced species against genetic erosion. Finally, integrating modern biotechnological tools and digital monitoring systems can support precision sericulture and real-time reproductive management. Bridging these research gaps is vital not only for advancing scientific understanding but also for securing the future of sustainable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 production.</w:t>
      </w:r>
    </w:p>
    <w:p w14:paraId="3A945E43" w14:textId="77777777" w:rsidR="005C0806" w:rsidRPr="00BF2A14" w:rsidRDefault="00401A7D" w:rsidP="00BF2A14">
      <w:pPr>
        <w:pStyle w:val="NormalWeb"/>
        <w:rPr>
          <w:rFonts w:ascii="Arial" w:hAnsi="Arial" w:cs="Arial"/>
          <w:b/>
          <w:sz w:val="22"/>
        </w:rPr>
      </w:pPr>
      <w:bookmarkStart w:id="0" w:name="_GoBack"/>
      <w:bookmarkEnd w:id="0"/>
      <w:r w:rsidRPr="00BF2A14">
        <w:rPr>
          <w:rFonts w:ascii="Arial" w:hAnsi="Arial" w:cs="Arial"/>
          <w:b/>
          <w:sz w:val="22"/>
        </w:rPr>
        <w:t>REFERENCES</w:t>
      </w:r>
    </w:p>
    <w:p w14:paraId="68F10335" w14:textId="77777777" w:rsidR="00401A7D" w:rsidRPr="00BF2A14" w:rsidRDefault="00401A7D" w:rsidP="00BF2A14">
      <w:pPr>
        <w:pStyle w:val="ListParagraph"/>
        <w:numPr>
          <w:ilvl w:val="0"/>
          <w:numId w:val="2"/>
        </w:numPr>
        <w:ind w:left="284" w:hanging="284"/>
        <w:jc w:val="both"/>
        <w:rPr>
          <w:rFonts w:ascii="Arial" w:hAnsi="Arial" w:cs="Arial"/>
          <w:sz w:val="20"/>
          <w:szCs w:val="20"/>
        </w:rPr>
      </w:pPr>
      <w:r w:rsidRPr="00BF2A14">
        <w:rPr>
          <w:rFonts w:ascii="Arial" w:hAnsi="Arial" w:cs="Arial"/>
          <w:sz w:val="20"/>
          <w:szCs w:val="20"/>
        </w:rPr>
        <w:t xml:space="preserve">Nath, I., Dutta, P. L., &amp; Narzary, P. R. (2025). Muga Silk: A Review on Its Structural, Physical, and Biomedical Significance. Journal of Experimental Agriculture International, 47 (7), 850-63. </w:t>
      </w:r>
      <w:hyperlink r:id="rId10" w:history="1">
        <w:r w:rsidRPr="00BF2A14">
          <w:rPr>
            <w:rStyle w:val="Hyperlink"/>
            <w:rFonts w:ascii="Arial" w:hAnsi="Arial" w:cs="Arial"/>
            <w:sz w:val="20"/>
            <w:szCs w:val="20"/>
          </w:rPr>
          <w:t>https://doi.org/10.9734/jeai/2025/v47i73627</w:t>
        </w:r>
      </w:hyperlink>
    </w:p>
    <w:p w14:paraId="0115046A"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Saikia, D., Dutta, L., Saikia, M., Singha, T., Gogoi, I., &amp; Das, D. (2023). Effect of season on reproductive parameters of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assamensis</w:t>
      </w:r>
      <w:proofErr w:type="spellEnd"/>
      <w:r w:rsidRPr="00BF2A14">
        <w:rPr>
          <w:rFonts w:ascii="Arial" w:hAnsi="Arial" w:cs="Arial"/>
          <w:color w:val="222222"/>
          <w:sz w:val="20"/>
          <w:szCs w:val="20"/>
          <w:shd w:val="clear" w:color="auto" w:fill="FFFFFF"/>
        </w:rPr>
        <w:t xml:space="preserve"> Helfer). </w:t>
      </w:r>
      <w:r w:rsidRPr="00BF2A14">
        <w:rPr>
          <w:rFonts w:ascii="Arial" w:hAnsi="Arial" w:cs="Arial"/>
          <w:iCs/>
          <w:color w:val="222222"/>
          <w:sz w:val="20"/>
          <w:szCs w:val="20"/>
          <w:shd w:val="clear" w:color="auto" w:fill="FFFFFF"/>
        </w:rPr>
        <w:t>Ecology Environment and Conservation</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29</w:t>
      </w:r>
      <w:r w:rsidRPr="00BF2A14">
        <w:rPr>
          <w:rFonts w:ascii="Arial" w:hAnsi="Arial" w:cs="Arial"/>
          <w:color w:val="222222"/>
          <w:sz w:val="20"/>
          <w:szCs w:val="20"/>
          <w:shd w:val="clear" w:color="auto" w:fill="FFFFFF"/>
        </w:rPr>
        <w:t xml:space="preserve">(1), 309-313. </w:t>
      </w:r>
      <w:hyperlink r:id="rId11" w:history="1">
        <w:r w:rsidRPr="00BF2A14">
          <w:rPr>
            <w:rStyle w:val="Hyperlink"/>
            <w:rFonts w:ascii="Arial" w:hAnsi="Arial" w:cs="Arial"/>
            <w:sz w:val="20"/>
            <w:szCs w:val="20"/>
            <w:shd w:val="clear" w:color="auto" w:fill="FFFFFF"/>
          </w:rPr>
          <w:t>http://doi.org/10.53550/EEC.2023.v29i01.045</w:t>
        </w:r>
      </w:hyperlink>
    </w:p>
    <w:p w14:paraId="1E570929"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Hussain, M., Khan, S. A., Naeem, M., &amp; Nasir, M. F. (2011). Effect of Rearing Temperature and Humidity on Fecundity and Fertility of Silkworm, </w:t>
      </w:r>
      <w:r w:rsidRPr="00BF2A14">
        <w:rPr>
          <w:rFonts w:ascii="Arial" w:hAnsi="Arial" w:cs="Arial"/>
          <w:i/>
          <w:color w:val="222222"/>
          <w:sz w:val="20"/>
          <w:szCs w:val="20"/>
          <w:shd w:val="clear" w:color="auto" w:fill="FFFFFF"/>
        </w:rPr>
        <w:t>Bombyx mori</w:t>
      </w:r>
      <w:r w:rsidRPr="00BF2A14">
        <w:rPr>
          <w:rFonts w:ascii="Arial" w:hAnsi="Arial" w:cs="Arial"/>
          <w:color w:val="222222"/>
          <w:sz w:val="20"/>
          <w:szCs w:val="20"/>
          <w:shd w:val="clear" w:color="auto" w:fill="FFFFFF"/>
        </w:rPr>
        <w:t xml:space="preserve"> </w:t>
      </w:r>
      <w:proofErr w:type="gramStart"/>
      <w:r w:rsidRPr="00BF2A14">
        <w:rPr>
          <w:rFonts w:ascii="Arial" w:hAnsi="Arial" w:cs="Arial"/>
          <w:color w:val="222222"/>
          <w:sz w:val="20"/>
          <w:szCs w:val="20"/>
          <w:shd w:val="clear" w:color="auto" w:fill="FFFFFF"/>
        </w:rPr>
        <w:t>L.(</w:t>
      </w:r>
      <w:proofErr w:type="gramEnd"/>
      <w:r w:rsidRPr="00BF2A14">
        <w:rPr>
          <w:rFonts w:ascii="Arial" w:hAnsi="Arial" w:cs="Arial"/>
          <w:color w:val="222222"/>
          <w:sz w:val="20"/>
          <w:szCs w:val="20"/>
          <w:shd w:val="clear" w:color="auto" w:fill="FFFFFF"/>
        </w:rPr>
        <w:t>Lepidoptera: Bombycidae). </w:t>
      </w:r>
      <w:r w:rsidRPr="00BF2A14">
        <w:rPr>
          <w:rFonts w:ascii="Arial" w:hAnsi="Arial" w:cs="Arial"/>
          <w:iCs/>
          <w:color w:val="222222"/>
          <w:sz w:val="20"/>
          <w:szCs w:val="20"/>
          <w:shd w:val="clear" w:color="auto" w:fill="FFFFFF"/>
        </w:rPr>
        <w:t>Pakistan Journal of Zoology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43</w:t>
      </w:r>
      <w:r w:rsidRPr="00BF2A14">
        <w:rPr>
          <w:rFonts w:ascii="Arial" w:hAnsi="Arial" w:cs="Arial"/>
          <w:color w:val="222222"/>
          <w:sz w:val="20"/>
          <w:szCs w:val="20"/>
          <w:shd w:val="clear" w:color="auto" w:fill="FFFFFF"/>
        </w:rPr>
        <w:t>(5), 979-985.</w:t>
      </w:r>
    </w:p>
    <w:p w14:paraId="0C073BA5"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Dubey, O. P., </w:t>
      </w:r>
      <w:proofErr w:type="spellStart"/>
      <w:r w:rsidRPr="00BF2A14">
        <w:rPr>
          <w:rFonts w:ascii="Arial" w:hAnsi="Arial" w:cs="Arial"/>
          <w:color w:val="222222"/>
          <w:sz w:val="20"/>
          <w:szCs w:val="20"/>
          <w:shd w:val="clear" w:color="auto" w:fill="FFFFFF"/>
        </w:rPr>
        <w:t>Bajpeyi</w:t>
      </w:r>
      <w:proofErr w:type="spellEnd"/>
      <w:r w:rsidRPr="00BF2A14">
        <w:rPr>
          <w:rFonts w:ascii="Arial" w:hAnsi="Arial" w:cs="Arial"/>
          <w:color w:val="222222"/>
          <w:sz w:val="20"/>
          <w:szCs w:val="20"/>
          <w:shd w:val="clear" w:color="auto" w:fill="FFFFFF"/>
        </w:rPr>
        <w:t>, C. M., Ojha, N. G., &amp; Thangavelu, K. (1993). Oviposition-a vital aspect in silkworm rearing. </w:t>
      </w:r>
      <w:r w:rsidRPr="00BF2A14">
        <w:rPr>
          <w:rFonts w:ascii="Arial" w:hAnsi="Arial" w:cs="Arial"/>
          <w:iCs/>
          <w:color w:val="222222"/>
          <w:sz w:val="20"/>
          <w:szCs w:val="20"/>
          <w:shd w:val="clear" w:color="auto" w:fill="FFFFFF"/>
        </w:rPr>
        <w:t>Indian Silk</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31</w:t>
      </w:r>
      <w:r w:rsidRPr="00BF2A14">
        <w:rPr>
          <w:rFonts w:ascii="Arial" w:hAnsi="Arial" w:cs="Arial"/>
          <w:color w:val="222222"/>
          <w:sz w:val="20"/>
          <w:szCs w:val="20"/>
          <w:shd w:val="clear" w:color="auto" w:fill="FFFFFF"/>
        </w:rPr>
        <w:t>(11), 29-31.</w:t>
      </w:r>
    </w:p>
    <w:p w14:paraId="0C87EE71"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Ridley, M. (1990). The control and frequency of mating in insects. </w:t>
      </w:r>
      <w:r w:rsidRPr="00BF2A14">
        <w:rPr>
          <w:rFonts w:ascii="Arial" w:hAnsi="Arial" w:cs="Arial"/>
          <w:iCs/>
          <w:color w:val="222222"/>
          <w:sz w:val="20"/>
          <w:szCs w:val="20"/>
          <w:shd w:val="clear" w:color="auto" w:fill="FFFFFF"/>
        </w:rPr>
        <w:t>Functional Ecology</w:t>
      </w:r>
      <w:r w:rsidRPr="00BF2A14">
        <w:rPr>
          <w:rFonts w:ascii="Arial" w:hAnsi="Arial" w:cs="Arial"/>
          <w:color w:val="222222"/>
          <w:sz w:val="20"/>
          <w:szCs w:val="20"/>
          <w:shd w:val="clear" w:color="auto" w:fill="FFFFFF"/>
        </w:rPr>
        <w:t>, 4(1), 75-84.</w:t>
      </w:r>
      <w:r w:rsidRPr="00BF2A14">
        <w:rPr>
          <w:rFonts w:ascii="Arial" w:hAnsi="Arial" w:cs="Arial"/>
          <w:sz w:val="20"/>
          <w:szCs w:val="20"/>
        </w:rPr>
        <w:t xml:space="preserve"> </w:t>
      </w:r>
      <w:hyperlink r:id="rId12" w:history="1">
        <w:r w:rsidRPr="00BF2A14">
          <w:rPr>
            <w:rStyle w:val="Hyperlink"/>
            <w:rFonts w:ascii="Arial" w:hAnsi="Arial" w:cs="Arial"/>
            <w:sz w:val="20"/>
            <w:szCs w:val="20"/>
            <w:shd w:val="clear" w:color="auto" w:fill="FFFFFF"/>
          </w:rPr>
          <w:t>https://doi.org/10.2307/2389655</w:t>
        </w:r>
      </w:hyperlink>
    </w:p>
    <w:p w14:paraId="55D31770"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Teotia</w:t>
      </w:r>
      <w:proofErr w:type="spellEnd"/>
      <w:r w:rsidRPr="00BF2A14">
        <w:rPr>
          <w:rFonts w:ascii="Arial" w:hAnsi="Arial" w:cs="Arial"/>
          <w:color w:val="222222"/>
          <w:sz w:val="20"/>
          <w:szCs w:val="20"/>
          <w:shd w:val="clear" w:color="auto" w:fill="FFFFFF"/>
        </w:rPr>
        <w:t xml:space="preserve">, R. S., &amp; Bhattacharya, A. (1997). Evolution of suitable package of practices for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rearing. </w:t>
      </w:r>
      <w:r w:rsidRPr="00BF2A14">
        <w:rPr>
          <w:rFonts w:ascii="Arial" w:hAnsi="Arial" w:cs="Arial"/>
          <w:iCs/>
          <w:color w:val="222222"/>
          <w:sz w:val="20"/>
          <w:szCs w:val="20"/>
          <w:shd w:val="clear" w:color="auto" w:fill="FFFFFF"/>
        </w:rPr>
        <w:t>Ann. Rep., RMRS, Boko</w:t>
      </w:r>
      <w:r w:rsidRPr="00BF2A14">
        <w:rPr>
          <w:rFonts w:ascii="Arial" w:hAnsi="Arial" w:cs="Arial"/>
          <w:color w:val="222222"/>
          <w:sz w:val="20"/>
          <w:szCs w:val="20"/>
          <w:shd w:val="clear" w:color="auto" w:fill="FFFFFF"/>
        </w:rPr>
        <w:t>, 8, 78-81.</w:t>
      </w:r>
    </w:p>
    <w:p w14:paraId="1E371698"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Sahu, A. K., Singha, B. B., &amp; Das, P. K. (1998a). Phenological studies in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assama</w:t>
      </w:r>
      <w:proofErr w:type="spellEnd"/>
      <w:r w:rsidRPr="00BF2A14">
        <w:rPr>
          <w:rFonts w:ascii="Arial" w:hAnsi="Arial" w:cs="Arial"/>
          <w:color w:val="222222"/>
          <w:sz w:val="20"/>
          <w:szCs w:val="20"/>
          <w:shd w:val="clear" w:color="auto" w:fill="FFFFFF"/>
        </w:rPr>
        <w:t xml:space="preserve"> </w:t>
      </w:r>
      <w:proofErr w:type="spellStart"/>
      <w:proofErr w:type="gramStart"/>
      <w:r w:rsidRPr="00BF2A14">
        <w:rPr>
          <w:rFonts w:ascii="Arial" w:hAnsi="Arial" w:cs="Arial"/>
          <w:color w:val="222222"/>
          <w:sz w:val="20"/>
          <w:szCs w:val="20"/>
          <w:shd w:val="clear" w:color="auto" w:fill="FFFFFF"/>
        </w:rPr>
        <w:t>Ww</w:t>
      </w:r>
      <w:proofErr w:type="spellEnd"/>
      <w:r w:rsidRPr="00BF2A14">
        <w:rPr>
          <w:rFonts w:ascii="Arial" w:hAnsi="Arial" w:cs="Arial"/>
          <w:color w:val="222222"/>
          <w:sz w:val="20"/>
          <w:szCs w:val="20"/>
          <w:shd w:val="clear" w:color="auto" w:fill="FFFFFF"/>
        </w:rPr>
        <w:t>.(</w:t>
      </w:r>
      <w:proofErr w:type="gramEnd"/>
      <w:r w:rsidRPr="00BF2A14">
        <w:rPr>
          <w:rFonts w:ascii="Arial" w:hAnsi="Arial" w:cs="Arial"/>
          <w:color w:val="222222"/>
          <w:sz w:val="20"/>
          <w:szCs w:val="20"/>
          <w:shd w:val="clear" w:color="auto" w:fill="FFFFFF"/>
        </w:rPr>
        <w:t xml:space="preserve">Lepidoptera: </w:t>
      </w:r>
      <w:proofErr w:type="spellStart"/>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 xml:space="preserve">), in relation to its rearing and </w:t>
      </w:r>
      <w:proofErr w:type="spellStart"/>
      <w:r w:rsidRPr="00BF2A14">
        <w:rPr>
          <w:rFonts w:ascii="Arial" w:hAnsi="Arial" w:cs="Arial"/>
          <w:color w:val="222222"/>
          <w:sz w:val="20"/>
          <w:szCs w:val="20"/>
          <w:shd w:val="clear" w:color="auto" w:fill="FFFFFF"/>
        </w:rPr>
        <w:t>grainage</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behaviour</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 xml:space="preserve">International Journal of Wild </w:t>
      </w:r>
      <w:proofErr w:type="spellStart"/>
      <w:r w:rsidRPr="00BF2A14">
        <w:rPr>
          <w:rFonts w:ascii="Arial" w:hAnsi="Arial" w:cs="Arial"/>
          <w:iCs/>
          <w:color w:val="222222"/>
          <w:sz w:val="20"/>
          <w:szCs w:val="20"/>
          <w:shd w:val="clear" w:color="auto" w:fill="FFFFFF"/>
        </w:rPr>
        <w:t>Silkmoth</w:t>
      </w:r>
      <w:proofErr w:type="spellEnd"/>
      <w:r w:rsidRPr="00BF2A14">
        <w:rPr>
          <w:rFonts w:ascii="Arial" w:hAnsi="Arial" w:cs="Arial"/>
          <w:iCs/>
          <w:color w:val="222222"/>
          <w:sz w:val="20"/>
          <w:szCs w:val="20"/>
          <w:shd w:val="clear" w:color="auto" w:fill="FFFFFF"/>
        </w:rPr>
        <w:t xml:space="preserve"> Silk</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5</w:t>
      </w:r>
      <w:r w:rsidRPr="00BF2A14">
        <w:rPr>
          <w:rFonts w:ascii="Arial" w:hAnsi="Arial" w:cs="Arial"/>
          <w:color w:val="222222"/>
          <w:sz w:val="20"/>
          <w:szCs w:val="20"/>
          <w:shd w:val="clear" w:color="auto" w:fill="FFFFFF"/>
        </w:rPr>
        <w:t>, 25-28.</w:t>
      </w:r>
    </w:p>
    <w:p w14:paraId="426A7A6B"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Sahu, M. (1998b). Constraints during </w:t>
      </w:r>
      <w:proofErr w:type="spellStart"/>
      <w:r w:rsidRPr="00BF2A14">
        <w:rPr>
          <w:rFonts w:ascii="Arial" w:hAnsi="Arial" w:cs="Arial"/>
          <w:color w:val="222222"/>
          <w:sz w:val="20"/>
          <w:szCs w:val="20"/>
          <w:shd w:val="clear" w:color="auto" w:fill="FFFFFF"/>
        </w:rPr>
        <w:t>pre seed</w:t>
      </w:r>
      <w:proofErr w:type="spellEnd"/>
      <w:r w:rsidRPr="00BF2A14">
        <w:rPr>
          <w:rFonts w:ascii="Arial" w:hAnsi="Arial" w:cs="Arial"/>
          <w:color w:val="222222"/>
          <w:sz w:val="20"/>
          <w:szCs w:val="20"/>
          <w:shd w:val="clear" w:color="auto" w:fill="FFFFFF"/>
        </w:rPr>
        <w:t xml:space="preserve"> crop </w:t>
      </w:r>
      <w:proofErr w:type="spellStart"/>
      <w:r w:rsidRPr="00BF2A14">
        <w:rPr>
          <w:rFonts w:ascii="Arial" w:hAnsi="Arial" w:cs="Arial"/>
          <w:color w:val="222222"/>
          <w:sz w:val="20"/>
          <w:szCs w:val="20"/>
          <w:shd w:val="clear" w:color="auto" w:fill="FFFFFF"/>
        </w:rPr>
        <w:t>rearings</w:t>
      </w:r>
      <w:proofErr w:type="spellEnd"/>
      <w:r w:rsidRPr="00BF2A14">
        <w:rPr>
          <w:rFonts w:ascii="Arial" w:hAnsi="Arial" w:cs="Arial"/>
          <w:color w:val="222222"/>
          <w:sz w:val="20"/>
          <w:szCs w:val="20"/>
          <w:shd w:val="clear" w:color="auto" w:fill="FFFFFF"/>
        </w:rPr>
        <w:t xml:space="preserve"> of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assama</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Ww</w:t>
      </w:r>
      <w:proofErr w:type="spellEnd"/>
      <w:r w:rsidRPr="00BF2A14">
        <w:rPr>
          <w:rFonts w:ascii="Arial" w:hAnsi="Arial" w:cs="Arial"/>
          <w:color w:val="222222"/>
          <w:sz w:val="20"/>
          <w:szCs w:val="20"/>
          <w:shd w:val="clear" w:color="auto" w:fill="FFFFFF"/>
        </w:rPr>
        <w:t xml:space="preserve">. at seed </w:t>
      </w:r>
      <w:proofErr w:type="spellStart"/>
      <w:r w:rsidRPr="00BF2A14">
        <w:rPr>
          <w:rFonts w:ascii="Arial" w:hAnsi="Arial" w:cs="Arial"/>
          <w:color w:val="222222"/>
          <w:sz w:val="20"/>
          <w:szCs w:val="20"/>
          <w:shd w:val="clear" w:color="auto" w:fill="FFFFFF"/>
        </w:rPr>
        <w:t>rearers</w:t>
      </w:r>
      <w:proofErr w:type="spellEnd"/>
      <w:r w:rsidRPr="00BF2A14">
        <w:rPr>
          <w:rFonts w:ascii="Arial" w:hAnsi="Arial" w:cs="Arial"/>
          <w:color w:val="222222"/>
          <w:sz w:val="20"/>
          <w:szCs w:val="20"/>
          <w:shd w:val="clear" w:color="auto" w:fill="FFFFFF"/>
        </w:rPr>
        <w:t xml:space="preserve"> level in lower Assam. In </w:t>
      </w:r>
      <w:r w:rsidRPr="00BF2A14">
        <w:rPr>
          <w:rFonts w:ascii="Arial" w:hAnsi="Arial" w:cs="Arial"/>
          <w:i/>
          <w:iCs/>
          <w:color w:val="222222"/>
          <w:sz w:val="20"/>
          <w:szCs w:val="20"/>
          <w:shd w:val="clear" w:color="auto" w:fill="FFFFFF"/>
        </w:rPr>
        <w:t xml:space="preserve">Proceedings of the Third International Conference on Wild </w:t>
      </w:r>
      <w:proofErr w:type="spellStart"/>
      <w:r w:rsidRPr="00BF2A14">
        <w:rPr>
          <w:rFonts w:ascii="Arial" w:hAnsi="Arial" w:cs="Arial"/>
          <w:i/>
          <w:iCs/>
          <w:color w:val="222222"/>
          <w:sz w:val="20"/>
          <w:szCs w:val="20"/>
          <w:shd w:val="clear" w:color="auto" w:fill="FFFFFF"/>
        </w:rPr>
        <w:t>Silkmoths</w:t>
      </w:r>
      <w:proofErr w:type="spellEnd"/>
      <w:r w:rsidRPr="00BF2A14">
        <w:rPr>
          <w:rFonts w:ascii="Arial" w:hAnsi="Arial" w:cs="Arial"/>
          <w:i/>
          <w:iCs/>
          <w:color w:val="222222"/>
          <w:sz w:val="20"/>
          <w:szCs w:val="20"/>
          <w:shd w:val="clear" w:color="auto" w:fill="FFFFFF"/>
        </w:rPr>
        <w:t>, Bhubaneshwar, 2003</w:t>
      </w:r>
      <w:r w:rsidRPr="00BF2A14">
        <w:rPr>
          <w:rFonts w:ascii="Arial" w:hAnsi="Arial" w:cs="Arial"/>
          <w:color w:val="222222"/>
          <w:sz w:val="20"/>
          <w:szCs w:val="20"/>
          <w:shd w:val="clear" w:color="auto" w:fill="FFFFFF"/>
        </w:rPr>
        <w:t xml:space="preserve"> (Vol. 5, pp. 122-124). Publ. The Japanese Society for Wild </w:t>
      </w:r>
      <w:proofErr w:type="spellStart"/>
      <w:r w:rsidRPr="00BF2A14">
        <w:rPr>
          <w:rFonts w:ascii="Arial" w:hAnsi="Arial" w:cs="Arial"/>
          <w:color w:val="222222"/>
          <w:sz w:val="20"/>
          <w:szCs w:val="20"/>
          <w:shd w:val="clear" w:color="auto" w:fill="FFFFFF"/>
        </w:rPr>
        <w:t>Silkmoths</w:t>
      </w:r>
      <w:proofErr w:type="spellEnd"/>
      <w:r w:rsidRPr="00BF2A14">
        <w:rPr>
          <w:rFonts w:ascii="Arial" w:hAnsi="Arial" w:cs="Arial"/>
          <w:color w:val="222222"/>
          <w:sz w:val="20"/>
          <w:szCs w:val="20"/>
          <w:shd w:val="clear" w:color="auto" w:fill="FFFFFF"/>
        </w:rPr>
        <w:t>.</w:t>
      </w:r>
    </w:p>
    <w:p w14:paraId="09E7335D" w14:textId="77777777" w:rsidR="00401A7D" w:rsidRPr="00BF2A14" w:rsidRDefault="00401A7D" w:rsidP="00BF2A14">
      <w:pPr>
        <w:pStyle w:val="ListParagraph"/>
        <w:numPr>
          <w:ilvl w:val="0"/>
          <w:numId w:val="2"/>
        </w:numPr>
        <w:ind w:left="284" w:hanging="284"/>
        <w:jc w:val="both"/>
        <w:rPr>
          <w:rFonts w:ascii="Arial" w:hAnsi="Arial" w:cs="Arial"/>
          <w:sz w:val="20"/>
          <w:szCs w:val="20"/>
        </w:rPr>
      </w:pPr>
      <w:r w:rsidRPr="00BF2A14">
        <w:rPr>
          <w:rFonts w:ascii="Arial" w:hAnsi="Arial" w:cs="Arial"/>
          <w:sz w:val="20"/>
          <w:szCs w:val="20"/>
        </w:rPr>
        <w:t xml:space="preserve">JOLLY M.S. (1983) Silkworm breeding in India. In Silkworm Genetic and Breeding. National Seminar </w:t>
      </w:r>
      <w:proofErr w:type="gramStart"/>
      <w:r w:rsidRPr="00BF2A14">
        <w:rPr>
          <w:rFonts w:ascii="Arial" w:hAnsi="Arial" w:cs="Arial"/>
          <w:sz w:val="20"/>
          <w:szCs w:val="20"/>
        </w:rPr>
        <w:t>on  Silkworm</w:t>
      </w:r>
      <w:proofErr w:type="gramEnd"/>
      <w:r w:rsidRPr="00BF2A14">
        <w:rPr>
          <w:rFonts w:ascii="Arial" w:hAnsi="Arial" w:cs="Arial"/>
          <w:sz w:val="20"/>
          <w:szCs w:val="20"/>
        </w:rPr>
        <w:t xml:space="preserve"> Research and Development, Bangalore, India, 1-9.</w:t>
      </w:r>
    </w:p>
    <w:p w14:paraId="05AA3E1F"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Nayak, B. K., &amp; Dash, A. K. (1989). Effect of refrigeration on egg incubation period of the </w:t>
      </w:r>
      <w:proofErr w:type="spellStart"/>
      <w:r w:rsidRPr="00BF2A14">
        <w:rPr>
          <w:rFonts w:ascii="Arial" w:hAnsi="Arial" w:cs="Arial"/>
          <w:color w:val="222222"/>
          <w:sz w:val="20"/>
          <w:szCs w:val="20"/>
          <w:shd w:val="clear" w:color="auto" w:fill="FFFFFF"/>
        </w:rPr>
        <w:t>tasar</w:t>
      </w:r>
      <w:proofErr w:type="spellEnd"/>
      <w:r w:rsidRPr="00BF2A14">
        <w:rPr>
          <w:rFonts w:ascii="Arial" w:hAnsi="Arial" w:cs="Arial"/>
          <w:color w:val="222222"/>
          <w:sz w:val="20"/>
          <w:szCs w:val="20"/>
          <w:shd w:val="clear" w:color="auto" w:fill="FFFFFF"/>
        </w:rPr>
        <w:t xml:space="preserve"> silk insect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mylitta</w:t>
      </w:r>
      <w:proofErr w:type="spellEnd"/>
      <w:r w:rsidRPr="00BF2A14">
        <w:rPr>
          <w:rFonts w:ascii="Arial" w:hAnsi="Arial" w:cs="Arial"/>
          <w:color w:val="222222"/>
          <w:sz w:val="20"/>
          <w:szCs w:val="20"/>
          <w:shd w:val="clear" w:color="auto" w:fill="FFFFFF"/>
        </w:rPr>
        <w:t xml:space="preserve"> Drury (</w:t>
      </w:r>
      <w:proofErr w:type="spellStart"/>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 Journal of the Lepidopterists’ Society, 43(2), 152-152</w:t>
      </w:r>
    </w:p>
    <w:p w14:paraId="6F1DDBBD"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Thangavelu, K., &amp; Sahu, A. K. (1986). Further studies on the in-door rearing of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color w:val="222222"/>
          <w:sz w:val="20"/>
          <w:szCs w:val="20"/>
          <w:shd w:val="clear" w:color="auto" w:fill="FFFFFF"/>
        </w:rPr>
        <w:t>A</w:t>
      </w:r>
      <w:r w:rsidRPr="00BF2A14">
        <w:rPr>
          <w:rFonts w:ascii="Arial" w:hAnsi="Arial" w:cs="Arial"/>
          <w:i/>
          <w:color w:val="222222"/>
          <w:sz w:val="20"/>
          <w:szCs w:val="20"/>
          <w:shd w:val="clear" w:color="auto" w:fill="FFFFFF"/>
        </w:rPr>
        <w:t>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assama</w:t>
      </w:r>
      <w:proofErr w:type="spellEnd"/>
      <w:r w:rsidRPr="00BF2A14">
        <w:rPr>
          <w:rFonts w:ascii="Arial" w:hAnsi="Arial" w:cs="Arial"/>
          <w:i/>
          <w:color w:val="222222"/>
          <w:sz w:val="20"/>
          <w:szCs w:val="20"/>
          <w:shd w:val="clear" w:color="auto" w:fill="FFFFFF"/>
        </w:rPr>
        <w:t xml:space="preserve"> </w:t>
      </w:r>
      <w:proofErr w:type="spellStart"/>
      <w:proofErr w:type="gramStart"/>
      <w:r w:rsidRPr="00BF2A14">
        <w:rPr>
          <w:rFonts w:ascii="Arial" w:hAnsi="Arial" w:cs="Arial"/>
          <w:color w:val="222222"/>
          <w:sz w:val="20"/>
          <w:szCs w:val="20"/>
          <w:shd w:val="clear" w:color="auto" w:fill="FFFFFF"/>
        </w:rPr>
        <w:t>Westw</w:t>
      </w:r>
      <w:proofErr w:type="spellEnd"/>
      <w:r w:rsidRPr="00BF2A14">
        <w:rPr>
          <w:rFonts w:ascii="Arial" w:hAnsi="Arial" w:cs="Arial"/>
          <w:color w:val="222222"/>
          <w:sz w:val="20"/>
          <w:szCs w:val="20"/>
          <w:shd w:val="clear" w:color="auto" w:fill="FFFFFF"/>
        </w:rPr>
        <w:t>.(</w:t>
      </w:r>
      <w:proofErr w:type="spellStart"/>
      <w:proofErr w:type="gramEnd"/>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 Lepidoptera). </w:t>
      </w:r>
      <w:proofErr w:type="spellStart"/>
      <w:r w:rsidRPr="00BF2A14">
        <w:rPr>
          <w:rFonts w:ascii="Arial" w:hAnsi="Arial" w:cs="Arial"/>
          <w:iCs/>
          <w:color w:val="222222"/>
          <w:sz w:val="20"/>
          <w:szCs w:val="20"/>
          <w:shd w:val="clear" w:color="auto" w:fill="FFFFFF"/>
        </w:rPr>
        <w:t>Sericologia</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26</w:t>
      </w:r>
      <w:r w:rsidRPr="00BF2A14">
        <w:rPr>
          <w:rFonts w:ascii="Arial" w:hAnsi="Arial" w:cs="Arial"/>
          <w:color w:val="222222"/>
          <w:sz w:val="20"/>
          <w:szCs w:val="20"/>
          <w:shd w:val="clear" w:color="auto" w:fill="FFFFFF"/>
        </w:rPr>
        <w:t>(2), 215-227.</w:t>
      </w:r>
    </w:p>
    <w:p w14:paraId="6783CF81"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Chaoba</w:t>
      </w:r>
      <w:proofErr w:type="spellEnd"/>
      <w:r w:rsidRPr="00BF2A14">
        <w:rPr>
          <w:rFonts w:ascii="Arial" w:hAnsi="Arial" w:cs="Arial"/>
          <w:color w:val="222222"/>
          <w:sz w:val="20"/>
          <w:szCs w:val="20"/>
          <w:shd w:val="clear" w:color="auto" w:fill="FFFFFF"/>
        </w:rPr>
        <w:t xml:space="preserve"> Singh, K., Tikoo, B. L., &amp; Singh, T. K. (1991). Rearing of the oak </w:t>
      </w:r>
      <w:proofErr w:type="spellStart"/>
      <w:r w:rsidRPr="00BF2A14">
        <w:rPr>
          <w:rFonts w:ascii="Arial" w:hAnsi="Arial" w:cs="Arial"/>
          <w:color w:val="222222"/>
          <w:sz w:val="20"/>
          <w:szCs w:val="20"/>
          <w:shd w:val="clear" w:color="auto" w:fill="FFFFFF"/>
        </w:rPr>
        <w:t>tasar</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proylei</w:t>
      </w:r>
      <w:proofErr w:type="spellEnd"/>
      <w:r w:rsidRPr="00BF2A14">
        <w:rPr>
          <w:rFonts w:ascii="Arial" w:hAnsi="Arial" w:cs="Arial"/>
          <w:color w:val="222222"/>
          <w:sz w:val="20"/>
          <w:szCs w:val="20"/>
          <w:shd w:val="clear" w:color="auto" w:fill="FFFFFF"/>
        </w:rPr>
        <w:t>, in relation to altitude and climate. </w:t>
      </w:r>
      <w:proofErr w:type="spellStart"/>
      <w:r w:rsidRPr="00BF2A14">
        <w:rPr>
          <w:rFonts w:ascii="Arial" w:hAnsi="Arial" w:cs="Arial"/>
          <w:iCs/>
          <w:color w:val="222222"/>
          <w:sz w:val="20"/>
          <w:szCs w:val="20"/>
          <w:shd w:val="clear" w:color="auto" w:fill="FFFFFF"/>
        </w:rPr>
        <w:t>Sericologia</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31</w:t>
      </w:r>
      <w:r w:rsidRPr="00BF2A14">
        <w:rPr>
          <w:rFonts w:ascii="Arial" w:hAnsi="Arial" w:cs="Arial"/>
          <w:color w:val="222222"/>
          <w:sz w:val="20"/>
          <w:szCs w:val="20"/>
          <w:shd w:val="clear" w:color="auto" w:fill="FFFFFF"/>
        </w:rPr>
        <w:t>(2), 261-274.</w:t>
      </w:r>
    </w:p>
    <w:p w14:paraId="46BC6CCB"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lastRenderedPageBreak/>
        <w:t xml:space="preserve">Yadav, G. S., Siddiqui, A. A., Barah, A., Ram, R., &amp; Sengupta, A. K. (1992). Studies on association of fecundity with cocoon weight, pupa weight and shell weight of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assama</w:t>
      </w:r>
      <w:proofErr w:type="spellEnd"/>
      <w:r w:rsidRPr="00BF2A14">
        <w:rPr>
          <w:rFonts w:ascii="Arial" w:hAnsi="Arial" w:cs="Arial"/>
          <w:color w:val="222222"/>
          <w:sz w:val="20"/>
          <w:szCs w:val="20"/>
          <w:shd w:val="clear" w:color="auto" w:fill="FFFFFF"/>
        </w:rPr>
        <w:t xml:space="preserve"> Westwood during two commercial broods. Journal of the Assam Science Society, 34(2), 13-18.</w:t>
      </w:r>
    </w:p>
    <w:p w14:paraId="45A674EC"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sz w:val="20"/>
          <w:szCs w:val="20"/>
        </w:rPr>
        <w:t>Nayak, B.K., Mishra, C.S.K. and Das, A. K.</w:t>
      </w:r>
      <w:r w:rsidRPr="00BF2A14">
        <w:rPr>
          <w:rFonts w:ascii="Arial" w:hAnsi="Arial" w:cs="Arial"/>
          <w:color w:val="222222"/>
          <w:sz w:val="20"/>
          <w:szCs w:val="20"/>
          <w:shd w:val="clear" w:color="auto" w:fill="FFFFFF"/>
        </w:rPr>
        <w:t xml:space="preserve"> (1993). Effect of temperature and relative humidity on certain life history traits in </w:t>
      </w:r>
      <w:r w:rsidRPr="00BF2A14">
        <w:rPr>
          <w:rFonts w:ascii="Arial" w:hAnsi="Arial" w:cs="Arial"/>
          <w:i/>
          <w:color w:val="222222"/>
          <w:sz w:val="20"/>
          <w:szCs w:val="20"/>
          <w:shd w:val="clear" w:color="auto" w:fill="FFFFFF"/>
        </w:rPr>
        <w:t>Antheraea Mylitta</w:t>
      </w:r>
      <w:r w:rsidRPr="00BF2A14">
        <w:rPr>
          <w:rFonts w:ascii="Arial" w:hAnsi="Arial" w:cs="Arial"/>
          <w:color w:val="222222"/>
          <w:sz w:val="20"/>
          <w:szCs w:val="20"/>
          <w:shd w:val="clear" w:color="auto" w:fill="FFFFFF"/>
        </w:rPr>
        <w:t xml:space="preserve"> (SATURNIIDAE). Journal of the Lepidopterists’ Society, </w:t>
      </w:r>
      <w:r w:rsidRPr="00BF2A14">
        <w:rPr>
          <w:rFonts w:ascii="Arial" w:hAnsi="Arial" w:cs="Arial"/>
          <w:iCs/>
          <w:color w:val="222222"/>
          <w:sz w:val="20"/>
          <w:szCs w:val="20"/>
          <w:shd w:val="clear" w:color="auto" w:fill="FFFFFF"/>
        </w:rPr>
        <w:t>47</w:t>
      </w:r>
      <w:r w:rsidRPr="00BF2A14">
        <w:rPr>
          <w:rFonts w:ascii="Arial" w:hAnsi="Arial" w:cs="Arial"/>
          <w:color w:val="222222"/>
          <w:sz w:val="20"/>
          <w:szCs w:val="20"/>
          <w:shd w:val="clear" w:color="auto" w:fill="FFFFFF"/>
        </w:rPr>
        <w:t>(3), 244-247.</w:t>
      </w:r>
    </w:p>
    <w:p w14:paraId="1DE05F06"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Zhu, S., Lu, Z., Chen, L., Yu, W., &amp; Zhang, S. (2000). Effect of temperature and food on </w:t>
      </w:r>
      <w:proofErr w:type="spellStart"/>
      <w:r w:rsidRPr="00BF2A14">
        <w:rPr>
          <w:rFonts w:ascii="Arial" w:hAnsi="Arial" w:cs="Arial"/>
          <w:i/>
          <w:color w:val="222222"/>
          <w:sz w:val="20"/>
          <w:szCs w:val="20"/>
          <w:shd w:val="clear" w:color="auto" w:fill="FFFFFF"/>
        </w:rPr>
        <w:t>Spodoptera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litura</w:t>
      </w:r>
      <w:proofErr w:type="spellEnd"/>
      <w:r w:rsidRPr="00BF2A14">
        <w:rPr>
          <w:rFonts w:ascii="Arial" w:hAnsi="Arial" w:cs="Arial"/>
          <w:color w:val="222222"/>
          <w:sz w:val="20"/>
          <w:szCs w:val="20"/>
          <w:shd w:val="clear" w:color="auto" w:fill="FFFFFF"/>
        </w:rPr>
        <w:t xml:space="preserve"> population. </w:t>
      </w:r>
      <w:r w:rsidRPr="00BF2A14">
        <w:rPr>
          <w:rFonts w:ascii="Arial" w:hAnsi="Arial" w:cs="Arial"/>
          <w:i/>
          <w:iCs/>
          <w:color w:val="222222"/>
          <w:sz w:val="20"/>
          <w:szCs w:val="20"/>
          <w:shd w:val="clear" w:color="auto" w:fill="FFFFFF"/>
        </w:rPr>
        <w:t xml:space="preserve"> </w:t>
      </w:r>
      <w:r w:rsidRPr="00BF2A14">
        <w:rPr>
          <w:rFonts w:ascii="Arial" w:hAnsi="Arial" w:cs="Arial"/>
          <w:iCs/>
          <w:color w:val="222222"/>
          <w:sz w:val="20"/>
          <w:szCs w:val="20"/>
          <w:shd w:val="clear" w:color="auto" w:fill="FFFFFF"/>
        </w:rPr>
        <w:t>Chinese Journal of Applied Ecology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11</w:t>
      </w:r>
      <w:r w:rsidRPr="00BF2A14">
        <w:rPr>
          <w:rFonts w:ascii="Arial" w:hAnsi="Arial" w:cs="Arial"/>
          <w:color w:val="222222"/>
          <w:sz w:val="20"/>
          <w:szCs w:val="20"/>
          <w:shd w:val="clear" w:color="auto" w:fill="FFFFFF"/>
        </w:rPr>
        <w:t>(1), 111-114.</w:t>
      </w:r>
    </w:p>
    <w:p w14:paraId="43AA2220"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Chen, Q. J., Yang, J. Q., Zhang, J. Z., Zhang, Y. Z., &amp; Chen, J. H. (2002). Effect of temperature on laboratory population of </w:t>
      </w:r>
      <w:proofErr w:type="spellStart"/>
      <w:r w:rsidRPr="00BF2A14">
        <w:rPr>
          <w:rFonts w:ascii="Arial" w:hAnsi="Arial" w:cs="Arial"/>
          <w:i/>
          <w:color w:val="222222"/>
          <w:sz w:val="20"/>
          <w:szCs w:val="20"/>
          <w:shd w:val="clear" w:color="auto" w:fill="FFFFFF"/>
        </w:rPr>
        <w:t>Spodoptera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litura</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Fabricius</w:t>
      </w:r>
      <w:proofErr w:type="spellEnd"/>
      <w:r w:rsidRPr="00BF2A14">
        <w:rPr>
          <w:rFonts w:ascii="Arial" w:hAnsi="Arial" w:cs="Arial"/>
          <w:color w:val="222222"/>
          <w:sz w:val="20"/>
          <w:szCs w:val="20"/>
          <w:shd w:val="clear" w:color="auto" w:fill="FFFFFF"/>
        </w:rPr>
        <w:t>) in tobacco fields. </w:t>
      </w:r>
      <w:r w:rsidRPr="00BF2A14">
        <w:rPr>
          <w:rFonts w:ascii="Arial" w:hAnsi="Arial" w:cs="Arial"/>
          <w:iCs/>
          <w:color w:val="222222"/>
          <w:sz w:val="20"/>
          <w:szCs w:val="20"/>
          <w:shd w:val="clear" w:color="auto" w:fill="FFFFFF"/>
        </w:rPr>
        <w:t>Tobacco Science &amp; Technology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2</w:t>
      </w:r>
      <w:r w:rsidRPr="00BF2A14">
        <w:rPr>
          <w:rFonts w:ascii="Arial" w:hAnsi="Arial" w:cs="Arial"/>
          <w:color w:val="222222"/>
          <w:sz w:val="20"/>
          <w:szCs w:val="20"/>
          <w:shd w:val="clear" w:color="auto" w:fill="FFFFFF"/>
        </w:rPr>
        <w:t>, 42-45.</w:t>
      </w:r>
    </w:p>
    <w:p w14:paraId="70EC0142"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Seema Rani, S. R., Goel, B. B., &amp; Gupta, G. P. (2004). Effects of temperature on the development and reproduction of </w:t>
      </w:r>
      <w:proofErr w:type="spellStart"/>
      <w:r w:rsidRPr="00BF2A14">
        <w:rPr>
          <w:rFonts w:ascii="Arial" w:hAnsi="Arial" w:cs="Arial"/>
          <w:i/>
          <w:color w:val="222222"/>
          <w:sz w:val="20"/>
          <w:szCs w:val="20"/>
          <w:shd w:val="clear" w:color="auto" w:fill="FFFFFF"/>
        </w:rPr>
        <w:t>Spodoptera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litura</w:t>
      </w:r>
      <w:proofErr w:type="spellEnd"/>
      <w:r w:rsidRPr="00BF2A14">
        <w:rPr>
          <w:rFonts w:ascii="Arial" w:hAnsi="Arial" w:cs="Arial"/>
          <w:color w:val="222222"/>
          <w:sz w:val="20"/>
          <w:szCs w:val="20"/>
          <w:shd w:val="clear" w:color="auto" w:fill="FFFFFF"/>
        </w:rPr>
        <w:t>. Annals of Plant Protection Sciences, 12(1), 205-206.</w:t>
      </w:r>
    </w:p>
    <w:p w14:paraId="28F946CD"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Tikader</w:t>
      </w:r>
      <w:proofErr w:type="spellEnd"/>
      <w:r w:rsidRPr="00BF2A14">
        <w:rPr>
          <w:rFonts w:ascii="Arial" w:hAnsi="Arial" w:cs="Arial"/>
          <w:color w:val="222222"/>
          <w:sz w:val="20"/>
          <w:szCs w:val="20"/>
          <w:shd w:val="clear" w:color="auto" w:fill="FFFFFF"/>
        </w:rPr>
        <w:t xml:space="preserve">, A., Vijayan, K., &amp; </w:t>
      </w:r>
      <w:proofErr w:type="spellStart"/>
      <w:r w:rsidRPr="00BF2A14">
        <w:rPr>
          <w:rFonts w:ascii="Arial" w:hAnsi="Arial" w:cs="Arial"/>
          <w:color w:val="222222"/>
          <w:sz w:val="20"/>
          <w:szCs w:val="20"/>
          <w:shd w:val="clear" w:color="auto" w:fill="FFFFFF"/>
        </w:rPr>
        <w:t>Saratchandra</w:t>
      </w:r>
      <w:proofErr w:type="spellEnd"/>
      <w:r w:rsidRPr="00BF2A14">
        <w:rPr>
          <w:rFonts w:ascii="Arial" w:hAnsi="Arial" w:cs="Arial"/>
          <w:color w:val="222222"/>
          <w:sz w:val="20"/>
          <w:szCs w:val="20"/>
          <w:shd w:val="clear" w:color="auto" w:fill="FFFFFF"/>
        </w:rPr>
        <w:t xml:space="preserve">, B. (2013).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assamensis</w:t>
      </w:r>
      <w:proofErr w:type="spellEnd"/>
      <w:r w:rsidRPr="00BF2A14">
        <w:rPr>
          <w:rFonts w:ascii="Arial" w:hAnsi="Arial" w:cs="Arial"/>
          <w:i/>
          <w:color w:val="222222"/>
          <w:sz w:val="20"/>
          <w:szCs w:val="20"/>
          <w:shd w:val="clear" w:color="auto" w:fill="FFFFFF"/>
        </w:rPr>
        <w:t xml:space="preserve"> </w:t>
      </w:r>
      <w:r w:rsidRPr="00BF2A14">
        <w:rPr>
          <w:rFonts w:ascii="Arial" w:hAnsi="Arial" w:cs="Arial"/>
          <w:color w:val="222222"/>
          <w:sz w:val="20"/>
          <w:szCs w:val="20"/>
          <w:shd w:val="clear" w:color="auto" w:fill="FFFFFF"/>
        </w:rPr>
        <w:t xml:space="preserve">(Lepidoptera: </w:t>
      </w:r>
      <w:proofErr w:type="spellStart"/>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)-an overview of distribution, biology and breeding. </w:t>
      </w:r>
      <w:r w:rsidRPr="00BF2A14">
        <w:rPr>
          <w:rFonts w:ascii="Arial" w:hAnsi="Arial" w:cs="Arial"/>
          <w:iCs/>
          <w:color w:val="222222"/>
          <w:sz w:val="20"/>
          <w:szCs w:val="20"/>
          <w:shd w:val="clear" w:color="auto" w:fill="FFFFFF"/>
        </w:rPr>
        <w:t>European Journal of Entomology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110</w:t>
      </w:r>
      <w:r w:rsidRPr="00BF2A14">
        <w:rPr>
          <w:rFonts w:ascii="Arial" w:hAnsi="Arial" w:cs="Arial"/>
          <w:color w:val="222222"/>
          <w:sz w:val="20"/>
          <w:szCs w:val="20"/>
          <w:shd w:val="clear" w:color="auto" w:fill="FFFFFF"/>
        </w:rPr>
        <w:t xml:space="preserve">(2), 293-300. </w:t>
      </w:r>
      <w:hyperlink r:id="rId13" w:history="1">
        <w:r w:rsidRPr="00BF2A14">
          <w:rPr>
            <w:rStyle w:val="Hyperlink"/>
            <w:rFonts w:ascii="Arial" w:hAnsi="Arial" w:cs="Arial"/>
            <w:sz w:val="20"/>
            <w:szCs w:val="20"/>
            <w:shd w:val="clear" w:color="auto" w:fill="FFFFFF"/>
          </w:rPr>
          <w:t>http://dx.doi.org/10.14411/eje.2013.096</w:t>
        </w:r>
      </w:hyperlink>
    </w:p>
    <w:p w14:paraId="7E1DE9D4"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Krishnaswami, S., Sriharan, T. P., &amp; Asan, M. (1971). Ecological studies on silkworm rearing to prevent crop losses in adverse seasons in West Bengal. </w:t>
      </w:r>
      <w:r w:rsidRPr="00BF2A14">
        <w:rPr>
          <w:rFonts w:ascii="Arial" w:hAnsi="Arial" w:cs="Arial"/>
          <w:iCs/>
          <w:color w:val="222222"/>
          <w:sz w:val="20"/>
          <w:szCs w:val="20"/>
          <w:shd w:val="clear" w:color="auto" w:fill="FFFFFF"/>
        </w:rPr>
        <w:t>Indian Journal of Sericulture</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10</w:t>
      </w:r>
      <w:r w:rsidRPr="00BF2A14">
        <w:rPr>
          <w:rFonts w:ascii="Arial" w:hAnsi="Arial" w:cs="Arial"/>
          <w:color w:val="222222"/>
          <w:sz w:val="20"/>
          <w:szCs w:val="20"/>
          <w:shd w:val="clear" w:color="auto" w:fill="FFFFFF"/>
        </w:rPr>
        <w:t>, 72-78.</w:t>
      </w:r>
    </w:p>
    <w:p w14:paraId="5CA07588"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Goswami, D., &amp; Singh, H. I. (2012). Bioecological studies of Indian golden silk moth,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assamensis</w:t>
      </w:r>
      <w:proofErr w:type="spellEnd"/>
      <w:r w:rsidRPr="00BF2A14">
        <w:rPr>
          <w:rFonts w:ascii="Arial" w:hAnsi="Arial" w:cs="Arial"/>
          <w:color w:val="222222"/>
          <w:sz w:val="20"/>
          <w:szCs w:val="20"/>
          <w:shd w:val="clear" w:color="auto" w:fill="FFFFFF"/>
        </w:rPr>
        <w:t xml:space="preserve"> Helfer (Lepidoptera: </w:t>
      </w:r>
      <w:proofErr w:type="spellStart"/>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 </w:t>
      </w:r>
      <w:proofErr w:type="spellStart"/>
      <w:r w:rsidRPr="00BF2A14">
        <w:rPr>
          <w:rFonts w:ascii="Arial" w:hAnsi="Arial" w:cs="Arial"/>
          <w:iCs/>
          <w:color w:val="222222"/>
          <w:sz w:val="20"/>
          <w:szCs w:val="20"/>
          <w:shd w:val="clear" w:color="auto" w:fill="FFFFFF"/>
        </w:rPr>
        <w:t>Munis</w:t>
      </w:r>
      <w:proofErr w:type="spellEnd"/>
      <w:r w:rsidRPr="00BF2A14">
        <w:rPr>
          <w:rFonts w:ascii="Arial" w:hAnsi="Arial" w:cs="Arial"/>
          <w:iCs/>
          <w:color w:val="222222"/>
          <w:sz w:val="20"/>
          <w:szCs w:val="20"/>
          <w:shd w:val="clear" w:color="auto" w:fill="FFFFFF"/>
        </w:rPr>
        <w:t xml:space="preserve"> Entomology &amp; Zoology</w:t>
      </w:r>
      <w:r w:rsidRPr="00BF2A14">
        <w:rPr>
          <w:rFonts w:ascii="Arial" w:hAnsi="Arial" w:cs="Arial"/>
          <w:color w:val="222222"/>
          <w:sz w:val="20"/>
          <w:szCs w:val="20"/>
          <w:shd w:val="clear" w:color="auto" w:fill="FFFFFF"/>
        </w:rPr>
        <w:t>, </w:t>
      </w:r>
      <w:r w:rsidRPr="00BF2A14">
        <w:rPr>
          <w:rFonts w:ascii="Arial" w:hAnsi="Arial" w:cs="Arial"/>
          <w:i/>
          <w:iCs/>
          <w:color w:val="222222"/>
          <w:sz w:val="20"/>
          <w:szCs w:val="20"/>
          <w:shd w:val="clear" w:color="auto" w:fill="FFFFFF"/>
        </w:rPr>
        <w:t>7</w:t>
      </w:r>
      <w:r w:rsidRPr="00BF2A14">
        <w:rPr>
          <w:rFonts w:ascii="Arial" w:hAnsi="Arial" w:cs="Arial"/>
          <w:color w:val="222222"/>
          <w:sz w:val="20"/>
          <w:szCs w:val="20"/>
          <w:shd w:val="clear" w:color="auto" w:fill="FFFFFF"/>
        </w:rPr>
        <w:t>, 274-283.</w:t>
      </w:r>
    </w:p>
    <w:p w14:paraId="12C9C4A4"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Ghonmode</w:t>
      </w:r>
      <w:proofErr w:type="spellEnd"/>
      <w:r w:rsidRPr="00BF2A14">
        <w:rPr>
          <w:rFonts w:ascii="Arial" w:hAnsi="Arial" w:cs="Arial"/>
          <w:color w:val="222222"/>
          <w:sz w:val="20"/>
          <w:szCs w:val="20"/>
          <w:shd w:val="clear" w:color="auto" w:fill="FFFFFF"/>
        </w:rPr>
        <w:t xml:space="preserve">, S. V. (2024). Effect of photoperiod on the DNA, RNA and protein concentration in the </w:t>
      </w:r>
      <w:proofErr w:type="spellStart"/>
      <w:r w:rsidRPr="00BF2A14">
        <w:rPr>
          <w:rFonts w:ascii="Arial" w:hAnsi="Arial" w:cs="Arial"/>
          <w:color w:val="222222"/>
          <w:sz w:val="20"/>
          <w:szCs w:val="20"/>
          <w:shd w:val="clear" w:color="auto" w:fill="FFFFFF"/>
        </w:rPr>
        <w:t>silkgland</w:t>
      </w:r>
      <w:proofErr w:type="spellEnd"/>
      <w:r w:rsidRPr="00BF2A14">
        <w:rPr>
          <w:rFonts w:ascii="Arial" w:hAnsi="Arial" w:cs="Arial"/>
          <w:color w:val="222222"/>
          <w:sz w:val="20"/>
          <w:szCs w:val="20"/>
          <w:shd w:val="clear" w:color="auto" w:fill="FFFFFF"/>
        </w:rPr>
        <w:t xml:space="preserve"> of </w:t>
      </w:r>
      <w:proofErr w:type="spellStart"/>
      <w:r w:rsidRPr="00BF2A14">
        <w:rPr>
          <w:rFonts w:ascii="Arial" w:hAnsi="Arial" w:cs="Arial"/>
          <w:color w:val="222222"/>
          <w:sz w:val="20"/>
          <w:szCs w:val="20"/>
          <w:shd w:val="clear" w:color="auto" w:fill="FFFFFF"/>
        </w:rPr>
        <w:t>tasar</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mylitta</w:t>
      </w:r>
      <w:proofErr w:type="spellEnd"/>
      <w:r w:rsidRPr="00BF2A14">
        <w:rPr>
          <w:rFonts w:ascii="Arial" w:hAnsi="Arial" w:cs="Arial"/>
          <w:color w:val="222222"/>
          <w:sz w:val="20"/>
          <w:szCs w:val="20"/>
          <w:shd w:val="clear" w:color="auto" w:fill="FFFFFF"/>
        </w:rPr>
        <w:t xml:space="preserve"> (D</w:t>
      </w:r>
      <w:proofErr w:type="gramStart"/>
      <w:r w:rsidRPr="00BF2A14">
        <w:rPr>
          <w:rFonts w:ascii="Arial" w:hAnsi="Arial" w:cs="Arial"/>
          <w:color w:val="222222"/>
          <w:sz w:val="20"/>
          <w:szCs w:val="20"/>
          <w:shd w:val="clear" w:color="auto" w:fill="FFFFFF"/>
        </w:rPr>
        <w:t>)(</w:t>
      </w:r>
      <w:proofErr w:type="gramEnd"/>
      <w:r w:rsidRPr="00BF2A14">
        <w:rPr>
          <w:rFonts w:ascii="Arial" w:hAnsi="Arial" w:cs="Arial"/>
          <w:color w:val="222222"/>
          <w:sz w:val="20"/>
          <w:szCs w:val="20"/>
          <w:shd w:val="clear" w:color="auto" w:fill="FFFFFF"/>
        </w:rPr>
        <w:t xml:space="preserve">Lepidoptera, </w:t>
      </w:r>
      <w:proofErr w:type="spellStart"/>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 </w:t>
      </w:r>
      <w:proofErr w:type="spellStart"/>
      <w:r w:rsidRPr="00BF2A14">
        <w:rPr>
          <w:rFonts w:ascii="Arial" w:hAnsi="Arial" w:cs="Arial"/>
          <w:i/>
          <w:iCs/>
          <w:color w:val="222222"/>
          <w:sz w:val="20"/>
          <w:szCs w:val="20"/>
          <w:shd w:val="clear" w:color="auto" w:fill="FFFFFF"/>
        </w:rPr>
        <w:t>Entomon</w:t>
      </w:r>
      <w:proofErr w:type="spellEnd"/>
      <w:r w:rsidRPr="00BF2A14">
        <w:rPr>
          <w:rFonts w:ascii="Arial" w:hAnsi="Arial" w:cs="Arial"/>
          <w:color w:val="222222"/>
          <w:sz w:val="20"/>
          <w:szCs w:val="20"/>
          <w:shd w:val="clear" w:color="auto" w:fill="FFFFFF"/>
        </w:rPr>
        <w:t>, </w:t>
      </w:r>
      <w:r w:rsidRPr="00BF2A14">
        <w:rPr>
          <w:rFonts w:ascii="Arial" w:hAnsi="Arial" w:cs="Arial"/>
          <w:i/>
          <w:iCs/>
          <w:color w:val="222222"/>
          <w:sz w:val="20"/>
          <w:szCs w:val="20"/>
          <w:shd w:val="clear" w:color="auto" w:fill="FFFFFF"/>
        </w:rPr>
        <w:t>49</w:t>
      </w:r>
      <w:r w:rsidRPr="00BF2A14">
        <w:rPr>
          <w:rFonts w:ascii="Arial" w:hAnsi="Arial" w:cs="Arial"/>
          <w:color w:val="222222"/>
          <w:sz w:val="20"/>
          <w:szCs w:val="20"/>
          <w:shd w:val="clear" w:color="auto" w:fill="FFFFFF"/>
        </w:rPr>
        <w:t>(2), 229-234.</w:t>
      </w:r>
      <w:r w:rsidRPr="00BF2A14">
        <w:rPr>
          <w:rFonts w:ascii="Arial" w:hAnsi="Arial" w:cs="Arial"/>
          <w:sz w:val="20"/>
          <w:szCs w:val="20"/>
        </w:rPr>
        <w:t xml:space="preserve"> </w:t>
      </w:r>
      <w:hyperlink r:id="rId14" w:history="1">
        <w:r w:rsidRPr="00BF2A14">
          <w:rPr>
            <w:rStyle w:val="Hyperlink"/>
            <w:rFonts w:ascii="Arial" w:hAnsi="Arial" w:cs="Arial"/>
            <w:sz w:val="20"/>
            <w:szCs w:val="20"/>
            <w:shd w:val="clear" w:color="auto" w:fill="FFFFFF"/>
          </w:rPr>
          <w:t>https://doi.org/10.33307/entomon.v49i2.1174</w:t>
        </w:r>
      </w:hyperlink>
    </w:p>
    <w:p w14:paraId="61898013"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Barah, A., &amp; Sengupta, A. K. (1991). Correlation and regression studies between pupal weight and fecundity of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assama</w:t>
      </w:r>
      <w:proofErr w:type="spellEnd"/>
      <w:r w:rsidRPr="00BF2A14">
        <w:rPr>
          <w:rFonts w:ascii="Arial" w:hAnsi="Arial" w:cs="Arial"/>
          <w:color w:val="222222"/>
          <w:sz w:val="20"/>
          <w:szCs w:val="20"/>
          <w:shd w:val="clear" w:color="auto" w:fill="FFFFFF"/>
        </w:rPr>
        <w:t xml:space="preserve"> Westwood (Lepidoptera: </w:t>
      </w:r>
      <w:proofErr w:type="spellStart"/>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 on four different foodplants. </w:t>
      </w:r>
      <w:r w:rsidRPr="00BF2A14">
        <w:rPr>
          <w:rFonts w:ascii="Arial" w:hAnsi="Arial" w:cs="Arial"/>
          <w:iCs/>
          <w:color w:val="222222"/>
          <w:sz w:val="20"/>
          <w:szCs w:val="20"/>
          <w:shd w:val="clear" w:color="auto" w:fill="FFFFFF"/>
        </w:rPr>
        <w:t xml:space="preserve">Acta </w:t>
      </w:r>
      <w:proofErr w:type="spellStart"/>
      <w:r w:rsidRPr="00BF2A14">
        <w:rPr>
          <w:rFonts w:ascii="Arial" w:hAnsi="Arial" w:cs="Arial"/>
          <w:iCs/>
          <w:color w:val="222222"/>
          <w:sz w:val="20"/>
          <w:szCs w:val="20"/>
          <w:shd w:val="clear" w:color="auto" w:fill="FFFFFF"/>
        </w:rPr>
        <w:t>Physiologica</w:t>
      </w:r>
      <w:proofErr w:type="spellEnd"/>
      <w:r w:rsidRPr="00BF2A14">
        <w:rPr>
          <w:rFonts w:ascii="Arial" w:hAnsi="Arial" w:cs="Arial"/>
          <w:iCs/>
          <w:color w:val="222222"/>
          <w:sz w:val="20"/>
          <w:szCs w:val="20"/>
          <w:shd w:val="clear" w:color="auto" w:fill="FFFFFF"/>
        </w:rPr>
        <w:t xml:space="preserve"> </w:t>
      </w:r>
      <w:proofErr w:type="spellStart"/>
      <w:r w:rsidRPr="00BF2A14">
        <w:rPr>
          <w:rFonts w:ascii="Arial" w:hAnsi="Arial" w:cs="Arial"/>
          <w:iCs/>
          <w:color w:val="222222"/>
          <w:sz w:val="20"/>
          <w:szCs w:val="20"/>
          <w:shd w:val="clear" w:color="auto" w:fill="FFFFFF"/>
        </w:rPr>
        <w:t>Hungarica</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78</w:t>
      </w:r>
      <w:r w:rsidRPr="00BF2A14">
        <w:rPr>
          <w:rFonts w:ascii="Arial" w:hAnsi="Arial" w:cs="Arial"/>
          <w:color w:val="222222"/>
          <w:sz w:val="20"/>
          <w:szCs w:val="20"/>
          <w:shd w:val="clear" w:color="auto" w:fill="FFFFFF"/>
        </w:rPr>
        <w:t>(3), 261-264.</w:t>
      </w:r>
    </w:p>
    <w:p w14:paraId="73033117"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Biswas, D., Sahu, A. K., &amp; Kalita, J. C. (2018). A preliminary study on reproductive performance of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assamensis</w:t>
      </w:r>
      <w:proofErr w:type="spellEnd"/>
      <w:r w:rsidRPr="00BF2A14">
        <w:rPr>
          <w:rFonts w:ascii="Arial" w:hAnsi="Arial" w:cs="Arial"/>
          <w:color w:val="222222"/>
          <w:sz w:val="20"/>
          <w:szCs w:val="20"/>
          <w:shd w:val="clear" w:color="auto" w:fill="FFFFFF"/>
        </w:rPr>
        <w:t xml:space="preserve"> Helfer (Lepidoptera: </w:t>
      </w:r>
      <w:proofErr w:type="spellStart"/>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 with reference to elevated ambient temperature during Summer Season. </w:t>
      </w:r>
      <w:r w:rsidRPr="00BF2A14">
        <w:rPr>
          <w:rFonts w:ascii="Arial" w:hAnsi="Arial" w:cs="Arial"/>
          <w:iCs/>
          <w:color w:val="222222"/>
          <w:sz w:val="20"/>
          <w:szCs w:val="20"/>
          <w:shd w:val="clear" w:color="auto" w:fill="FFFFFF"/>
        </w:rPr>
        <w:t>North Bengal University Journal of Animal Science</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12</w:t>
      </w:r>
      <w:r w:rsidRPr="00BF2A14">
        <w:rPr>
          <w:rFonts w:ascii="Arial" w:hAnsi="Arial" w:cs="Arial"/>
          <w:color w:val="222222"/>
          <w:sz w:val="20"/>
          <w:szCs w:val="20"/>
          <w:shd w:val="clear" w:color="auto" w:fill="FFFFFF"/>
        </w:rPr>
        <w:t>, 19-26.</w:t>
      </w:r>
    </w:p>
    <w:p w14:paraId="5C7F378A" w14:textId="77777777" w:rsidR="00401A7D" w:rsidRPr="00BF2A14" w:rsidRDefault="00401A7D" w:rsidP="00BF2A14">
      <w:pPr>
        <w:pStyle w:val="ListParagraph"/>
        <w:numPr>
          <w:ilvl w:val="0"/>
          <w:numId w:val="2"/>
        </w:numPr>
        <w:ind w:left="284" w:hanging="284"/>
        <w:jc w:val="both"/>
        <w:rPr>
          <w:rFonts w:ascii="Arial" w:hAnsi="Arial" w:cs="Arial"/>
          <w:sz w:val="20"/>
          <w:szCs w:val="20"/>
        </w:rPr>
      </w:pPr>
      <w:r w:rsidRPr="00BF2A14">
        <w:rPr>
          <w:rFonts w:ascii="Arial" w:hAnsi="Arial" w:cs="Arial"/>
          <w:color w:val="222222"/>
          <w:sz w:val="20"/>
          <w:szCs w:val="20"/>
          <w:shd w:val="clear" w:color="auto" w:fill="FFFFFF"/>
        </w:rPr>
        <w:t xml:space="preserve">Thangavelu, K., Chakraborty, A. K., &amp; </w:t>
      </w:r>
      <w:proofErr w:type="spellStart"/>
      <w:r w:rsidRPr="00BF2A14">
        <w:rPr>
          <w:rFonts w:ascii="Arial" w:hAnsi="Arial" w:cs="Arial"/>
          <w:color w:val="222222"/>
          <w:sz w:val="20"/>
          <w:szCs w:val="20"/>
          <w:shd w:val="clear" w:color="auto" w:fill="FFFFFF"/>
        </w:rPr>
        <w:t>Bhagowati</w:t>
      </w:r>
      <w:proofErr w:type="spellEnd"/>
      <w:r w:rsidRPr="00BF2A14">
        <w:rPr>
          <w:rFonts w:ascii="Arial" w:hAnsi="Arial" w:cs="Arial"/>
          <w:color w:val="222222"/>
          <w:sz w:val="20"/>
          <w:szCs w:val="20"/>
          <w:shd w:val="clear" w:color="auto" w:fill="FFFFFF"/>
        </w:rPr>
        <w:t xml:space="preserve">, A. K. (1988). Handbook of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culture.</w:t>
      </w:r>
      <w:r w:rsidRPr="00BF2A14">
        <w:rPr>
          <w:rFonts w:ascii="Arial" w:hAnsi="Arial" w:cs="Arial"/>
          <w:sz w:val="20"/>
          <w:szCs w:val="20"/>
        </w:rPr>
        <w:t xml:space="preserve"> Central Silk Board, Bangalore. pp. 75-88</w:t>
      </w:r>
    </w:p>
    <w:p w14:paraId="17829076" w14:textId="77777777" w:rsidR="00401A7D" w:rsidRPr="00BF2A14" w:rsidRDefault="00401A7D" w:rsidP="00BF2A14">
      <w:pPr>
        <w:pStyle w:val="ListParagraph"/>
        <w:numPr>
          <w:ilvl w:val="0"/>
          <w:numId w:val="2"/>
        </w:numPr>
        <w:ind w:left="284" w:hanging="284"/>
        <w:jc w:val="both"/>
        <w:rPr>
          <w:rFonts w:ascii="Arial" w:hAnsi="Arial" w:cs="Arial"/>
          <w:sz w:val="20"/>
          <w:szCs w:val="20"/>
        </w:rPr>
      </w:pPr>
      <w:r w:rsidRPr="00BF2A14">
        <w:rPr>
          <w:rFonts w:ascii="Arial" w:hAnsi="Arial" w:cs="Arial"/>
          <w:sz w:val="20"/>
          <w:szCs w:val="20"/>
        </w:rPr>
        <w:t xml:space="preserve">Sahu A K, Sinha B </w:t>
      </w:r>
      <w:proofErr w:type="spellStart"/>
      <w:r w:rsidRPr="00BF2A14">
        <w:rPr>
          <w:rFonts w:ascii="Arial" w:hAnsi="Arial" w:cs="Arial"/>
          <w:sz w:val="20"/>
          <w:szCs w:val="20"/>
        </w:rPr>
        <w:t>B</w:t>
      </w:r>
      <w:proofErr w:type="spellEnd"/>
      <w:r w:rsidRPr="00BF2A14">
        <w:rPr>
          <w:rFonts w:ascii="Arial" w:hAnsi="Arial" w:cs="Arial"/>
          <w:sz w:val="20"/>
          <w:szCs w:val="20"/>
        </w:rPr>
        <w:t xml:space="preserve">, Kumar N. 1999. Studies on structure of reproductive apparatus of </w:t>
      </w:r>
      <w:proofErr w:type="spellStart"/>
      <w:r w:rsidRPr="00BF2A14">
        <w:rPr>
          <w:rFonts w:ascii="Arial" w:hAnsi="Arial" w:cs="Arial"/>
          <w:sz w:val="20"/>
          <w:szCs w:val="20"/>
        </w:rPr>
        <w:t>Antheraea</w:t>
      </w:r>
      <w:proofErr w:type="spellEnd"/>
      <w:r w:rsidRPr="00BF2A14">
        <w:rPr>
          <w:rFonts w:ascii="Arial" w:hAnsi="Arial" w:cs="Arial"/>
          <w:sz w:val="20"/>
          <w:szCs w:val="20"/>
        </w:rPr>
        <w:t xml:space="preserve"> </w:t>
      </w:r>
      <w:proofErr w:type="spellStart"/>
      <w:r w:rsidRPr="00BF2A14">
        <w:rPr>
          <w:rFonts w:ascii="Arial" w:hAnsi="Arial" w:cs="Arial"/>
          <w:sz w:val="20"/>
          <w:szCs w:val="20"/>
        </w:rPr>
        <w:t>assama</w:t>
      </w:r>
      <w:proofErr w:type="spellEnd"/>
      <w:r w:rsidRPr="00BF2A14">
        <w:rPr>
          <w:rFonts w:ascii="Arial" w:hAnsi="Arial" w:cs="Arial"/>
          <w:sz w:val="20"/>
          <w:szCs w:val="20"/>
        </w:rPr>
        <w:t>. Annual Report, Regional Muga Research Station, Boko. pp. 25-26.</w:t>
      </w:r>
    </w:p>
    <w:p w14:paraId="06ECC4DB"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Biswas, D., Hazarika, A. K., Sahu, A. K., &amp; Das, D. (2024). Reproductive biology of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 moth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assamensis</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helfer</w:t>
      </w:r>
      <w:proofErr w:type="spellEnd"/>
      <w:r w:rsidRPr="00BF2A14">
        <w:rPr>
          <w:rFonts w:ascii="Arial" w:hAnsi="Arial" w:cs="Arial"/>
          <w:color w:val="222222"/>
          <w:sz w:val="20"/>
          <w:szCs w:val="20"/>
          <w:shd w:val="clear" w:color="auto" w:fill="FFFFFF"/>
        </w:rPr>
        <w:t xml:space="preserve">. Indian Journal of Entomology, 86(4), 1245-1251. </w:t>
      </w:r>
      <w:hyperlink r:id="rId15" w:history="1">
        <w:r w:rsidRPr="00BF2A14">
          <w:rPr>
            <w:rStyle w:val="Hyperlink"/>
            <w:rFonts w:ascii="Arial" w:hAnsi="Arial" w:cs="Arial"/>
            <w:sz w:val="20"/>
            <w:szCs w:val="20"/>
            <w:shd w:val="clear" w:color="auto" w:fill="FFFFFF"/>
          </w:rPr>
          <w:t>http://dx.doi.org/10.55446/IJE.2023.1510</w:t>
        </w:r>
      </w:hyperlink>
    </w:p>
    <w:p w14:paraId="4448ABB2"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ÔMURA, S. (1936). STUDIES ON THE REPRODUCTIVE SYSTEM OF THE MALE OF </w:t>
      </w:r>
      <w:r w:rsidRPr="00BF2A14">
        <w:rPr>
          <w:rFonts w:ascii="Arial" w:hAnsi="Arial" w:cs="Arial"/>
          <w:i/>
          <w:color w:val="222222"/>
          <w:sz w:val="20"/>
          <w:szCs w:val="20"/>
          <w:shd w:val="clear" w:color="auto" w:fill="FFFFFF"/>
        </w:rPr>
        <w:t>BOMBYX MORI</w:t>
      </w:r>
      <w:r w:rsidRPr="00BF2A14">
        <w:rPr>
          <w:rFonts w:ascii="Arial" w:hAnsi="Arial" w:cs="Arial"/>
          <w:color w:val="222222"/>
          <w:sz w:val="20"/>
          <w:szCs w:val="20"/>
          <w:shd w:val="clear" w:color="auto" w:fill="FFFFFF"/>
        </w:rPr>
        <w:t xml:space="preserve">: </w:t>
      </w:r>
      <w:r w:rsidRPr="00BF2A14">
        <w:rPr>
          <w:rFonts w:ascii="Times New Roman" w:eastAsia="MS Gothic" w:hAnsi="Times New Roman" w:cs="Arial"/>
          <w:color w:val="222222"/>
          <w:sz w:val="20"/>
          <w:szCs w:val="20"/>
          <w:shd w:val="clear" w:color="auto" w:fill="FFFFFF"/>
        </w:rPr>
        <w:t>Ⅰ</w:t>
      </w:r>
      <w:r w:rsidRPr="00BF2A14">
        <w:rPr>
          <w:rFonts w:ascii="Arial" w:hAnsi="Arial" w:cs="Arial"/>
          <w:color w:val="222222"/>
          <w:sz w:val="20"/>
          <w:szCs w:val="20"/>
          <w:shd w:val="clear" w:color="auto" w:fill="FFFFFF"/>
        </w:rPr>
        <w:t>. STRUCTURE OF THE TESTIS AND THE INTRATESTICULAR BEHAVIOUR OF THE SPERMATOZOA. </w:t>
      </w:r>
      <w:r w:rsidRPr="00BF2A14">
        <w:rPr>
          <w:rFonts w:ascii="Arial" w:hAnsi="Arial" w:cs="Arial"/>
          <w:iCs/>
          <w:color w:val="222222"/>
          <w:sz w:val="20"/>
          <w:szCs w:val="20"/>
          <w:shd w:val="clear" w:color="auto" w:fill="FFFFFF"/>
        </w:rPr>
        <w:t>Journal of the Faculty of Agriculture, Hokkaido Imperial University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38</w:t>
      </w:r>
      <w:r w:rsidRPr="00BF2A14">
        <w:rPr>
          <w:rFonts w:ascii="Arial" w:hAnsi="Arial" w:cs="Arial"/>
          <w:color w:val="222222"/>
          <w:sz w:val="20"/>
          <w:szCs w:val="20"/>
          <w:shd w:val="clear" w:color="auto" w:fill="FFFFFF"/>
        </w:rPr>
        <w:t>(2), 151-181.</w:t>
      </w:r>
    </w:p>
    <w:p w14:paraId="32EFB6F6"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Ómura</w:t>
      </w:r>
      <w:proofErr w:type="spellEnd"/>
      <w:r w:rsidRPr="00BF2A14">
        <w:rPr>
          <w:rFonts w:ascii="Arial" w:hAnsi="Arial" w:cs="Arial"/>
          <w:color w:val="222222"/>
          <w:sz w:val="20"/>
          <w:szCs w:val="20"/>
          <w:shd w:val="clear" w:color="auto" w:fill="FFFFFF"/>
        </w:rPr>
        <w:t xml:space="preserve">, S. (1938a). Structure and function of the female genital system of </w:t>
      </w:r>
      <w:r w:rsidRPr="00BF2A14">
        <w:rPr>
          <w:rFonts w:ascii="Arial" w:hAnsi="Arial" w:cs="Arial"/>
          <w:i/>
          <w:color w:val="222222"/>
          <w:sz w:val="20"/>
          <w:szCs w:val="20"/>
          <w:shd w:val="clear" w:color="auto" w:fill="FFFFFF"/>
        </w:rPr>
        <w:t>Bombyx mori</w:t>
      </w:r>
      <w:r w:rsidRPr="00BF2A14">
        <w:rPr>
          <w:rFonts w:ascii="Arial" w:hAnsi="Arial" w:cs="Arial"/>
          <w:color w:val="222222"/>
          <w:sz w:val="20"/>
          <w:szCs w:val="20"/>
          <w:shd w:val="clear" w:color="auto" w:fill="FFFFFF"/>
        </w:rPr>
        <w:t xml:space="preserve"> with special reference to the mechanism of fertilization. </w:t>
      </w:r>
      <w:r w:rsidRPr="00BF2A14">
        <w:rPr>
          <w:rFonts w:ascii="Arial" w:hAnsi="Arial" w:cs="Arial"/>
          <w:iCs/>
          <w:color w:val="222222"/>
          <w:sz w:val="20"/>
          <w:szCs w:val="20"/>
          <w:shd w:val="clear" w:color="auto" w:fill="FFFFFF"/>
        </w:rPr>
        <w:t>Journal of the Faculty of Agriculture, Hokkaido Imperial University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40</w:t>
      </w:r>
      <w:r w:rsidRPr="00BF2A14">
        <w:rPr>
          <w:rFonts w:ascii="Arial" w:hAnsi="Arial" w:cs="Arial"/>
          <w:color w:val="222222"/>
          <w:sz w:val="20"/>
          <w:szCs w:val="20"/>
          <w:shd w:val="clear" w:color="auto" w:fill="FFFFFF"/>
        </w:rPr>
        <w:t>(3), 111-128.</w:t>
      </w:r>
    </w:p>
    <w:p w14:paraId="314AD967"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ÔMURA, S. (1938b). STUDIES ON THE REPRODUCTIVE SYSTEM OF THE MALE OF </w:t>
      </w:r>
      <w:r w:rsidRPr="00BF2A14">
        <w:rPr>
          <w:rFonts w:ascii="Arial" w:hAnsi="Arial" w:cs="Arial"/>
          <w:i/>
          <w:color w:val="222222"/>
          <w:sz w:val="20"/>
          <w:szCs w:val="20"/>
          <w:shd w:val="clear" w:color="auto" w:fill="FFFFFF"/>
        </w:rPr>
        <w:t>BOMBYX MORI</w:t>
      </w:r>
      <w:r w:rsidRPr="00BF2A14">
        <w:rPr>
          <w:rFonts w:ascii="Arial" w:hAnsi="Arial" w:cs="Arial"/>
          <w:color w:val="222222"/>
          <w:sz w:val="20"/>
          <w:szCs w:val="20"/>
          <w:shd w:val="clear" w:color="auto" w:fill="FFFFFF"/>
        </w:rPr>
        <w:t xml:space="preserve"> </w:t>
      </w:r>
      <w:r w:rsidRPr="00BF2A14">
        <w:rPr>
          <w:rFonts w:ascii="Times New Roman" w:eastAsia="MS Gothic" w:hAnsi="Times New Roman" w:cs="Arial"/>
          <w:color w:val="222222"/>
          <w:sz w:val="20"/>
          <w:szCs w:val="20"/>
          <w:shd w:val="clear" w:color="auto" w:fill="FFFFFF"/>
        </w:rPr>
        <w:t>Ⅱ</w:t>
      </w:r>
      <w:r w:rsidRPr="00BF2A14">
        <w:rPr>
          <w:rFonts w:ascii="Arial" w:hAnsi="Arial" w:cs="Arial"/>
          <w:color w:val="222222"/>
          <w:sz w:val="20"/>
          <w:szCs w:val="20"/>
          <w:shd w:val="clear" w:color="auto" w:fill="FFFFFF"/>
        </w:rPr>
        <w:t xml:space="preserve">. Post-Testicular Organs and Post-Testicular </w:t>
      </w:r>
      <w:proofErr w:type="spellStart"/>
      <w:r w:rsidRPr="00BF2A14">
        <w:rPr>
          <w:rFonts w:ascii="Arial" w:hAnsi="Arial" w:cs="Arial"/>
          <w:color w:val="222222"/>
          <w:sz w:val="20"/>
          <w:szCs w:val="20"/>
          <w:shd w:val="clear" w:color="auto" w:fill="FFFFFF"/>
        </w:rPr>
        <w:t>Behaviour</w:t>
      </w:r>
      <w:proofErr w:type="spellEnd"/>
      <w:r w:rsidRPr="00BF2A14">
        <w:rPr>
          <w:rFonts w:ascii="Arial" w:hAnsi="Arial" w:cs="Arial"/>
          <w:color w:val="222222"/>
          <w:sz w:val="20"/>
          <w:szCs w:val="20"/>
          <w:shd w:val="clear" w:color="auto" w:fill="FFFFFF"/>
        </w:rPr>
        <w:t xml:space="preserve"> of the Spermatozoa. </w:t>
      </w:r>
      <w:r w:rsidRPr="00BF2A14">
        <w:rPr>
          <w:rFonts w:ascii="Arial" w:hAnsi="Arial" w:cs="Arial"/>
          <w:iCs/>
          <w:color w:val="222222"/>
          <w:sz w:val="20"/>
          <w:szCs w:val="20"/>
          <w:shd w:val="clear" w:color="auto" w:fill="FFFFFF"/>
        </w:rPr>
        <w:t>Journal of the Faculty of Agriculture, Hokkaido Imperial University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40</w:t>
      </w:r>
      <w:r w:rsidRPr="00BF2A14">
        <w:rPr>
          <w:rFonts w:ascii="Arial" w:hAnsi="Arial" w:cs="Arial"/>
          <w:color w:val="222222"/>
          <w:sz w:val="20"/>
          <w:szCs w:val="20"/>
          <w:shd w:val="clear" w:color="auto" w:fill="FFFFFF"/>
        </w:rPr>
        <w:t>(3), 129-170.</w:t>
      </w:r>
    </w:p>
    <w:p w14:paraId="1F831CB0"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Dubey, O. P., </w:t>
      </w:r>
      <w:proofErr w:type="spellStart"/>
      <w:r w:rsidRPr="00BF2A14">
        <w:rPr>
          <w:rFonts w:ascii="Arial" w:hAnsi="Arial" w:cs="Arial"/>
          <w:color w:val="222222"/>
          <w:sz w:val="20"/>
          <w:szCs w:val="20"/>
          <w:shd w:val="clear" w:color="auto" w:fill="FFFFFF"/>
        </w:rPr>
        <w:t>Bajpeyi</w:t>
      </w:r>
      <w:proofErr w:type="spellEnd"/>
      <w:r w:rsidRPr="00BF2A14">
        <w:rPr>
          <w:rFonts w:ascii="Arial" w:hAnsi="Arial" w:cs="Arial"/>
          <w:color w:val="222222"/>
          <w:sz w:val="20"/>
          <w:szCs w:val="20"/>
          <w:shd w:val="clear" w:color="auto" w:fill="FFFFFF"/>
        </w:rPr>
        <w:t xml:space="preserve">, C. M., Kumar, N., &amp; Thangavelu, K. (1992). Morphology of female reproductive system in </w:t>
      </w:r>
      <w:proofErr w:type="spellStart"/>
      <w:r w:rsidRPr="00BF2A14">
        <w:rPr>
          <w:rFonts w:ascii="Arial" w:hAnsi="Arial" w:cs="Arial"/>
          <w:color w:val="222222"/>
          <w:sz w:val="20"/>
          <w:szCs w:val="20"/>
          <w:shd w:val="clear" w:color="auto" w:fill="FFFFFF"/>
        </w:rPr>
        <w:t>tasar</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mylitta</w:t>
      </w:r>
      <w:proofErr w:type="spellEnd"/>
      <w:r w:rsidRPr="00BF2A14">
        <w:rPr>
          <w:rFonts w:ascii="Arial" w:hAnsi="Arial" w:cs="Arial"/>
          <w:color w:val="222222"/>
          <w:sz w:val="20"/>
          <w:szCs w:val="20"/>
          <w:shd w:val="clear" w:color="auto" w:fill="FFFFFF"/>
        </w:rPr>
        <w:t xml:space="preserve"> </w:t>
      </w:r>
      <w:proofErr w:type="gramStart"/>
      <w:r w:rsidRPr="00BF2A14">
        <w:rPr>
          <w:rFonts w:ascii="Arial" w:hAnsi="Arial" w:cs="Arial"/>
          <w:color w:val="222222"/>
          <w:sz w:val="20"/>
          <w:szCs w:val="20"/>
          <w:shd w:val="clear" w:color="auto" w:fill="FFFFFF"/>
        </w:rPr>
        <w:t>D.(</w:t>
      </w:r>
      <w:proofErr w:type="gramEnd"/>
      <w:r w:rsidRPr="00BF2A14">
        <w:rPr>
          <w:rFonts w:ascii="Arial" w:hAnsi="Arial" w:cs="Arial"/>
          <w:color w:val="222222"/>
          <w:sz w:val="20"/>
          <w:szCs w:val="20"/>
          <w:shd w:val="clear" w:color="auto" w:fill="FFFFFF"/>
        </w:rPr>
        <w:t xml:space="preserve">Lepidoptera: </w:t>
      </w:r>
      <w:proofErr w:type="spellStart"/>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 Indian journal of Sericulture, 31(2), 101-106.</w:t>
      </w:r>
    </w:p>
    <w:p w14:paraId="03F03E5E"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lastRenderedPageBreak/>
        <w:t>Katsuno</w:t>
      </w:r>
      <w:proofErr w:type="spellEnd"/>
      <w:r w:rsidRPr="00BF2A14">
        <w:rPr>
          <w:rFonts w:ascii="Arial" w:hAnsi="Arial" w:cs="Arial"/>
          <w:color w:val="222222"/>
          <w:sz w:val="20"/>
          <w:szCs w:val="20"/>
          <w:shd w:val="clear" w:color="auto" w:fill="FFFFFF"/>
        </w:rPr>
        <w:t xml:space="preserve">, S. (1978). Studies on </w:t>
      </w:r>
      <w:proofErr w:type="spellStart"/>
      <w:r w:rsidRPr="00BF2A14">
        <w:rPr>
          <w:rFonts w:ascii="Arial" w:hAnsi="Arial" w:cs="Arial"/>
          <w:color w:val="222222"/>
          <w:sz w:val="20"/>
          <w:szCs w:val="20"/>
          <w:shd w:val="clear" w:color="auto" w:fill="FFFFFF"/>
        </w:rPr>
        <w:t>Eupyrene</w:t>
      </w:r>
      <w:proofErr w:type="spellEnd"/>
      <w:r w:rsidRPr="00BF2A14">
        <w:rPr>
          <w:rFonts w:ascii="Arial" w:hAnsi="Arial" w:cs="Arial"/>
          <w:color w:val="222222"/>
          <w:sz w:val="20"/>
          <w:szCs w:val="20"/>
          <w:shd w:val="clear" w:color="auto" w:fill="FFFFFF"/>
        </w:rPr>
        <w:t xml:space="preserve"> and </w:t>
      </w:r>
      <w:proofErr w:type="spellStart"/>
      <w:r w:rsidRPr="00BF2A14">
        <w:rPr>
          <w:rFonts w:ascii="Arial" w:hAnsi="Arial" w:cs="Arial"/>
          <w:color w:val="222222"/>
          <w:sz w:val="20"/>
          <w:szCs w:val="20"/>
          <w:shd w:val="clear" w:color="auto" w:fill="FFFFFF"/>
        </w:rPr>
        <w:t>Apyrene</w:t>
      </w:r>
      <w:proofErr w:type="spellEnd"/>
      <w:r w:rsidRPr="00BF2A14">
        <w:rPr>
          <w:rFonts w:ascii="Arial" w:hAnsi="Arial" w:cs="Arial"/>
          <w:color w:val="222222"/>
          <w:sz w:val="20"/>
          <w:szCs w:val="20"/>
          <w:shd w:val="clear" w:color="auto" w:fill="FFFFFF"/>
        </w:rPr>
        <w:t xml:space="preserve"> Spermatozoa in the Silkworm, </w:t>
      </w:r>
      <w:r w:rsidRPr="00BF2A14">
        <w:rPr>
          <w:rFonts w:ascii="Arial" w:hAnsi="Arial" w:cs="Arial"/>
          <w:i/>
          <w:color w:val="222222"/>
          <w:sz w:val="20"/>
          <w:szCs w:val="20"/>
          <w:shd w:val="clear" w:color="auto" w:fill="FFFFFF"/>
        </w:rPr>
        <w:t>Bombyx mori</w:t>
      </w:r>
      <w:r w:rsidRPr="00BF2A14">
        <w:rPr>
          <w:rFonts w:ascii="Arial" w:hAnsi="Arial" w:cs="Arial"/>
          <w:color w:val="222222"/>
          <w:sz w:val="20"/>
          <w:szCs w:val="20"/>
          <w:shd w:val="clear" w:color="auto" w:fill="FFFFFF"/>
        </w:rPr>
        <w:t xml:space="preserve"> </w:t>
      </w:r>
      <w:proofErr w:type="gramStart"/>
      <w:r w:rsidRPr="00BF2A14">
        <w:rPr>
          <w:rFonts w:ascii="Arial" w:hAnsi="Arial" w:cs="Arial"/>
          <w:color w:val="222222"/>
          <w:sz w:val="20"/>
          <w:szCs w:val="20"/>
          <w:shd w:val="clear" w:color="auto" w:fill="FFFFFF"/>
        </w:rPr>
        <w:t>L.(</w:t>
      </w:r>
      <w:proofErr w:type="gramEnd"/>
      <w:r w:rsidRPr="00BF2A14">
        <w:rPr>
          <w:rFonts w:ascii="Arial" w:hAnsi="Arial" w:cs="Arial"/>
          <w:color w:val="222222"/>
          <w:sz w:val="20"/>
          <w:szCs w:val="20"/>
          <w:shd w:val="clear" w:color="auto" w:fill="FFFFFF"/>
        </w:rPr>
        <w:t>Lepidoptera: Bombycidae): VII. The Motility of Sperm Bundles and Spermatozoa in the Reproductive Organs of Males and Females. </w:t>
      </w:r>
      <w:r w:rsidRPr="00BF2A14">
        <w:rPr>
          <w:rFonts w:ascii="Arial" w:hAnsi="Arial" w:cs="Arial"/>
          <w:iCs/>
          <w:color w:val="222222"/>
          <w:sz w:val="20"/>
          <w:szCs w:val="20"/>
          <w:shd w:val="clear" w:color="auto" w:fill="FFFFFF"/>
        </w:rPr>
        <w:t>Applied Entomology and Zoology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13</w:t>
      </w:r>
      <w:r w:rsidRPr="00BF2A14">
        <w:rPr>
          <w:rFonts w:ascii="Arial" w:hAnsi="Arial" w:cs="Arial"/>
          <w:color w:val="222222"/>
          <w:sz w:val="20"/>
          <w:szCs w:val="20"/>
          <w:shd w:val="clear" w:color="auto" w:fill="FFFFFF"/>
        </w:rPr>
        <w:t xml:space="preserve">(2), 91-96. </w:t>
      </w:r>
      <w:hyperlink r:id="rId16" w:history="1">
        <w:r w:rsidRPr="00BF2A14">
          <w:rPr>
            <w:rStyle w:val="Hyperlink"/>
            <w:rFonts w:ascii="Arial" w:hAnsi="Arial" w:cs="Arial"/>
            <w:sz w:val="20"/>
            <w:szCs w:val="20"/>
            <w:shd w:val="clear" w:color="auto" w:fill="FFFFFF"/>
          </w:rPr>
          <w:t>https://doi.org/10.1303/aez.13.91</w:t>
        </w:r>
      </w:hyperlink>
    </w:p>
    <w:p w14:paraId="329558FE"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Etman, A. A., &amp; Hooper, G. H. S. (1980). Developmental and reproductive biology of </w:t>
      </w:r>
      <w:proofErr w:type="spellStart"/>
      <w:r w:rsidRPr="00BF2A14">
        <w:rPr>
          <w:rFonts w:ascii="Arial" w:hAnsi="Arial" w:cs="Arial"/>
          <w:i/>
          <w:color w:val="222222"/>
          <w:sz w:val="20"/>
          <w:szCs w:val="20"/>
          <w:shd w:val="clear" w:color="auto" w:fill="FFFFFF"/>
        </w:rPr>
        <w:t>Spodoptera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litura</w:t>
      </w:r>
      <w:proofErr w:type="spellEnd"/>
      <w:r w:rsidRPr="00BF2A14">
        <w:rPr>
          <w:rFonts w:ascii="Arial" w:hAnsi="Arial" w:cs="Arial"/>
          <w:color w:val="222222"/>
          <w:sz w:val="20"/>
          <w:szCs w:val="20"/>
          <w:shd w:val="clear" w:color="auto" w:fill="FFFFFF"/>
        </w:rPr>
        <w:t xml:space="preserve"> (</w:t>
      </w:r>
      <w:proofErr w:type="gramStart"/>
      <w:r w:rsidRPr="00BF2A14">
        <w:rPr>
          <w:rFonts w:ascii="Arial" w:hAnsi="Arial" w:cs="Arial"/>
          <w:color w:val="222222"/>
          <w:sz w:val="20"/>
          <w:szCs w:val="20"/>
          <w:shd w:val="clear" w:color="auto" w:fill="FFFFFF"/>
        </w:rPr>
        <w:t>F.)(</w:t>
      </w:r>
      <w:proofErr w:type="gramEnd"/>
      <w:r w:rsidRPr="00BF2A14">
        <w:rPr>
          <w:rFonts w:ascii="Arial" w:hAnsi="Arial" w:cs="Arial"/>
          <w:color w:val="222222"/>
          <w:sz w:val="20"/>
          <w:szCs w:val="20"/>
          <w:shd w:val="clear" w:color="auto" w:fill="FFFFFF"/>
        </w:rPr>
        <w:t xml:space="preserve">Lepidoptera: </w:t>
      </w:r>
      <w:proofErr w:type="spellStart"/>
      <w:r w:rsidRPr="00BF2A14">
        <w:rPr>
          <w:rFonts w:ascii="Arial" w:hAnsi="Arial" w:cs="Arial"/>
          <w:color w:val="222222"/>
          <w:sz w:val="20"/>
          <w:szCs w:val="20"/>
          <w:shd w:val="clear" w:color="auto" w:fill="FFFFFF"/>
        </w:rPr>
        <w:t>Noctuidae</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Australian Journal of Entomology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18</w:t>
      </w:r>
      <w:r w:rsidRPr="00BF2A14">
        <w:rPr>
          <w:rFonts w:ascii="Arial" w:hAnsi="Arial" w:cs="Arial"/>
          <w:color w:val="222222"/>
          <w:sz w:val="20"/>
          <w:szCs w:val="20"/>
          <w:shd w:val="clear" w:color="auto" w:fill="FFFFFF"/>
        </w:rPr>
        <w:t>(4), 363-372.</w:t>
      </w:r>
      <w:r w:rsidRPr="00BF2A14">
        <w:rPr>
          <w:rFonts w:ascii="Arial" w:hAnsi="Arial" w:cs="Arial"/>
          <w:sz w:val="20"/>
          <w:szCs w:val="20"/>
        </w:rPr>
        <w:t xml:space="preserve"> </w:t>
      </w:r>
      <w:hyperlink r:id="rId17" w:history="1">
        <w:r w:rsidRPr="00BF2A14">
          <w:rPr>
            <w:rStyle w:val="Hyperlink"/>
            <w:rFonts w:ascii="Arial" w:hAnsi="Arial" w:cs="Arial"/>
            <w:sz w:val="20"/>
            <w:szCs w:val="20"/>
            <w:shd w:val="clear" w:color="auto" w:fill="FFFFFF"/>
          </w:rPr>
          <w:t>https://doi.org/10.1111/j.1440-6055.1979.tb00868.x</w:t>
        </w:r>
      </w:hyperlink>
    </w:p>
    <w:p w14:paraId="2683CEA2"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Silberglied</w:t>
      </w:r>
      <w:proofErr w:type="spellEnd"/>
      <w:r w:rsidRPr="00BF2A14">
        <w:rPr>
          <w:rFonts w:ascii="Arial" w:hAnsi="Arial" w:cs="Arial"/>
          <w:color w:val="222222"/>
          <w:sz w:val="20"/>
          <w:szCs w:val="20"/>
          <w:shd w:val="clear" w:color="auto" w:fill="FFFFFF"/>
        </w:rPr>
        <w:t xml:space="preserve">, R. E., Shepherd, J. G., &amp; Dickinson, J. L. (1984). Eunuchs: the role of </w:t>
      </w:r>
      <w:proofErr w:type="spellStart"/>
      <w:r w:rsidRPr="00BF2A14">
        <w:rPr>
          <w:rFonts w:ascii="Arial" w:hAnsi="Arial" w:cs="Arial"/>
          <w:color w:val="222222"/>
          <w:sz w:val="20"/>
          <w:szCs w:val="20"/>
          <w:shd w:val="clear" w:color="auto" w:fill="FFFFFF"/>
        </w:rPr>
        <w:t>apyrene</w:t>
      </w:r>
      <w:proofErr w:type="spellEnd"/>
      <w:r w:rsidRPr="00BF2A14">
        <w:rPr>
          <w:rFonts w:ascii="Arial" w:hAnsi="Arial" w:cs="Arial"/>
          <w:color w:val="222222"/>
          <w:sz w:val="20"/>
          <w:szCs w:val="20"/>
          <w:shd w:val="clear" w:color="auto" w:fill="FFFFFF"/>
        </w:rPr>
        <w:t xml:space="preserve"> sperm in </w:t>
      </w:r>
      <w:proofErr w:type="gramStart"/>
      <w:r w:rsidRPr="00BF2A14">
        <w:rPr>
          <w:rFonts w:ascii="Arial" w:hAnsi="Arial" w:cs="Arial"/>
          <w:color w:val="222222"/>
          <w:sz w:val="20"/>
          <w:szCs w:val="20"/>
          <w:shd w:val="clear" w:color="auto" w:fill="FFFFFF"/>
        </w:rPr>
        <w:t>Lepidoptera?.</w:t>
      </w:r>
      <w:proofErr w:type="gram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The American Naturalist</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123</w:t>
      </w:r>
      <w:r w:rsidRPr="00BF2A14">
        <w:rPr>
          <w:rFonts w:ascii="Arial" w:hAnsi="Arial" w:cs="Arial"/>
          <w:color w:val="222222"/>
          <w:sz w:val="20"/>
          <w:szCs w:val="20"/>
          <w:shd w:val="clear" w:color="auto" w:fill="FFFFFF"/>
        </w:rPr>
        <w:t xml:space="preserve">(2), 255-265. </w:t>
      </w:r>
    </w:p>
    <w:p w14:paraId="299AE5D5"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Saheb, N. M., Singh, T., &amp; </w:t>
      </w:r>
      <w:proofErr w:type="spellStart"/>
      <w:r w:rsidRPr="00BF2A14">
        <w:rPr>
          <w:rFonts w:ascii="Arial" w:hAnsi="Arial" w:cs="Arial"/>
          <w:color w:val="222222"/>
          <w:sz w:val="20"/>
          <w:szCs w:val="20"/>
          <w:shd w:val="clear" w:color="auto" w:fill="FFFFFF"/>
        </w:rPr>
        <w:t>Saratchandra</w:t>
      </w:r>
      <w:proofErr w:type="spellEnd"/>
      <w:r w:rsidRPr="00BF2A14">
        <w:rPr>
          <w:rFonts w:ascii="Arial" w:hAnsi="Arial" w:cs="Arial"/>
          <w:color w:val="222222"/>
          <w:sz w:val="20"/>
          <w:szCs w:val="20"/>
          <w:shd w:val="clear" w:color="auto" w:fill="FFFFFF"/>
        </w:rPr>
        <w:t xml:space="preserve">, B. (2009). Occurrence of unfertilized eggs in the mulberry silkworm, </w:t>
      </w:r>
      <w:r w:rsidRPr="00BF2A14">
        <w:rPr>
          <w:rFonts w:ascii="Arial" w:hAnsi="Arial" w:cs="Arial"/>
          <w:i/>
          <w:color w:val="222222"/>
          <w:sz w:val="20"/>
          <w:szCs w:val="20"/>
          <w:shd w:val="clear" w:color="auto" w:fill="FFFFFF"/>
        </w:rPr>
        <w:t>Bombyx mori</w:t>
      </w:r>
      <w:r w:rsidRPr="00BF2A14">
        <w:rPr>
          <w:rFonts w:ascii="Arial" w:hAnsi="Arial" w:cs="Arial"/>
          <w:color w:val="222222"/>
          <w:sz w:val="20"/>
          <w:szCs w:val="20"/>
          <w:shd w:val="clear" w:color="auto" w:fill="FFFFFF"/>
        </w:rPr>
        <w:t xml:space="preserve"> (</w:t>
      </w:r>
      <w:proofErr w:type="gramStart"/>
      <w:r w:rsidRPr="00BF2A14">
        <w:rPr>
          <w:rFonts w:ascii="Arial" w:hAnsi="Arial" w:cs="Arial"/>
          <w:color w:val="222222"/>
          <w:sz w:val="20"/>
          <w:szCs w:val="20"/>
          <w:shd w:val="clear" w:color="auto" w:fill="FFFFFF"/>
        </w:rPr>
        <w:t>L.)(</w:t>
      </w:r>
      <w:proofErr w:type="gramEnd"/>
      <w:r w:rsidRPr="00BF2A14">
        <w:rPr>
          <w:rFonts w:ascii="Arial" w:hAnsi="Arial" w:cs="Arial"/>
          <w:color w:val="222222"/>
          <w:sz w:val="20"/>
          <w:szCs w:val="20"/>
          <w:shd w:val="clear" w:color="auto" w:fill="FFFFFF"/>
        </w:rPr>
        <w:t xml:space="preserve">Lepidoptera: </w:t>
      </w:r>
      <w:proofErr w:type="spellStart"/>
      <w:r w:rsidRPr="00BF2A14">
        <w:rPr>
          <w:rFonts w:ascii="Arial" w:hAnsi="Arial" w:cs="Arial"/>
          <w:color w:val="222222"/>
          <w:sz w:val="20"/>
          <w:szCs w:val="20"/>
          <w:shd w:val="clear" w:color="auto" w:fill="FFFFFF"/>
        </w:rPr>
        <w:t>bombycidae</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International Journal of Industrial Entomology and Biomaterials</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18</w:t>
      </w:r>
      <w:r w:rsidRPr="00BF2A14">
        <w:rPr>
          <w:rFonts w:ascii="Arial" w:hAnsi="Arial" w:cs="Arial"/>
          <w:color w:val="222222"/>
          <w:sz w:val="20"/>
          <w:szCs w:val="20"/>
          <w:shd w:val="clear" w:color="auto" w:fill="FFFFFF"/>
        </w:rPr>
        <w:t>(1), 1-7.</w:t>
      </w:r>
    </w:p>
    <w:p w14:paraId="366FF312"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Chen, S., Liu, Y., Yang, X., Liu, Z., Luo, X., Xu, J., &amp; Huang, Y. (2020). Dysfunction of dimorphic sperm impairs male fertility in the silkworm. </w:t>
      </w:r>
      <w:r w:rsidRPr="00BF2A14">
        <w:rPr>
          <w:rFonts w:ascii="Arial" w:hAnsi="Arial" w:cs="Arial"/>
          <w:iCs/>
          <w:color w:val="222222"/>
          <w:sz w:val="20"/>
          <w:szCs w:val="20"/>
          <w:shd w:val="clear" w:color="auto" w:fill="FFFFFF"/>
        </w:rPr>
        <w:t>Cell discovery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6</w:t>
      </w:r>
      <w:r w:rsidRPr="00BF2A14">
        <w:rPr>
          <w:rFonts w:ascii="Arial" w:hAnsi="Arial" w:cs="Arial"/>
          <w:color w:val="222222"/>
          <w:sz w:val="20"/>
          <w:szCs w:val="20"/>
          <w:shd w:val="clear" w:color="auto" w:fill="FFFFFF"/>
        </w:rPr>
        <w:t xml:space="preserve">(1), 60. </w:t>
      </w:r>
      <w:hyperlink r:id="rId18" w:history="1">
        <w:r w:rsidRPr="00BF2A14">
          <w:rPr>
            <w:rStyle w:val="Hyperlink"/>
            <w:rFonts w:ascii="Arial" w:hAnsi="Arial" w:cs="Arial"/>
            <w:sz w:val="20"/>
            <w:szCs w:val="20"/>
            <w:shd w:val="clear" w:color="auto" w:fill="FFFFFF"/>
          </w:rPr>
          <w:t>https://doi.org/10.1038/s41421-020-00194-6</w:t>
        </w:r>
      </w:hyperlink>
    </w:p>
    <w:p w14:paraId="7FCCD972"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Norris, M. J., &amp; Richards, O. W. (1933, December). Contributions towards the Study of Insect </w:t>
      </w:r>
      <w:proofErr w:type="gramStart"/>
      <w:r w:rsidRPr="00BF2A14">
        <w:rPr>
          <w:rFonts w:ascii="Arial" w:hAnsi="Arial" w:cs="Arial"/>
          <w:color w:val="222222"/>
          <w:sz w:val="20"/>
          <w:szCs w:val="20"/>
          <w:shd w:val="clear" w:color="auto" w:fill="FFFFFF"/>
        </w:rPr>
        <w:t>Fertility.—</w:t>
      </w:r>
      <w:proofErr w:type="gramEnd"/>
      <w:r w:rsidRPr="00BF2A14">
        <w:rPr>
          <w:rFonts w:ascii="Arial" w:hAnsi="Arial" w:cs="Arial"/>
          <w:color w:val="222222"/>
          <w:sz w:val="20"/>
          <w:szCs w:val="20"/>
          <w:shd w:val="clear" w:color="auto" w:fill="FFFFFF"/>
        </w:rPr>
        <w:t xml:space="preserve">II. Experiments on the Factors influencing Fertility in </w:t>
      </w:r>
      <w:proofErr w:type="spellStart"/>
      <w:r w:rsidRPr="00BF2A14">
        <w:rPr>
          <w:rFonts w:ascii="Arial" w:hAnsi="Arial" w:cs="Arial"/>
          <w:i/>
          <w:color w:val="222222"/>
          <w:sz w:val="20"/>
          <w:szCs w:val="20"/>
          <w:shd w:val="clear" w:color="auto" w:fill="FFFFFF"/>
        </w:rPr>
        <w:t>Ephestia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kühniella</w:t>
      </w:r>
      <w:proofErr w:type="spellEnd"/>
      <w:r w:rsidRPr="00BF2A14">
        <w:rPr>
          <w:rFonts w:ascii="Arial" w:hAnsi="Arial" w:cs="Arial"/>
          <w:color w:val="222222"/>
          <w:sz w:val="20"/>
          <w:szCs w:val="20"/>
          <w:shd w:val="clear" w:color="auto" w:fill="FFFFFF"/>
        </w:rPr>
        <w:t xml:space="preserve"> </w:t>
      </w:r>
      <w:proofErr w:type="gramStart"/>
      <w:r w:rsidRPr="00BF2A14">
        <w:rPr>
          <w:rFonts w:ascii="Arial" w:hAnsi="Arial" w:cs="Arial"/>
          <w:color w:val="222222"/>
          <w:sz w:val="20"/>
          <w:szCs w:val="20"/>
          <w:shd w:val="clear" w:color="auto" w:fill="FFFFFF"/>
        </w:rPr>
        <w:t>Z.(</w:t>
      </w:r>
      <w:proofErr w:type="gramEnd"/>
      <w:r w:rsidRPr="00BF2A14">
        <w:rPr>
          <w:rFonts w:ascii="Arial" w:hAnsi="Arial" w:cs="Arial"/>
          <w:color w:val="222222"/>
          <w:sz w:val="20"/>
          <w:szCs w:val="20"/>
          <w:shd w:val="clear" w:color="auto" w:fill="FFFFFF"/>
        </w:rPr>
        <w:t xml:space="preserve">Lepidoptera, </w:t>
      </w:r>
      <w:proofErr w:type="spellStart"/>
      <w:r w:rsidRPr="00BF2A14">
        <w:rPr>
          <w:rFonts w:ascii="Arial" w:hAnsi="Arial" w:cs="Arial"/>
          <w:color w:val="222222"/>
          <w:sz w:val="20"/>
          <w:szCs w:val="20"/>
          <w:shd w:val="clear" w:color="auto" w:fill="FFFFFF"/>
        </w:rPr>
        <w:t>Phycitidæ</w:t>
      </w:r>
      <w:proofErr w:type="spellEnd"/>
      <w:r w:rsidRPr="00BF2A14">
        <w:rPr>
          <w:rFonts w:ascii="Arial" w:hAnsi="Arial" w:cs="Arial"/>
          <w:color w:val="222222"/>
          <w:sz w:val="20"/>
          <w:szCs w:val="20"/>
          <w:shd w:val="clear" w:color="auto" w:fill="FFFFFF"/>
        </w:rPr>
        <w:t>). In </w:t>
      </w:r>
      <w:r w:rsidRPr="00BF2A14">
        <w:rPr>
          <w:rFonts w:ascii="Arial" w:hAnsi="Arial" w:cs="Arial"/>
          <w:iCs/>
          <w:color w:val="222222"/>
          <w:sz w:val="20"/>
          <w:szCs w:val="20"/>
          <w:shd w:val="clear" w:color="auto" w:fill="FFFFFF"/>
        </w:rPr>
        <w:t>Proceedings of the Zoological Society of London</w:t>
      </w:r>
      <w:r w:rsidRPr="00BF2A14">
        <w:rPr>
          <w:rFonts w:ascii="Arial" w:hAnsi="Arial" w:cs="Arial"/>
          <w:color w:val="222222"/>
          <w:sz w:val="20"/>
          <w:szCs w:val="20"/>
          <w:shd w:val="clear" w:color="auto" w:fill="FFFFFF"/>
        </w:rPr>
        <w:t> (Vol. 103, No. 4, pp. 903-934). Oxford, UK: Blackwell Publishing Ltd.</w:t>
      </w:r>
      <w:r w:rsidRPr="00BF2A14">
        <w:rPr>
          <w:rFonts w:ascii="Arial" w:hAnsi="Arial" w:cs="Arial"/>
          <w:sz w:val="20"/>
          <w:szCs w:val="20"/>
        </w:rPr>
        <w:t xml:space="preserve"> </w:t>
      </w:r>
      <w:hyperlink r:id="rId19" w:history="1">
        <w:r w:rsidRPr="00BF2A14">
          <w:rPr>
            <w:rStyle w:val="Hyperlink"/>
            <w:rFonts w:ascii="Arial" w:hAnsi="Arial" w:cs="Arial"/>
            <w:sz w:val="20"/>
            <w:szCs w:val="20"/>
            <w:shd w:val="clear" w:color="auto" w:fill="FFFFFF"/>
          </w:rPr>
          <w:t>https://doi.org/10.1111/j.1096-3642.1933.tb01635.x</w:t>
        </w:r>
      </w:hyperlink>
    </w:p>
    <w:p w14:paraId="70BED76F"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Karube</w:t>
      </w:r>
      <w:proofErr w:type="spellEnd"/>
      <w:r w:rsidRPr="00BF2A14">
        <w:rPr>
          <w:rFonts w:ascii="Arial" w:hAnsi="Arial" w:cs="Arial"/>
          <w:color w:val="222222"/>
          <w:sz w:val="20"/>
          <w:szCs w:val="20"/>
          <w:shd w:val="clear" w:color="auto" w:fill="FFFFFF"/>
        </w:rPr>
        <w:t xml:space="preserve">, F., &amp; Kobayashi, M. (1999). Presence of </w:t>
      </w:r>
      <w:proofErr w:type="spellStart"/>
      <w:r w:rsidRPr="00BF2A14">
        <w:rPr>
          <w:rFonts w:ascii="Arial" w:hAnsi="Arial" w:cs="Arial"/>
          <w:color w:val="222222"/>
          <w:sz w:val="20"/>
          <w:szCs w:val="20"/>
          <w:shd w:val="clear" w:color="auto" w:fill="FFFFFF"/>
        </w:rPr>
        <w:t>eupyrene</w:t>
      </w:r>
      <w:proofErr w:type="spellEnd"/>
      <w:r w:rsidRPr="00BF2A14">
        <w:rPr>
          <w:rFonts w:ascii="Arial" w:hAnsi="Arial" w:cs="Arial"/>
          <w:color w:val="222222"/>
          <w:sz w:val="20"/>
          <w:szCs w:val="20"/>
          <w:shd w:val="clear" w:color="auto" w:fill="FFFFFF"/>
        </w:rPr>
        <w:t xml:space="preserve"> spermatozoa in vestibulum accelerates oviposition in the silkworm moth, </w:t>
      </w:r>
      <w:r w:rsidRPr="00BF2A14">
        <w:rPr>
          <w:rFonts w:ascii="Arial" w:hAnsi="Arial" w:cs="Arial"/>
          <w:i/>
          <w:color w:val="222222"/>
          <w:sz w:val="20"/>
          <w:szCs w:val="20"/>
          <w:shd w:val="clear" w:color="auto" w:fill="FFFFFF"/>
        </w:rPr>
        <w:t>Bombyx mori</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Journal of Insect Physiology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45</w:t>
      </w:r>
      <w:r w:rsidRPr="00BF2A14">
        <w:rPr>
          <w:rFonts w:ascii="Arial" w:hAnsi="Arial" w:cs="Arial"/>
          <w:color w:val="222222"/>
          <w:sz w:val="20"/>
          <w:szCs w:val="20"/>
          <w:shd w:val="clear" w:color="auto" w:fill="FFFFFF"/>
        </w:rPr>
        <w:t xml:space="preserve">(10), 947-957. </w:t>
      </w:r>
      <w:hyperlink r:id="rId20" w:history="1">
        <w:r w:rsidRPr="00BF2A14">
          <w:rPr>
            <w:rStyle w:val="Hyperlink"/>
            <w:rFonts w:ascii="Arial" w:hAnsi="Arial" w:cs="Arial"/>
            <w:sz w:val="20"/>
            <w:szCs w:val="20"/>
            <w:shd w:val="clear" w:color="auto" w:fill="FFFFFF"/>
          </w:rPr>
          <w:t>https://doi.org/10.1016/S0022-1910(99)00075-X</w:t>
        </w:r>
      </w:hyperlink>
    </w:p>
    <w:p w14:paraId="645BA240"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Soin, T., </w:t>
      </w:r>
      <w:proofErr w:type="spellStart"/>
      <w:r w:rsidRPr="00BF2A14">
        <w:rPr>
          <w:rFonts w:ascii="Arial" w:hAnsi="Arial" w:cs="Arial"/>
          <w:color w:val="222222"/>
          <w:sz w:val="20"/>
          <w:szCs w:val="20"/>
          <w:shd w:val="clear" w:color="auto" w:fill="FFFFFF"/>
        </w:rPr>
        <w:t>Swevers</w:t>
      </w:r>
      <w:proofErr w:type="spellEnd"/>
      <w:r w:rsidRPr="00BF2A14">
        <w:rPr>
          <w:rFonts w:ascii="Arial" w:hAnsi="Arial" w:cs="Arial"/>
          <w:color w:val="222222"/>
          <w:sz w:val="20"/>
          <w:szCs w:val="20"/>
          <w:shd w:val="clear" w:color="auto" w:fill="FFFFFF"/>
        </w:rPr>
        <w:t xml:space="preserve">, L., </w:t>
      </w:r>
      <w:proofErr w:type="spellStart"/>
      <w:r w:rsidRPr="00BF2A14">
        <w:rPr>
          <w:rFonts w:ascii="Arial" w:hAnsi="Arial" w:cs="Arial"/>
          <w:color w:val="222222"/>
          <w:sz w:val="20"/>
          <w:szCs w:val="20"/>
          <w:shd w:val="clear" w:color="auto" w:fill="FFFFFF"/>
        </w:rPr>
        <w:t>Mosallanejad</w:t>
      </w:r>
      <w:proofErr w:type="spellEnd"/>
      <w:r w:rsidRPr="00BF2A14">
        <w:rPr>
          <w:rFonts w:ascii="Arial" w:hAnsi="Arial" w:cs="Arial"/>
          <w:color w:val="222222"/>
          <w:sz w:val="20"/>
          <w:szCs w:val="20"/>
          <w:shd w:val="clear" w:color="auto" w:fill="FFFFFF"/>
        </w:rPr>
        <w:t xml:space="preserve">, H., </w:t>
      </w:r>
      <w:proofErr w:type="spellStart"/>
      <w:r w:rsidRPr="00BF2A14">
        <w:rPr>
          <w:rFonts w:ascii="Arial" w:hAnsi="Arial" w:cs="Arial"/>
          <w:color w:val="222222"/>
          <w:sz w:val="20"/>
          <w:szCs w:val="20"/>
          <w:shd w:val="clear" w:color="auto" w:fill="FFFFFF"/>
        </w:rPr>
        <w:t>Efrose</w:t>
      </w:r>
      <w:proofErr w:type="spellEnd"/>
      <w:r w:rsidRPr="00BF2A14">
        <w:rPr>
          <w:rFonts w:ascii="Arial" w:hAnsi="Arial" w:cs="Arial"/>
          <w:color w:val="222222"/>
          <w:sz w:val="20"/>
          <w:szCs w:val="20"/>
          <w:shd w:val="clear" w:color="auto" w:fill="FFFFFF"/>
        </w:rPr>
        <w:t xml:space="preserve">, R., </w:t>
      </w:r>
      <w:proofErr w:type="spellStart"/>
      <w:r w:rsidRPr="00BF2A14">
        <w:rPr>
          <w:rFonts w:ascii="Arial" w:hAnsi="Arial" w:cs="Arial"/>
          <w:color w:val="222222"/>
          <w:sz w:val="20"/>
          <w:szCs w:val="20"/>
          <w:shd w:val="clear" w:color="auto" w:fill="FFFFFF"/>
        </w:rPr>
        <w:t>Labropoulou</w:t>
      </w:r>
      <w:proofErr w:type="spellEnd"/>
      <w:r w:rsidRPr="00BF2A14">
        <w:rPr>
          <w:rFonts w:ascii="Arial" w:hAnsi="Arial" w:cs="Arial"/>
          <w:color w:val="222222"/>
          <w:sz w:val="20"/>
          <w:szCs w:val="20"/>
          <w:shd w:val="clear" w:color="auto" w:fill="FFFFFF"/>
        </w:rPr>
        <w:t xml:space="preserve">, V., Iatrou, K., &amp; </w:t>
      </w:r>
      <w:proofErr w:type="spellStart"/>
      <w:r w:rsidRPr="00BF2A14">
        <w:rPr>
          <w:rFonts w:ascii="Arial" w:hAnsi="Arial" w:cs="Arial"/>
          <w:color w:val="222222"/>
          <w:sz w:val="20"/>
          <w:szCs w:val="20"/>
          <w:shd w:val="clear" w:color="auto" w:fill="FFFFFF"/>
        </w:rPr>
        <w:t>Smagghe</w:t>
      </w:r>
      <w:proofErr w:type="spellEnd"/>
      <w:r w:rsidRPr="00BF2A14">
        <w:rPr>
          <w:rFonts w:ascii="Arial" w:hAnsi="Arial" w:cs="Arial"/>
          <w:color w:val="222222"/>
          <w:sz w:val="20"/>
          <w:szCs w:val="20"/>
          <w:shd w:val="clear" w:color="auto" w:fill="FFFFFF"/>
        </w:rPr>
        <w:t xml:space="preserve">, G. (2008). Juvenile hormone analogs do not affect directly the activity of the </w:t>
      </w:r>
      <w:proofErr w:type="spellStart"/>
      <w:r w:rsidRPr="00BF2A14">
        <w:rPr>
          <w:rFonts w:ascii="Arial" w:hAnsi="Arial" w:cs="Arial"/>
          <w:color w:val="222222"/>
          <w:sz w:val="20"/>
          <w:szCs w:val="20"/>
          <w:shd w:val="clear" w:color="auto" w:fill="FFFFFF"/>
        </w:rPr>
        <w:t>ecdysteroid</w:t>
      </w:r>
      <w:proofErr w:type="spellEnd"/>
      <w:r w:rsidRPr="00BF2A14">
        <w:rPr>
          <w:rFonts w:ascii="Arial" w:hAnsi="Arial" w:cs="Arial"/>
          <w:color w:val="222222"/>
          <w:sz w:val="20"/>
          <w:szCs w:val="20"/>
          <w:shd w:val="clear" w:color="auto" w:fill="FFFFFF"/>
        </w:rPr>
        <w:t xml:space="preserve"> receptor complex in insect culture cell lines. </w:t>
      </w:r>
      <w:r w:rsidRPr="00BF2A14">
        <w:rPr>
          <w:rFonts w:ascii="Arial" w:hAnsi="Arial" w:cs="Arial"/>
          <w:iCs/>
          <w:color w:val="222222"/>
          <w:sz w:val="20"/>
          <w:szCs w:val="20"/>
          <w:shd w:val="clear" w:color="auto" w:fill="FFFFFF"/>
        </w:rPr>
        <w:t>Journal of Insect Physiology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54</w:t>
      </w:r>
      <w:r w:rsidRPr="00BF2A14">
        <w:rPr>
          <w:rFonts w:ascii="Arial" w:hAnsi="Arial" w:cs="Arial"/>
          <w:color w:val="222222"/>
          <w:sz w:val="20"/>
          <w:szCs w:val="20"/>
          <w:shd w:val="clear" w:color="auto" w:fill="FFFFFF"/>
        </w:rPr>
        <w:t xml:space="preserve">(2), 429-438. </w:t>
      </w:r>
      <w:hyperlink r:id="rId21" w:history="1">
        <w:r w:rsidRPr="00BF2A14">
          <w:rPr>
            <w:rStyle w:val="Hyperlink"/>
            <w:rFonts w:ascii="Arial" w:hAnsi="Arial" w:cs="Arial"/>
            <w:sz w:val="20"/>
            <w:szCs w:val="20"/>
            <w:shd w:val="clear" w:color="auto" w:fill="FFFFFF"/>
          </w:rPr>
          <w:t>https://doi.org/10.1016/j.jinsphys.2007.11.001</w:t>
        </w:r>
      </w:hyperlink>
    </w:p>
    <w:p w14:paraId="2A6C64DE"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Wigglesworth, V. B. (1936). The function of the corpus </w:t>
      </w:r>
      <w:proofErr w:type="spellStart"/>
      <w:r w:rsidRPr="00BF2A14">
        <w:rPr>
          <w:rFonts w:ascii="Arial" w:hAnsi="Arial" w:cs="Arial"/>
          <w:color w:val="222222"/>
          <w:sz w:val="20"/>
          <w:szCs w:val="20"/>
          <w:shd w:val="clear" w:color="auto" w:fill="FFFFFF"/>
        </w:rPr>
        <w:t>allatum</w:t>
      </w:r>
      <w:proofErr w:type="spellEnd"/>
      <w:r w:rsidRPr="00BF2A14">
        <w:rPr>
          <w:rFonts w:ascii="Arial" w:hAnsi="Arial" w:cs="Arial"/>
          <w:color w:val="222222"/>
          <w:sz w:val="20"/>
          <w:szCs w:val="20"/>
          <w:shd w:val="clear" w:color="auto" w:fill="FFFFFF"/>
        </w:rPr>
        <w:t xml:space="preserve"> in the growth and reproduction of </w:t>
      </w:r>
      <w:proofErr w:type="spellStart"/>
      <w:r w:rsidRPr="00BF2A14">
        <w:rPr>
          <w:rFonts w:ascii="Arial" w:hAnsi="Arial" w:cs="Arial"/>
          <w:i/>
          <w:color w:val="222222"/>
          <w:sz w:val="20"/>
          <w:szCs w:val="20"/>
          <w:shd w:val="clear" w:color="auto" w:fill="FFFFFF"/>
        </w:rPr>
        <w:t>Rhodnius</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prolixus</w:t>
      </w:r>
      <w:proofErr w:type="spellEnd"/>
      <w:r w:rsidRPr="00BF2A14">
        <w:rPr>
          <w:rFonts w:ascii="Arial" w:hAnsi="Arial" w:cs="Arial"/>
          <w:color w:val="222222"/>
          <w:sz w:val="20"/>
          <w:szCs w:val="20"/>
          <w:shd w:val="clear" w:color="auto" w:fill="FFFFFF"/>
        </w:rPr>
        <w:t xml:space="preserve"> (Hemiptera). </w:t>
      </w:r>
      <w:r w:rsidRPr="00BF2A14">
        <w:rPr>
          <w:rFonts w:ascii="Arial" w:hAnsi="Arial" w:cs="Arial"/>
          <w:iCs/>
          <w:color w:val="222222"/>
          <w:sz w:val="20"/>
          <w:szCs w:val="20"/>
          <w:shd w:val="clear" w:color="auto" w:fill="FFFFFF"/>
        </w:rPr>
        <w:t>Journal of Cell Science</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2</w:t>
      </w:r>
      <w:r w:rsidRPr="00BF2A14">
        <w:rPr>
          <w:rFonts w:ascii="Arial" w:hAnsi="Arial" w:cs="Arial"/>
          <w:color w:val="222222"/>
          <w:sz w:val="20"/>
          <w:szCs w:val="20"/>
          <w:shd w:val="clear" w:color="auto" w:fill="FFFFFF"/>
        </w:rPr>
        <w:t xml:space="preserve">(313), 91-121. </w:t>
      </w:r>
      <w:hyperlink r:id="rId22" w:history="1">
        <w:r w:rsidRPr="00BF2A14">
          <w:rPr>
            <w:rStyle w:val="Hyperlink"/>
            <w:rFonts w:ascii="Arial" w:hAnsi="Arial" w:cs="Arial"/>
            <w:sz w:val="20"/>
            <w:szCs w:val="20"/>
            <w:shd w:val="clear" w:color="auto" w:fill="FFFFFF"/>
          </w:rPr>
          <w:t>https://doi.org/10.1242/jcs.s2-79.313.91</w:t>
        </w:r>
      </w:hyperlink>
    </w:p>
    <w:p w14:paraId="1B66568B" w14:textId="77777777" w:rsidR="00401A7D" w:rsidRPr="00BF2A14" w:rsidRDefault="00401A7D" w:rsidP="00BF2A14">
      <w:pPr>
        <w:pStyle w:val="ListParagraph"/>
        <w:numPr>
          <w:ilvl w:val="0"/>
          <w:numId w:val="2"/>
        </w:numPr>
        <w:ind w:left="284" w:hanging="284"/>
        <w:jc w:val="both"/>
        <w:rPr>
          <w:rFonts w:ascii="Arial" w:hAnsi="Arial" w:cs="Arial"/>
          <w:sz w:val="20"/>
          <w:szCs w:val="20"/>
        </w:rPr>
      </w:pPr>
      <w:r w:rsidRPr="00BF2A14">
        <w:rPr>
          <w:rStyle w:val="Strong"/>
          <w:rFonts w:ascii="Arial" w:hAnsi="Arial" w:cs="Arial"/>
          <w:b w:val="0"/>
          <w:sz w:val="20"/>
          <w:szCs w:val="20"/>
        </w:rPr>
        <w:t>Joly, P.</w:t>
      </w:r>
      <w:r w:rsidRPr="00BF2A14">
        <w:rPr>
          <w:rFonts w:ascii="Arial" w:hAnsi="Arial" w:cs="Arial"/>
          <w:sz w:val="20"/>
          <w:szCs w:val="20"/>
        </w:rPr>
        <w:t xml:space="preserve"> (1945). </w:t>
      </w:r>
      <w:r w:rsidRPr="00BF2A14">
        <w:rPr>
          <w:rStyle w:val="Emphasis"/>
          <w:rFonts w:ascii="Arial" w:hAnsi="Arial" w:cs="Arial"/>
          <w:i w:val="0"/>
          <w:sz w:val="20"/>
          <w:szCs w:val="20"/>
        </w:rPr>
        <w:t xml:space="preserve">The ovarian function and its humoral control in </w:t>
      </w:r>
      <w:proofErr w:type="spellStart"/>
      <w:r w:rsidRPr="00BF2A14">
        <w:rPr>
          <w:rStyle w:val="Emphasis"/>
          <w:rFonts w:ascii="Arial" w:hAnsi="Arial" w:cs="Arial"/>
          <w:i w:val="0"/>
          <w:sz w:val="20"/>
          <w:szCs w:val="20"/>
        </w:rPr>
        <w:t>Dytiscidae</w:t>
      </w:r>
      <w:proofErr w:type="spellEnd"/>
      <w:r w:rsidRPr="00BF2A14">
        <w:rPr>
          <w:rFonts w:ascii="Arial" w:hAnsi="Arial" w:cs="Arial"/>
          <w:i/>
          <w:sz w:val="20"/>
          <w:szCs w:val="20"/>
        </w:rPr>
        <w:t>.</w:t>
      </w:r>
      <w:r w:rsidRPr="00BF2A14">
        <w:rPr>
          <w:rFonts w:ascii="Arial" w:hAnsi="Arial" w:cs="Arial"/>
          <w:sz w:val="20"/>
          <w:szCs w:val="20"/>
        </w:rPr>
        <w:t xml:space="preserve"> Paris: </w:t>
      </w:r>
      <w:proofErr w:type="spellStart"/>
      <w:r w:rsidRPr="00BF2A14">
        <w:rPr>
          <w:rFonts w:ascii="Arial" w:hAnsi="Arial" w:cs="Arial"/>
          <w:sz w:val="20"/>
          <w:szCs w:val="20"/>
        </w:rPr>
        <w:t>Édition</w:t>
      </w:r>
      <w:proofErr w:type="spellEnd"/>
      <w:r w:rsidRPr="00BF2A14">
        <w:rPr>
          <w:rFonts w:ascii="Arial" w:hAnsi="Arial" w:cs="Arial"/>
          <w:sz w:val="20"/>
          <w:szCs w:val="20"/>
        </w:rPr>
        <w:t xml:space="preserve"> des Archives de </w:t>
      </w:r>
      <w:proofErr w:type="spellStart"/>
      <w:r w:rsidRPr="00BF2A14">
        <w:rPr>
          <w:rFonts w:ascii="Arial" w:hAnsi="Arial" w:cs="Arial"/>
          <w:sz w:val="20"/>
          <w:szCs w:val="20"/>
        </w:rPr>
        <w:t>Zoologie</w:t>
      </w:r>
      <w:proofErr w:type="spellEnd"/>
      <w:r w:rsidRPr="00BF2A14">
        <w:rPr>
          <w:rFonts w:ascii="Arial" w:hAnsi="Arial" w:cs="Arial"/>
          <w:sz w:val="20"/>
          <w:szCs w:val="20"/>
        </w:rPr>
        <w:t xml:space="preserve"> </w:t>
      </w:r>
      <w:proofErr w:type="spellStart"/>
      <w:r w:rsidRPr="00BF2A14">
        <w:rPr>
          <w:rFonts w:ascii="Arial" w:hAnsi="Arial" w:cs="Arial"/>
          <w:sz w:val="20"/>
          <w:szCs w:val="20"/>
        </w:rPr>
        <w:t>Expérimentale</w:t>
      </w:r>
      <w:proofErr w:type="spellEnd"/>
      <w:r w:rsidRPr="00BF2A14">
        <w:rPr>
          <w:rFonts w:ascii="Arial" w:hAnsi="Arial" w:cs="Arial"/>
          <w:sz w:val="20"/>
          <w:szCs w:val="20"/>
        </w:rPr>
        <w:t xml:space="preserve">. (Reprinted from </w:t>
      </w:r>
      <w:r w:rsidRPr="00BF2A14">
        <w:rPr>
          <w:rStyle w:val="Emphasis"/>
          <w:rFonts w:ascii="Arial" w:hAnsi="Arial" w:cs="Arial"/>
          <w:sz w:val="20"/>
          <w:szCs w:val="20"/>
        </w:rPr>
        <w:t xml:space="preserve">Archives de </w:t>
      </w:r>
      <w:proofErr w:type="spellStart"/>
      <w:r w:rsidRPr="00BF2A14">
        <w:rPr>
          <w:rStyle w:val="Emphasis"/>
          <w:rFonts w:ascii="Arial" w:hAnsi="Arial" w:cs="Arial"/>
          <w:sz w:val="20"/>
          <w:szCs w:val="20"/>
        </w:rPr>
        <w:t>Zoologie</w:t>
      </w:r>
      <w:proofErr w:type="spellEnd"/>
      <w:r w:rsidRPr="00BF2A14">
        <w:rPr>
          <w:rStyle w:val="Emphasis"/>
          <w:rFonts w:ascii="Arial" w:hAnsi="Arial" w:cs="Arial"/>
          <w:sz w:val="20"/>
          <w:szCs w:val="20"/>
        </w:rPr>
        <w:t xml:space="preserve"> </w:t>
      </w:r>
      <w:proofErr w:type="spellStart"/>
      <w:r w:rsidRPr="00BF2A14">
        <w:rPr>
          <w:rStyle w:val="Emphasis"/>
          <w:rFonts w:ascii="Arial" w:hAnsi="Arial" w:cs="Arial"/>
          <w:sz w:val="20"/>
          <w:szCs w:val="20"/>
        </w:rPr>
        <w:t>Expérimentale</w:t>
      </w:r>
      <w:proofErr w:type="spellEnd"/>
      <w:r w:rsidRPr="00BF2A14">
        <w:rPr>
          <w:rStyle w:val="Emphasis"/>
          <w:rFonts w:ascii="Arial" w:hAnsi="Arial" w:cs="Arial"/>
          <w:sz w:val="20"/>
          <w:szCs w:val="20"/>
        </w:rPr>
        <w:t xml:space="preserve"> et Générale</w:t>
      </w:r>
      <w:r w:rsidRPr="00BF2A14">
        <w:rPr>
          <w:rFonts w:ascii="Arial" w:hAnsi="Arial" w:cs="Arial"/>
          <w:sz w:val="20"/>
          <w:szCs w:val="20"/>
        </w:rPr>
        <w:t>, 84, 49–164).</w:t>
      </w:r>
    </w:p>
    <w:p w14:paraId="4012C752"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Pfeiffer, I. W. (1945). Effect of the corpora </w:t>
      </w:r>
      <w:proofErr w:type="spellStart"/>
      <w:r w:rsidRPr="00BF2A14">
        <w:rPr>
          <w:rFonts w:ascii="Arial" w:hAnsi="Arial" w:cs="Arial"/>
          <w:color w:val="222222"/>
          <w:sz w:val="20"/>
          <w:szCs w:val="20"/>
          <w:shd w:val="clear" w:color="auto" w:fill="FFFFFF"/>
        </w:rPr>
        <w:t>allata</w:t>
      </w:r>
      <w:proofErr w:type="spellEnd"/>
      <w:r w:rsidRPr="00BF2A14">
        <w:rPr>
          <w:rFonts w:ascii="Arial" w:hAnsi="Arial" w:cs="Arial"/>
          <w:color w:val="222222"/>
          <w:sz w:val="20"/>
          <w:szCs w:val="20"/>
          <w:shd w:val="clear" w:color="auto" w:fill="FFFFFF"/>
        </w:rPr>
        <w:t xml:space="preserve"> on the metabolism of adult female grasshoppers. </w:t>
      </w:r>
      <w:r w:rsidRPr="00BF2A14">
        <w:rPr>
          <w:rFonts w:ascii="Arial" w:hAnsi="Arial" w:cs="Arial"/>
          <w:iCs/>
          <w:color w:val="222222"/>
          <w:sz w:val="20"/>
          <w:szCs w:val="20"/>
          <w:shd w:val="clear" w:color="auto" w:fill="FFFFFF"/>
        </w:rPr>
        <w:t>Journal of Experimental Zoology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99</w:t>
      </w:r>
      <w:r w:rsidRPr="00BF2A14">
        <w:rPr>
          <w:rFonts w:ascii="Arial" w:hAnsi="Arial" w:cs="Arial"/>
          <w:color w:val="222222"/>
          <w:sz w:val="20"/>
          <w:szCs w:val="20"/>
          <w:shd w:val="clear" w:color="auto" w:fill="FFFFFF"/>
        </w:rPr>
        <w:t xml:space="preserve">(3), 183-233. </w:t>
      </w:r>
      <w:hyperlink r:id="rId23" w:history="1">
        <w:r w:rsidRPr="00BF2A14">
          <w:rPr>
            <w:rStyle w:val="Hyperlink"/>
            <w:rFonts w:ascii="Arial" w:hAnsi="Arial" w:cs="Arial"/>
            <w:sz w:val="20"/>
            <w:szCs w:val="20"/>
            <w:shd w:val="clear" w:color="auto" w:fill="FFFFFF"/>
          </w:rPr>
          <w:t>https://doi.org/10.1002/jez.1400990304</w:t>
        </w:r>
      </w:hyperlink>
    </w:p>
    <w:p w14:paraId="2B7570CD"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SCHARRER, B. (1946). The relationship between corpora </w:t>
      </w:r>
      <w:proofErr w:type="spellStart"/>
      <w:r w:rsidRPr="00BF2A14">
        <w:rPr>
          <w:rFonts w:ascii="Arial" w:hAnsi="Arial" w:cs="Arial"/>
          <w:color w:val="222222"/>
          <w:sz w:val="20"/>
          <w:szCs w:val="20"/>
          <w:shd w:val="clear" w:color="auto" w:fill="FFFFFF"/>
        </w:rPr>
        <w:t>allata</w:t>
      </w:r>
      <w:proofErr w:type="spellEnd"/>
      <w:r w:rsidRPr="00BF2A14">
        <w:rPr>
          <w:rFonts w:ascii="Arial" w:hAnsi="Arial" w:cs="Arial"/>
          <w:color w:val="222222"/>
          <w:sz w:val="20"/>
          <w:szCs w:val="20"/>
          <w:shd w:val="clear" w:color="auto" w:fill="FFFFFF"/>
        </w:rPr>
        <w:t xml:space="preserve"> and reproductive organs in adult </w:t>
      </w:r>
      <w:proofErr w:type="spellStart"/>
      <w:r w:rsidRPr="00BF2A14">
        <w:rPr>
          <w:rFonts w:ascii="Arial" w:hAnsi="Arial" w:cs="Arial"/>
          <w:i/>
          <w:color w:val="222222"/>
          <w:sz w:val="20"/>
          <w:szCs w:val="20"/>
          <w:shd w:val="clear" w:color="auto" w:fill="FFFFFF"/>
        </w:rPr>
        <w:t>Leucophaea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maderae</w:t>
      </w:r>
      <w:proofErr w:type="spellEnd"/>
      <w:r w:rsidRPr="00BF2A14">
        <w:rPr>
          <w:rFonts w:ascii="Arial" w:hAnsi="Arial" w:cs="Arial"/>
          <w:color w:val="222222"/>
          <w:sz w:val="20"/>
          <w:szCs w:val="20"/>
          <w:shd w:val="clear" w:color="auto" w:fill="FFFFFF"/>
        </w:rPr>
        <w:t xml:space="preserve"> (Orthoptera). </w:t>
      </w:r>
      <w:r w:rsidRPr="00BF2A14">
        <w:rPr>
          <w:rFonts w:ascii="Arial" w:hAnsi="Arial" w:cs="Arial"/>
          <w:iCs/>
          <w:color w:val="222222"/>
          <w:sz w:val="20"/>
          <w:szCs w:val="20"/>
          <w:shd w:val="clear" w:color="auto" w:fill="FFFFFF"/>
        </w:rPr>
        <w:t>Endocrinology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38</w:t>
      </w:r>
      <w:r w:rsidRPr="00BF2A14">
        <w:rPr>
          <w:rFonts w:ascii="Arial" w:hAnsi="Arial" w:cs="Arial"/>
          <w:color w:val="222222"/>
          <w:sz w:val="20"/>
          <w:szCs w:val="20"/>
          <w:shd w:val="clear" w:color="auto" w:fill="FFFFFF"/>
        </w:rPr>
        <w:t>(1), 46-55.</w:t>
      </w:r>
      <w:r w:rsidRPr="00BF2A14">
        <w:rPr>
          <w:rFonts w:ascii="Arial" w:hAnsi="Arial" w:cs="Arial"/>
          <w:sz w:val="20"/>
          <w:szCs w:val="20"/>
        </w:rPr>
        <w:t xml:space="preserve"> </w:t>
      </w:r>
      <w:hyperlink r:id="rId24" w:history="1">
        <w:r w:rsidRPr="00BF2A14">
          <w:rPr>
            <w:rStyle w:val="Hyperlink"/>
            <w:rFonts w:ascii="Arial" w:hAnsi="Arial" w:cs="Arial"/>
            <w:sz w:val="20"/>
            <w:szCs w:val="20"/>
            <w:shd w:val="clear" w:color="auto" w:fill="FFFFFF"/>
          </w:rPr>
          <w:t>https://doi.org/10.1210/endo-38-1-46</w:t>
        </w:r>
      </w:hyperlink>
    </w:p>
    <w:p w14:paraId="53754469"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Thomsen, E. (1952). Functional significance of the neurosecretory brain cells and the corpus </w:t>
      </w:r>
      <w:proofErr w:type="spellStart"/>
      <w:r w:rsidRPr="00BF2A14">
        <w:rPr>
          <w:rFonts w:ascii="Arial" w:hAnsi="Arial" w:cs="Arial"/>
          <w:color w:val="222222"/>
          <w:sz w:val="20"/>
          <w:szCs w:val="20"/>
          <w:shd w:val="clear" w:color="auto" w:fill="FFFFFF"/>
        </w:rPr>
        <w:t>cardiacum</w:t>
      </w:r>
      <w:proofErr w:type="spellEnd"/>
      <w:r w:rsidRPr="00BF2A14">
        <w:rPr>
          <w:rFonts w:ascii="Arial" w:hAnsi="Arial" w:cs="Arial"/>
          <w:color w:val="222222"/>
          <w:sz w:val="20"/>
          <w:szCs w:val="20"/>
          <w:shd w:val="clear" w:color="auto" w:fill="FFFFFF"/>
        </w:rPr>
        <w:t xml:space="preserve"> in the female blow-fly, </w:t>
      </w:r>
      <w:proofErr w:type="spellStart"/>
      <w:r w:rsidRPr="00BF2A14">
        <w:rPr>
          <w:rFonts w:ascii="Arial" w:hAnsi="Arial" w:cs="Arial"/>
          <w:i/>
          <w:color w:val="222222"/>
          <w:sz w:val="20"/>
          <w:szCs w:val="20"/>
          <w:shd w:val="clear" w:color="auto" w:fill="FFFFFF"/>
        </w:rPr>
        <w:t>Calliphora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erythrocephala</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Meig</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Journal of Experimental Biology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29</w:t>
      </w:r>
      <w:r w:rsidRPr="00BF2A14">
        <w:rPr>
          <w:rFonts w:ascii="Arial" w:hAnsi="Arial" w:cs="Arial"/>
          <w:color w:val="222222"/>
          <w:sz w:val="20"/>
          <w:szCs w:val="20"/>
          <w:shd w:val="clear" w:color="auto" w:fill="FFFFFF"/>
        </w:rPr>
        <w:t xml:space="preserve">(1), 137-172. </w:t>
      </w:r>
      <w:hyperlink r:id="rId25" w:history="1">
        <w:r w:rsidRPr="00BF2A14">
          <w:rPr>
            <w:rStyle w:val="Hyperlink"/>
            <w:rFonts w:ascii="Arial" w:hAnsi="Arial" w:cs="Arial"/>
            <w:sz w:val="20"/>
            <w:szCs w:val="20"/>
            <w:shd w:val="clear" w:color="auto" w:fill="FFFFFF"/>
          </w:rPr>
          <w:t>https://doi.org/10.1242/jeb.29.1.137</w:t>
        </w:r>
      </w:hyperlink>
    </w:p>
    <w:p w14:paraId="54CE451D"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De Loof, A., &amp; De Wilde, J. (1970). Hormonal control of synthesis of </w:t>
      </w:r>
      <w:proofErr w:type="spellStart"/>
      <w:r w:rsidRPr="00BF2A14">
        <w:rPr>
          <w:rFonts w:ascii="Arial" w:hAnsi="Arial" w:cs="Arial"/>
          <w:color w:val="222222"/>
          <w:sz w:val="20"/>
          <w:szCs w:val="20"/>
          <w:shd w:val="clear" w:color="auto" w:fill="FFFFFF"/>
        </w:rPr>
        <w:t>vitellogenic</w:t>
      </w:r>
      <w:proofErr w:type="spellEnd"/>
      <w:r w:rsidRPr="00BF2A14">
        <w:rPr>
          <w:rFonts w:ascii="Arial" w:hAnsi="Arial" w:cs="Arial"/>
          <w:color w:val="222222"/>
          <w:sz w:val="20"/>
          <w:szCs w:val="20"/>
          <w:shd w:val="clear" w:color="auto" w:fill="FFFFFF"/>
        </w:rPr>
        <w:t xml:space="preserve"> female protein in the Colorado beetle, </w:t>
      </w:r>
      <w:proofErr w:type="spellStart"/>
      <w:r w:rsidRPr="00BF2A14">
        <w:rPr>
          <w:rFonts w:ascii="Arial" w:hAnsi="Arial" w:cs="Arial"/>
          <w:i/>
          <w:color w:val="222222"/>
          <w:sz w:val="20"/>
          <w:szCs w:val="20"/>
          <w:shd w:val="clear" w:color="auto" w:fill="FFFFFF"/>
        </w:rPr>
        <w:t>Leptinotarsa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decemlineata</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Journal of insect physiology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16</w:t>
      </w:r>
      <w:r w:rsidRPr="00BF2A14">
        <w:rPr>
          <w:rFonts w:ascii="Arial" w:hAnsi="Arial" w:cs="Arial"/>
          <w:color w:val="222222"/>
          <w:sz w:val="20"/>
          <w:szCs w:val="20"/>
          <w:shd w:val="clear" w:color="auto" w:fill="FFFFFF"/>
        </w:rPr>
        <w:t xml:space="preserve">(7), 1455-1466. </w:t>
      </w:r>
      <w:hyperlink r:id="rId26" w:history="1">
        <w:r w:rsidRPr="00BF2A14">
          <w:rPr>
            <w:rStyle w:val="Hyperlink"/>
            <w:rFonts w:ascii="Arial" w:hAnsi="Arial" w:cs="Arial"/>
            <w:sz w:val="20"/>
            <w:szCs w:val="20"/>
            <w:shd w:val="clear" w:color="auto" w:fill="FFFFFF"/>
          </w:rPr>
          <w:t>https://doi.org/10.1016/0022-1910(70)90144-7</w:t>
        </w:r>
      </w:hyperlink>
    </w:p>
    <w:p w14:paraId="083E42A1"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BELL, W. J., &amp; Barth, R. H. (1971). Initiation of yolk deposition by juvenile hormone. </w:t>
      </w:r>
      <w:r w:rsidRPr="00BF2A14">
        <w:rPr>
          <w:rFonts w:ascii="Arial" w:hAnsi="Arial" w:cs="Arial"/>
          <w:iCs/>
          <w:color w:val="222222"/>
          <w:sz w:val="20"/>
          <w:szCs w:val="20"/>
          <w:shd w:val="clear" w:color="auto" w:fill="FFFFFF"/>
        </w:rPr>
        <w:t>Nature New Biology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230</w:t>
      </w:r>
      <w:r w:rsidRPr="00BF2A14">
        <w:rPr>
          <w:rFonts w:ascii="Arial" w:hAnsi="Arial" w:cs="Arial"/>
          <w:color w:val="222222"/>
          <w:sz w:val="20"/>
          <w:szCs w:val="20"/>
          <w:shd w:val="clear" w:color="auto" w:fill="FFFFFF"/>
        </w:rPr>
        <w:t xml:space="preserve">(15), 220-222. </w:t>
      </w:r>
      <w:hyperlink r:id="rId27" w:history="1">
        <w:r w:rsidRPr="00BF2A14">
          <w:rPr>
            <w:rStyle w:val="Hyperlink"/>
            <w:rFonts w:ascii="Arial" w:hAnsi="Arial" w:cs="Arial"/>
            <w:sz w:val="20"/>
            <w:szCs w:val="20"/>
            <w:shd w:val="clear" w:color="auto" w:fill="FFFFFF"/>
          </w:rPr>
          <w:t>https://doi.org/10.1038/newbio230220a0</w:t>
        </w:r>
      </w:hyperlink>
    </w:p>
    <w:p w14:paraId="578ECCD7"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Neog, K., Unni, B. G., Dey, S., </w:t>
      </w:r>
      <w:proofErr w:type="spellStart"/>
      <w:r w:rsidRPr="00BF2A14">
        <w:rPr>
          <w:rFonts w:ascii="Arial" w:hAnsi="Arial" w:cs="Arial"/>
          <w:color w:val="222222"/>
          <w:sz w:val="20"/>
          <w:szCs w:val="20"/>
          <w:shd w:val="clear" w:color="auto" w:fill="FFFFFF"/>
        </w:rPr>
        <w:t>Renthlei</w:t>
      </w:r>
      <w:proofErr w:type="spellEnd"/>
      <w:r w:rsidRPr="00BF2A14">
        <w:rPr>
          <w:rFonts w:ascii="Arial" w:hAnsi="Arial" w:cs="Arial"/>
          <w:color w:val="222222"/>
          <w:sz w:val="20"/>
          <w:szCs w:val="20"/>
          <w:shd w:val="clear" w:color="auto" w:fill="FFFFFF"/>
        </w:rPr>
        <w:t xml:space="preserve">, C. Z., Reddy, S. E., Dutta, P. et al. (2014). Studies on the endocrine regulation of reproduction and ultra structure of brain and reproductive organs of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assamensis</w:t>
      </w:r>
      <w:proofErr w:type="spellEnd"/>
      <w:r w:rsidRPr="00BF2A14">
        <w:rPr>
          <w:rFonts w:ascii="Arial" w:hAnsi="Arial" w:cs="Arial"/>
          <w:color w:val="222222"/>
          <w:sz w:val="20"/>
          <w:szCs w:val="20"/>
          <w:shd w:val="clear" w:color="auto" w:fill="FFFFFF"/>
        </w:rPr>
        <w:t xml:space="preserve">, Helfer (Lepidoptera: </w:t>
      </w:r>
      <w:proofErr w:type="spellStart"/>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 World Journal of Pharmacy and Pharmaceutical Sciences,</w:t>
      </w:r>
      <w:r w:rsidRPr="00BF2A14">
        <w:rPr>
          <w:rFonts w:ascii="Arial" w:hAnsi="Arial" w:cs="Arial"/>
          <w:i/>
          <w:iCs/>
          <w:color w:val="222222"/>
          <w:sz w:val="20"/>
          <w:szCs w:val="20"/>
          <w:shd w:val="clear" w:color="auto" w:fill="FFFFFF"/>
        </w:rPr>
        <w:t xml:space="preserve"> </w:t>
      </w:r>
      <w:r w:rsidRPr="00BF2A14">
        <w:rPr>
          <w:rFonts w:ascii="Arial" w:hAnsi="Arial" w:cs="Arial"/>
          <w:iCs/>
          <w:color w:val="222222"/>
          <w:sz w:val="20"/>
          <w:szCs w:val="20"/>
          <w:shd w:val="clear" w:color="auto" w:fill="FFFFFF"/>
        </w:rPr>
        <w:t>3</w:t>
      </w:r>
      <w:r w:rsidRPr="00BF2A14">
        <w:rPr>
          <w:rFonts w:ascii="Arial" w:hAnsi="Arial" w:cs="Arial"/>
          <w:color w:val="222222"/>
          <w:sz w:val="20"/>
          <w:szCs w:val="20"/>
          <w:shd w:val="clear" w:color="auto" w:fill="FFFFFF"/>
        </w:rPr>
        <w:t>(1), 2278-4357.</w:t>
      </w:r>
    </w:p>
    <w:p w14:paraId="1C553058"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lastRenderedPageBreak/>
        <w:t>Gaaboub</w:t>
      </w:r>
      <w:proofErr w:type="spellEnd"/>
      <w:r w:rsidRPr="00BF2A14">
        <w:rPr>
          <w:rFonts w:ascii="Arial" w:hAnsi="Arial" w:cs="Arial"/>
          <w:color w:val="222222"/>
          <w:sz w:val="20"/>
          <w:szCs w:val="20"/>
          <w:shd w:val="clear" w:color="auto" w:fill="FFFFFF"/>
        </w:rPr>
        <w:t xml:space="preserve">, I. A., El-Helaly, M. S., &amp; Mostafa, S. M. (1985). Food utilization, rate of larval growth, and fecundity of </w:t>
      </w:r>
      <w:r w:rsidRPr="00BF2A14">
        <w:rPr>
          <w:rFonts w:ascii="Arial" w:hAnsi="Arial" w:cs="Arial"/>
          <w:i/>
          <w:color w:val="222222"/>
          <w:sz w:val="20"/>
          <w:szCs w:val="20"/>
          <w:shd w:val="clear" w:color="auto" w:fill="FFFFFF"/>
        </w:rPr>
        <w:t>Bombyx mori</w:t>
      </w:r>
      <w:r w:rsidRPr="00BF2A14">
        <w:rPr>
          <w:rFonts w:ascii="Arial" w:hAnsi="Arial" w:cs="Arial"/>
          <w:color w:val="222222"/>
          <w:sz w:val="20"/>
          <w:szCs w:val="20"/>
          <w:shd w:val="clear" w:color="auto" w:fill="FFFFFF"/>
        </w:rPr>
        <w:t xml:space="preserve"> </w:t>
      </w:r>
      <w:proofErr w:type="gramStart"/>
      <w:r w:rsidRPr="00BF2A14">
        <w:rPr>
          <w:rFonts w:ascii="Arial" w:hAnsi="Arial" w:cs="Arial"/>
          <w:color w:val="222222"/>
          <w:sz w:val="20"/>
          <w:szCs w:val="20"/>
          <w:shd w:val="clear" w:color="auto" w:fill="FFFFFF"/>
        </w:rPr>
        <w:t>L.(</w:t>
      </w:r>
      <w:proofErr w:type="gramEnd"/>
      <w:r w:rsidRPr="00BF2A14">
        <w:rPr>
          <w:rFonts w:ascii="Arial" w:hAnsi="Arial" w:cs="Arial"/>
          <w:color w:val="222222"/>
          <w:sz w:val="20"/>
          <w:szCs w:val="20"/>
          <w:shd w:val="clear" w:color="auto" w:fill="FFFFFF"/>
        </w:rPr>
        <w:t xml:space="preserve">Lepidoptera: Bombycidae) fed mulberry leaves treated with </w:t>
      </w:r>
      <w:proofErr w:type="spellStart"/>
      <w:r w:rsidRPr="00BF2A14">
        <w:rPr>
          <w:rFonts w:ascii="Arial" w:hAnsi="Arial" w:cs="Arial"/>
          <w:color w:val="222222"/>
          <w:sz w:val="20"/>
          <w:szCs w:val="20"/>
          <w:shd w:val="clear" w:color="auto" w:fill="FFFFFF"/>
        </w:rPr>
        <w:t>methoprene</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triprene</w:t>
      </w:r>
      <w:proofErr w:type="spellEnd"/>
      <w:r w:rsidRPr="00BF2A14">
        <w:rPr>
          <w:rFonts w:ascii="Arial" w:hAnsi="Arial" w:cs="Arial"/>
          <w:color w:val="222222"/>
          <w:sz w:val="20"/>
          <w:szCs w:val="20"/>
          <w:shd w:val="clear" w:color="auto" w:fill="FFFFFF"/>
        </w:rPr>
        <w:t>, and diflubenzuron. </w:t>
      </w:r>
      <w:r w:rsidRPr="00BF2A14">
        <w:rPr>
          <w:rFonts w:ascii="Arial" w:hAnsi="Arial" w:cs="Arial"/>
          <w:iCs/>
          <w:color w:val="222222"/>
          <w:sz w:val="20"/>
          <w:szCs w:val="20"/>
          <w:shd w:val="clear" w:color="auto" w:fill="FFFFFF"/>
        </w:rPr>
        <w:t>Journal of economic entomology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78</w:t>
      </w:r>
      <w:r w:rsidRPr="00BF2A14">
        <w:rPr>
          <w:rFonts w:ascii="Arial" w:hAnsi="Arial" w:cs="Arial"/>
          <w:color w:val="222222"/>
          <w:sz w:val="20"/>
          <w:szCs w:val="20"/>
          <w:shd w:val="clear" w:color="auto" w:fill="FFFFFF"/>
        </w:rPr>
        <w:t>(6), 1182-1186.</w:t>
      </w:r>
      <w:r w:rsidRPr="00BF2A14">
        <w:rPr>
          <w:rFonts w:ascii="Arial" w:hAnsi="Arial" w:cs="Arial"/>
          <w:sz w:val="20"/>
          <w:szCs w:val="20"/>
        </w:rPr>
        <w:t xml:space="preserve"> </w:t>
      </w:r>
      <w:hyperlink r:id="rId28" w:history="1">
        <w:r w:rsidRPr="00BF2A14">
          <w:rPr>
            <w:rStyle w:val="Hyperlink"/>
            <w:rFonts w:ascii="Arial" w:hAnsi="Arial" w:cs="Arial"/>
            <w:sz w:val="20"/>
            <w:szCs w:val="20"/>
            <w:shd w:val="clear" w:color="auto" w:fill="FFFFFF"/>
          </w:rPr>
          <w:t>https://doi.org/10.1093/jee/78.6.1182</w:t>
        </w:r>
      </w:hyperlink>
    </w:p>
    <w:p w14:paraId="0B2C6A73"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Ye </w:t>
      </w:r>
      <w:proofErr w:type="spellStart"/>
      <w:r w:rsidRPr="00BF2A14">
        <w:rPr>
          <w:rFonts w:ascii="Arial" w:hAnsi="Arial" w:cs="Arial"/>
          <w:color w:val="222222"/>
          <w:sz w:val="20"/>
          <w:szCs w:val="20"/>
          <w:shd w:val="clear" w:color="auto" w:fill="FFFFFF"/>
        </w:rPr>
        <w:t>GongYin</w:t>
      </w:r>
      <w:proofErr w:type="spellEnd"/>
      <w:r w:rsidRPr="00BF2A14">
        <w:rPr>
          <w:rFonts w:ascii="Arial" w:hAnsi="Arial" w:cs="Arial"/>
          <w:color w:val="222222"/>
          <w:sz w:val="20"/>
          <w:szCs w:val="20"/>
          <w:shd w:val="clear" w:color="auto" w:fill="FFFFFF"/>
        </w:rPr>
        <w:t xml:space="preserve">, Y. G., Hu Cui, H. C., &amp; Gong He, G. H. (1999). Effects of juvenile hormone and </w:t>
      </w:r>
      <w:proofErr w:type="spellStart"/>
      <w:r w:rsidRPr="00BF2A14">
        <w:rPr>
          <w:rFonts w:ascii="Arial" w:hAnsi="Arial" w:cs="Arial"/>
          <w:color w:val="222222"/>
          <w:sz w:val="20"/>
          <w:szCs w:val="20"/>
          <w:shd w:val="clear" w:color="auto" w:fill="FFFFFF"/>
        </w:rPr>
        <w:t>ecdysteroid</w:t>
      </w:r>
      <w:proofErr w:type="spellEnd"/>
      <w:r w:rsidRPr="00BF2A14">
        <w:rPr>
          <w:rFonts w:ascii="Arial" w:hAnsi="Arial" w:cs="Arial"/>
          <w:color w:val="222222"/>
          <w:sz w:val="20"/>
          <w:szCs w:val="20"/>
          <w:shd w:val="clear" w:color="auto" w:fill="FFFFFF"/>
        </w:rPr>
        <w:t xml:space="preserve"> on ovarian development of the Japanese oak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yamamai</w:t>
      </w:r>
      <w:proofErr w:type="spellEnd"/>
      <w:r w:rsidRPr="00BF2A14">
        <w:rPr>
          <w:rFonts w:ascii="Arial" w:hAnsi="Arial" w:cs="Arial"/>
          <w:color w:val="222222"/>
          <w:sz w:val="20"/>
          <w:szCs w:val="20"/>
          <w:shd w:val="clear" w:color="auto" w:fill="FFFFFF"/>
        </w:rPr>
        <w:t>. Journal of Zhejiang Agricultural University, 25(3), 276-280.</w:t>
      </w:r>
    </w:p>
    <w:p w14:paraId="41FC8662"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Changamma</w:t>
      </w:r>
      <w:proofErr w:type="spellEnd"/>
      <w:r w:rsidRPr="00BF2A14">
        <w:rPr>
          <w:rFonts w:ascii="Arial" w:hAnsi="Arial" w:cs="Arial"/>
          <w:color w:val="222222"/>
          <w:sz w:val="20"/>
          <w:szCs w:val="20"/>
          <w:shd w:val="clear" w:color="auto" w:fill="FFFFFF"/>
        </w:rPr>
        <w:t xml:space="preserve">, C., Rajasekhar, R., &amp; </w:t>
      </w:r>
      <w:proofErr w:type="spellStart"/>
      <w:r w:rsidRPr="00BF2A14">
        <w:rPr>
          <w:rFonts w:ascii="Arial" w:hAnsi="Arial" w:cs="Arial"/>
          <w:color w:val="222222"/>
          <w:sz w:val="20"/>
          <w:szCs w:val="20"/>
          <w:shd w:val="clear" w:color="auto" w:fill="FFFFFF"/>
        </w:rPr>
        <w:t>Govindappa</w:t>
      </w:r>
      <w:proofErr w:type="spellEnd"/>
      <w:r w:rsidRPr="00BF2A14">
        <w:rPr>
          <w:rFonts w:ascii="Arial" w:hAnsi="Arial" w:cs="Arial"/>
          <w:color w:val="222222"/>
          <w:sz w:val="20"/>
          <w:szCs w:val="20"/>
          <w:shd w:val="clear" w:color="auto" w:fill="FFFFFF"/>
        </w:rPr>
        <w:t xml:space="preserve">, S. (2000). Influence of </w:t>
      </w:r>
      <w:proofErr w:type="spellStart"/>
      <w:r w:rsidRPr="00BF2A14">
        <w:rPr>
          <w:rFonts w:ascii="Arial" w:hAnsi="Arial" w:cs="Arial"/>
          <w:color w:val="222222"/>
          <w:sz w:val="20"/>
          <w:szCs w:val="20"/>
          <w:shd w:val="clear" w:color="auto" w:fill="FFFFFF"/>
        </w:rPr>
        <w:t>methoprene</w:t>
      </w:r>
      <w:proofErr w:type="spellEnd"/>
      <w:r w:rsidRPr="00BF2A14">
        <w:rPr>
          <w:rFonts w:ascii="Arial" w:hAnsi="Arial" w:cs="Arial"/>
          <w:color w:val="222222"/>
          <w:sz w:val="20"/>
          <w:szCs w:val="20"/>
          <w:shd w:val="clear" w:color="auto" w:fill="FFFFFF"/>
        </w:rPr>
        <w:t xml:space="preserve"> on </w:t>
      </w:r>
      <w:r w:rsidRPr="00BF2A14">
        <w:rPr>
          <w:rFonts w:ascii="Arial" w:hAnsi="Arial" w:cs="Arial"/>
          <w:i/>
          <w:color w:val="222222"/>
          <w:sz w:val="20"/>
          <w:szCs w:val="20"/>
          <w:shd w:val="clear" w:color="auto" w:fill="FFFFFF"/>
        </w:rPr>
        <w:t>Bombyx mori</w:t>
      </w:r>
      <w:r w:rsidRPr="00BF2A14">
        <w:rPr>
          <w:rFonts w:ascii="Arial" w:hAnsi="Arial" w:cs="Arial"/>
          <w:color w:val="222222"/>
          <w:sz w:val="20"/>
          <w:szCs w:val="20"/>
          <w:shd w:val="clear" w:color="auto" w:fill="FFFFFF"/>
        </w:rPr>
        <w:t xml:space="preserve"> (L.). Indian Journal of Sericulture, 39(2), 135-138.</w:t>
      </w:r>
    </w:p>
    <w:p w14:paraId="0FBC37D2"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Miranda, J. E., Bortoli, S. A. D., &amp; Takahashi, R. (2002). Development and silk production by silkworm larvae after topical application of </w:t>
      </w:r>
      <w:proofErr w:type="spellStart"/>
      <w:r w:rsidRPr="00BF2A14">
        <w:rPr>
          <w:rFonts w:ascii="Arial" w:hAnsi="Arial" w:cs="Arial"/>
          <w:color w:val="222222"/>
          <w:sz w:val="20"/>
          <w:szCs w:val="20"/>
          <w:shd w:val="clear" w:color="auto" w:fill="FFFFFF"/>
        </w:rPr>
        <w:t>methoprene</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Scientia Agricola</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59</w:t>
      </w:r>
      <w:r w:rsidRPr="00BF2A14">
        <w:rPr>
          <w:rFonts w:ascii="Arial" w:hAnsi="Arial" w:cs="Arial"/>
          <w:color w:val="222222"/>
          <w:sz w:val="20"/>
          <w:szCs w:val="20"/>
          <w:shd w:val="clear" w:color="auto" w:fill="FFFFFF"/>
        </w:rPr>
        <w:t>, 585-588.</w:t>
      </w:r>
      <w:r w:rsidRPr="00BF2A14">
        <w:rPr>
          <w:rFonts w:ascii="Arial" w:hAnsi="Arial" w:cs="Arial"/>
          <w:sz w:val="20"/>
          <w:szCs w:val="20"/>
        </w:rPr>
        <w:t xml:space="preserve"> </w:t>
      </w:r>
      <w:hyperlink r:id="rId29" w:history="1">
        <w:r w:rsidRPr="00BF2A14">
          <w:rPr>
            <w:rStyle w:val="Hyperlink"/>
            <w:rFonts w:ascii="Arial" w:hAnsi="Arial" w:cs="Arial"/>
            <w:sz w:val="20"/>
            <w:szCs w:val="20"/>
            <w:shd w:val="clear" w:color="auto" w:fill="FFFFFF"/>
          </w:rPr>
          <w:t>https://doi.org/10.1590/S0103-90162002000300026</w:t>
        </w:r>
      </w:hyperlink>
    </w:p>
    <w:p w14:paraId="42B61B13" w14:textId="77777777" w:rsidR="00401A7D" w:rsidRPr="00BF2A14" w:rsidRDefault="00401A7D" w:rsidP="00BF2A14">
      <w:pPr>
        <w:pStyle w:val="ListParagraph"/>
        <w:numPr>
          <w:ilvl w:val="0"/>
          <w:numId w:val="2"/>
        </w:numPr>
        <w:ind w:left="284" w:hanging="284"/>
        <w:jc w:val="both"/>
        <w:rPr>
          <w:rFonts w:ascii="Arial" w:hAnsi="Arial" w:cs="Arial"/>
          <w:sz w:val="20"/>
          <w:szCs w:val="20"/>
        </w:rPr>
      </w:pPr>
      <w:r w:rsidRPr="00BF2A14">
        <w:rPr>
          <w:rFonts w:ascii="Arial" w:hAnsi="Arial" w:cs="Arial"/>
          <w:color w:val="222222"/>
          <w:sz w:val="20"/>
          <w:szCs w:val="20"/>
          <w:shd w:val="clear" w:color="auto" w:fill="FFFFFF"/>
        </w:rPr>
        <w:t xml:space="preserve">Neog, K., Dutta, P., Choudhury, B., &amp; Singh, B. K. (2017). Field efficacy of </w:t>
      </w:r>
      <w:proofErr w:type="spellStart"/>
      <w:r w:rsidRPr="00BF2A14">
        <w:rPr>
          <w:rFonts w:ascii="Arial" w:hAnsi="Arial" w:cs="Arial"/>
          <w:color w:val="222222"/>
          <w:sz w:val="20"/>
          <w:szCs w:val="20"/>
          <w:shd w:val="clear" w:color="auto" w:fill="FFFFFF"/>
        </w:rPr>
        <w:t>methoprene</w:t>
      </w:r>
      <w:proofErr w:type="spellEnd"/>
      <w:r w:rsidRPr="00BF2A14">
        <w:rPr>
          <w:rFonts w:ascii="Arial" w:hAnsi="Arial" w:cs="Arial"/>
          <w:color w:val="222222"/>
          <w:sz w:val="20"/>
          <w:szCs w:val="20"/>
          <w:shd w:val="clear" w:color="auto" w:fill="FFFFFF"/>
        </w:rPr>
        <w:t xml:space="preserve">, a juvenile hormone analogue, on growth, cocoon characters and fecundity of the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assamensis</w:t>
      </w:r>
      <w:proofErr w:type="spellEnd"/>
      <w:r w:rsidRPr="00BF2A14">
        <w:rPr>
          <w:rFonts w:ascii="Arial" w:hAnsi="Arial" w:cs="Arial"/>
          <w:color w:val="222222"/>
          <w:sz w:val="20"/>
          <w:szCs w:val="20"/>
          <w:shd w:val="clear" w:color="auto" w:fill="FFFFFF"/>
        </w:rPr>
        <w:t xml:space="preserve"> Helfer (Lepidoptera: </w:t>
      </w:r>
      <w:proofErr w:type="spellStart"/>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 xml:space="preserve">). </w:t>
      </w:r>
      <w:r w:rsidRPr="00BF2A14">
        <w:rPr>
          <w:rFonts w:ascii="Arial" w:hAnsi="Arial" w:cs="Arial"/>
          <w:sz w:val="20"/>
          <w:szCs w:val="20"/>
        </w:rPr>
        <w:t xml:space="preserve">International Journal of Agricultural Policy and Research, 5(10), 145-156. </w:t>
      </w:r>
      <w:hyperlink r:id="rId30" w:history="1">
        <w:r w:rsidRPr="00BF2A14">
          <w:rPr>
            <w:rStyle w:val="Hyperlink"/>
            <w:rFonts w:ascii="Arial" w:hAnsi="Arial" w:cs="Arial"/>
            <w:sz w:val="20"/>
            <w:szCs w:val="20"/>
          </w:rPr>
          <w:t>https://doi.org/10.15739/IJAPR.17.017</w:t>
        </w:r>
      </w:hyperlink>
    </w:p>
    <w:p w14:paraId="5F39930C" w14:textId="77777777" w:rsidR="00401A7D" w:rsidRPr="00BF2A14" w:rsidRDefault="00401A7D" w:rsidP="00BF2A14">
      <w:pPr>
        <w:pStyle w:val="ListParagraph"/>
        <w:numPr>
          <w:ilvl w:val="0"/>
          <w:numId w:val="2"/>
        </w:numPr>
        <w:ind w:left="284" w:hanging="284"/>
        <w:jc w:val="both"/>
        <w:rPr>
          <w:rFonts w:ascii="Arial" w:hAnsi="Arial" w:cs="Arial"/>
          <w:sz w:val="20"/>
          <w:szCs w:val="20"/>
        </w:rPr>
      </w:pPr>
      <w:r w:rsidRPr="00BF2A14">
        <w:rPr>
          <w:rFonts w:ascii="Arial" w:hAnsi="Arial" w:cs="Arial"/>
          <w:color w:val="222222"/>
          <w:sz w:val="20"/>
          <w:szCs w:val="20"/>
          <w:shd w:val="clear" w:color="auto" w:fill="FFFFFF"/>
        </w:rPr>
        <w:t>Odum, E. P. (1983). Basic Ecology, Holt-Saunders International Editions. </w:t>
      </w:r>
      <w:r w:rsidRPr="00BF2A14">
        <w:rPr>
          <w:rFonts w:ascii="Arial" w:hAnsi="Arial" w:cs="Arial"/>
          <w:sz w:val="20"/>
          <w:szCs w:val="20"/>
        </w:rPr>
        <w:t xml:space="preserve"> Tokyo Japan, p.244.</w:t>
      </w:r>
    </w:p>
    <w:p w14:paraId="3ECB29D2"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Ouedraogo, P. A., Sou, S., Sanon, A., Monge, J. P., </w:t>
      </w:r>
      <w:proofErr w:type="spellStart"/>
      <w:r w:rsidRPr="00BF2A14">
        <w:rPr>
          <w:rFonts w:ascii="Arial" w:hAnsi="Arial" w:cs="Arial"/>
          <w:color w:val="222222"/>
          <w:sz w:val="20"/>
          <w:szCs w:val="20"/>
          <w:shd w:val="clear" w:color="auto" w:fill="FFFFFF"/>
        </w:rPr>
        <w:t>Huignard</w:t>
      </w:r>
      <w:proofErr w:type="spellEnd"/>
      <w:r w:rsidRPr="00BF2A14">
        <w:rPr>
          <w:rFonts w:ascii="Arial" w:hAnsi="Arial" w:cs="Arial"/>
          <w:color w:val="222222"/>
          <w:sz w:val="20"/>
          <w:szCs w:val="20"/>
          <w:shd w:val="clear" w:color="auto" w:fill="FFFFFF"/>
        </w:rPr>
        <w:t xml:space="preserve">, J., Tran, B. E., &amp; </w:t>
      </w:r>
      <w:proofErr w:type="spellStart"/>
      <w:r w:rsidRPr="00BF2A14">
        <w:rPr>
          <w:rFonts w:ascii="Arial" w:hAnsi="Arial" w:cs="Arial"/>
          <w:color w:val="222222"/>
          <w:sz w:val="20"/>
          <w:szCs w:val="20"/>
          <w:shd w:val="clear" w:color="auto" w:fill="FFFFFF"/>
        </w:rPr>
        <w:t>Credland</w:t>
      </w:r>
      <w:proofErr w:type="spellEnd"/>
      <w:r w:rsidRPr="00BF2A14">
        <w:rPr>
          <w:rFonts w:ascii="Arial" w:hAnsi="Arial" w:cs="Arial"/>
          <w:color w:val="222222"/>
          <w:sz w:val="20"/>
          <w:szCs w:val="20"/>
          <w:shd w:val="clear" w:color="auto" w:fill="FFFFFF"/>
        </w:rPr>
        <w:t xml:space="preserve">, P. F. (1996). Influence of temperature and humidity on populations of </w:t>
      </w:r>
      <w:proofErr w:type="spellStart"/>
      <w:r w:rsidRPr="00BF2A14">
        <w:rPr>
          <w:rFonts w:ascii="Arial" w:hAnsi="Arial" w:cs="Arial"/>
          <w:i/>
          <w:color w:val="222222"/>
          <w:sz w:val="20"/>
          <w:szCs w:val="20"/>
          <w:shd w:val="clear" w:color="auto" w:fill="FFFFFF"/>
        </w:rPr>
        <w:t>Callosobruchus</w:t>
      </w:r>
      <w:proofErr w:type="spellEnd"/>
      <w:r w:rsidRPr="00BF2A14">
        <w:rPr>
          <w:rFonts w:ascii="Arial" w:hAnsi="Arial" w:cs="Arial"/>
          <w:i/>
          <w:color w:val="222222"/>
          <w:sz w:val="20"/>
          <w:szCs w:val="20"/>
          <w:shd w:val="clear" w:color="auto" w:fill="FFFFFF"/>
        </w:rPr>
        <w:t xml:space="preserve"> maculatus</w:t>
      </w:r>
      <w:r w:rsidRPr="00BF2A14">
        <w:rPr>
          <w:rFonts w:ascii="Arial" w:hAnsi="Arial" w:cs="Arial"/>
          <w:color w:val="222222"/>
          <w:sz w:val="20"/>
          <w:szCs w:val="20"/>
          <w:shd w:val="clear" w:color="auto" w:fill="FFFFFF"/>
        </w:rPr>
        <w:t xml:space="preserve"> (Coleoptera: </w:t>
      </w:r>
      <w:proofErr w:type="spellStart"/>
      <w:r w:rsidRPr="00BF2A14">
        <w:rPr>
          <w:rFonts w:ascii="Arial" w:hAnsi="Arial" w:cs="Arial"/>
          <w:color w:val="222222"/>
          <w:sz w:val="20"/>
          <w:szCs w:val="20"/>
          <w:shd w:val="clear" w:color="auto" w:fill="FFFFFF"/>
        </w:rPr>
        <w:t>Bruchidae</w:t>
      </w:r>
      <w:proofErr w:type="spellEnd"/>
      <w:r w:rsidRPr="00BF2A14">
        <w:rPr>
          <w:rFonts w:ascii="Arial" w:hAnsi="Arial" w:cs="Arial"/>
          <w:color w:val="222222"/>
          <w:sz w:val="20"/>
          <w:szCs w:val="20"/>
          <w:shd w:val="clear" w:color="auto" w:fill="FFFFFF"/>
        </w:rPr>
        <w:t xml:space="preserve">) and its parasitoid </w:t>
      </w:r>
      <w:proofErr w:type="spellStart"/>
      <w:r w:rsidRPr="00BF2A14">
        <w:rPr>
          <w:rFonts w:ascii="Arial" w:hAnsi="Arial" w:cs="Arial"/>
          <w:i/>
          <w:color w:val="222222"/>
          <w:sz w:val="20"/>
          <w:szCs w:val="20"/>
          <w:shd w:val="clear" w:color="auto" w:fill="FFFFFF"/>
        </w:rPr>
        <w:t>Dinarmus</w:t>
      </w:r>
      <w:proofErr w:type="spellEnd"/>
      <w:r w:rsidRPr="00BF2A14">
        <w:rPr>
          <w:rFonts w:ascii="Arial" w:hAnsi="Arial" w:cs="Arial"/>
          <w:i/>
          <w:color w:val="222222"/>
          <w:sz w:val="20"/>
          <w:szCs w:val="20"/>
          <w:shd w:val="clear" w:color="auto" w:fill="FFFFFF"/>
        </w:rPr>
        <w:t xml:space="preserve"> basalis</w:t>
      </w:r>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Pteromalidae</w:t>
      </w:r>
      <w:proofErr w:type="spellEnd"/>
      <w:r w:rsidRPr="00BF2A14">
        <w:rPr>
          <w:rFonts w:ascii="Arial" w:hAnsi="Arial" w:cs="Arial"/>
          <w:color w:val="222222"/>
          <w:sz w:val="20"/>
          <w:szCs w:val="20"/>
          <w:shd w:val="clear" w:color="auto" w:fill="FFFFFF"/>
        </w:rPr>
        <w:t>) in two climatic zones of Burkina Faso. </w:t>
      </w:r>
      <w:r w:rsidRPr="00BF2A14">
        <w:rPr>
          <w:rFonts w:ascii="Arial" w:hAnsi="Arial" w:cs="Arial"/>
          <w:iCs/>
          <w:color w:val="222222"/>
          <w:sz w:val="20"/>
          <w:szCs w:val="20"/>
          <w:shd w:val="clear" w:color="auto" w:fill="FFFFFF"/>
        </w:rPr>
        <w:t>Bulletin of entomological research</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86</w:t>
      </w:r>
      <w:r w:rsidRPr="00BF2A14">
        <w:rPr>
          <w:rFonts w:ascii="Arial" w:hAnsi="Arial" w:cs="Arial"/>
          <w:color w:val="222222"/>
          <w:sz w:val="20"/>
          <w:szCs w:val="20"/>
          <w:shd w:val="clear" w:color="auto" w:fill="FFFFFF"/>
        </w:rPr>
        <w:t>(6), 695-702.</w:t>
      </w:r>
      <w:r w:rsidRPr="00BF2A14">
        <w:rPr>
          <w:rFonts w:ascii="Arial" w:hAnsi="Arial" w:cs="Arial"/>
          <w:sz w:val="20"/>
          <w:szCs w:val="20"/>
        </w:rPr>
        <w:t xml:space="preserve"> </w:t>
      </w:r>
      <w:hyperlink r:id="rId31" w:history="1">
        <w:r w:rsidRPr="00BF2A14">
          <w:rPr>
            <w:rStyle w:val="Hyperlink"/>
            <w:rFonts w:ascii="Arial" w:hAnsi="Arial" w:cs="Arial"/>
            <w:sz w:val="20"/>
            <w:szCs w:val="20"/>
            <w:shd w:val="clear" w:color="auto" w:fill="FFFFFF"/>
          </w:rPr>
          <w:t>https://doi.org/10.1017/S0007485300039213</w:t>
        </w:r>
      </w:hyperlink>
    </w:p>
    <w:p w14:paraId="13103DCD"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Thangavelu, A., Chakraborty, A. K., &amp; </w:t>
      </w:r>
      <w:proofErr w:type="spellStart"/>
      <w:r w:rsidRPr="00BF2A14">
        <w:rPr>
          <w:rFonts w:ascii="Arial" w:hAnsi="Arial" w:cs="Arial"/>
          <w:color w:val="222222"/>
          <w:sz w:val="20"/>
          <w:szCs w:val="20"/>
          <w:shd w:val="clear" w:color="auto" w:fill="FFFFFF"/>
        </w:rPr>
        <w:t>Bhagowati</w:t>
      </w:r>
      <w:proofErr w:type="spellEnd"/>
      <w:r w:rsidRPr="00BF2A14">
        <w:rPr>
          <w:rFonts w:ascii="Arial" w:hAnsi="Arial" w:cs="Arial"/>
          <w:color w:val="222222"/>
          <w:sz w:val="20"/>
          <w:szCs w:val="20"/>
          <w:shd w:val="clear" w:color="auto" w:fill="FFFFFF"/>
        </w:rPr>
        <w:t>, A. K. (1988). Handbook of Sericulture. </w:t>
      </w:r>
      <w:r w:rsidRPr="00BF2A14">
        <w:rPr>
          <w:rFonts w:ascii="Arial" w:hAnsi="Arial" w:cs="Arial"/>
          <w:i/>
          <w:iCs/>
          <w:color w:val="222222"/>
          <w:sz w:val="20"/>
          <w:szCs w:val="20"/>
          <w:shd w:val="clear" w:color="auto" w:fill="FFFFFF"/>
        </w:rPr>
        <w:t>Member Secretary, Central Silk Board, United Mansion</w:t>
      </w:r>
      <w:r w:rsidRPr="00BF2A14">
        <w:rPr>
          <w:rFonts w:ascii="Arial" w:hAnsi="Arial" w:cs="Arial"/>
          <w:color w:val="222222"/>
          <w:sz w:val="20"/>
          <w:szCs w:val="20"/>
          <w:shd w:val="clear" w:color="auto" w:fill="FFFFFF"/>
        </w:rPr>
        <w:t>, </w:t>
      </w:r>
      <w:r w:rsidRPr="00BF2A14">
        <w:rPr>
          <w:rFonts w:ascii="Arial" w:hAnsi="Arial" w:cs="Arial"/>
          <w:i/>
          <w:iCs/>
          <w:color w:val="222222"/>
          <w:sz w:val="20"/>
          <w:szCs w:val="20"/>
          <w:shd w:val="clear" w:color="auto" w:fill="FFFFFF"/>
        </w:rPr>
        <w:t>39</w:t>
      </w:r>
      <w:r w:rsidRPr="00BF2A14">
        <w:rPr>
          <w:rFonts w:ascii="Arial" w:hAnsi="Arial" w:cs="Arial"/>
          <w:color w:val="222222"/>
          <w:sz w:val="20"/>
          <w:szCs w:val="20"/>
          <w:shd w:val="clear" w:color="auto" w:fill="FFFFFF"/>
        </w:rPr>
        <w:t>, 58.</w:t>
      </w:r>
    </w:p>
    <w:p w14:paraId="711F9326"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Sarkar, B. N., &amp; Sarmah, M. C. (2010). Seasonal variation of </w:t>
      </w:r>
      <w:proofErr w:type="spellStart"/>
      <w:r w:rsidRPr="00BF2A14">
        <w:rPr>
          <w:rFonts w:ascii="Arial" w:hAnsi="Arial" w:cs="Arial"/>
          <w:color w:val="222222"/>
          <w:sz w:val="20"/>
          <w:szCs w:val="20"/>
          <w:shd w:val="clear" w:color="auto" w:fill="FFFFFF"/>
        </w:rPr>
        <w:t>grainage</w:t>
      </w:r>
      <w:proofErr w:type="spellEnd"/>
      <w:r w:rsidRPr="00BF2A14">
        <w:rPr>
          <w:rFonts w:ascii="Arial" w:hAnsi="Arial" w:cs="Arial"/>
          <w:color w:val="222222"/>
          <w:sz w:val="20"/>
          <w:szCs w:val="20"/>
          <w:shd w:val="clear" w:color="auto" w:fill="FFFFFF"/>
        </w:rPr>
        <w:t xml:space="preserve"> characters in seed production of </w:t>
      </w:r>
      <w:proofErr w:type="spellStart"/>
      <w:r w:rsidRPr="00BF2A14">
        <w:rPr>
          <w:rFonts w:ascii="Arial" w:hAnsi="Arial" w:cs="Arial"/>
          <w:color w:val="222222"/>
          <w:sz w:val="20"/>
          <w:szCs w:val="20"/>
          <w:shd w:val="clear" w:color="auto" w:fill="FFFFFF"/>
        </w:rPr>
        <w:t>eri</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Samia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ricini</w:t>
      </w:r>
      <w:proofErr w:type="spellEnd"/>
      <w:r w:rsidRPr="00BF2A14">
        <w:rPr>
          <w:rFonts w:ascii="Arial" w:hAnsi="Arial" w:cs="Arial"/>
          <w:i/>
          <w:color w:val="222222"/>
          <w:sz w:val="20"/>
          <w:szCs w:val="20"/>
          <w:shd w:val="clear" w:color="auto" w:fill="FFFFFF"/>
        </w:rPr>
        <w:t xml:space="preserve"> </w:t>
      </w:r>
      <w:r w:rsidRPr="00BF2A14">
        <w:rPr>
          <w:rFonts w:ascii="Arial" w:hAnsi="Arial" w:cs="Arial"/>
          <w:color w:val="222222"/>
          <w:sz w:val="20"/>
          <w:szCs w:val="20"/>
          <w:shd w:val="clear" w:color="auto" w:fill="FFFFFF"/>
        </w:rPr>
        <w:t>(Donovan). Indian Journal of Sericulture, 49(1), 88-91.</w:t>
      </w:r>
    </w:p>
    <w:p w14:paraId="635D030D"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Sharma, P., &amp; Kalita, J. C. (2017). A Comparative Study on the Rearing Performance of Six Strains of Eri Silk Worm </w:t>
      </w:r>
      <w:proofErr w:type="spellStart"/>
      <w:r w:rsidRPr="00BF2A14">
        <w:rPr>
          <w:rFonts w:ascii="Arial" w:hAnsi="Arial" w:cs="Arial"/>
          <w:i/>
          <w:color w:val="222222"/>
          <w:sz w:val="20"/>
          <w:szCs w:val="20"/>
          <w:shd w:val="clear" w:color="auto" w:fill="FFFFFF"/>
        </w:rPr>
        <w:t>Samia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Ricini</w:t>
      </w:r>
      <w:proofErr w:type="spellEnd"/>
      <w:r w:rsidRPr="00BF2A14">
        <w:rPr>
          <w:rFonts w:ascii="Arial" w:hAnsi="Arial" w:cs="Arial"/>
          <w:color w:val="222222"/>
          <w:sz w:val="20"/>
          <w:szCs w:val="20"/>
          <w:shd w:val="clear" w:color="auto" w:fill="FFFFFF"/>
        </w:rPr>
        <w:t>, Donovan in Four Different Seasons. </w:t>
      </w:r>
      <w:r w:rsidRPr="00BF2A14">
        <w:rPr>
          <w:rFonts w:ascii="Arial" w:hAnsi="Arial" w:cs="Arial"/>
          <w:iCs/>
          <w:color w:val="222222"/>
          <w:sz w:val="20"/>
          <w:szCs w:val="20"/>
          <w:shd w:val="clear" w:color="auto" w:fill="FFFFFF"/>
        </w:rPr>
        <w:t>IOSR Journal of Pharmacy and Biological Sciences</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12</w:t>
      </w:r>
      <w:r w:rsidRPr="00BF2A14">
        <w:rPr>
          <w:rFonts w:ascii="Arial" w:hAnsi="Arial" w:cs="Arial"/>
          <w:color w:val="222222"/>
          <w:sz w:val="20"/>
          <w:szCs w:val="20"/>
          <w:shd w:val="clear" w:color="auto" w:fill="FFFFFF"/>
        </w:rPr>
        <w:t xml:space="preserve">(03), 13-18. </w:t>
      </w:r>
      <w:hyperlink r:id="rId32" w:history="1">
        <w:r w:rsidRPr="00BF2A14">
          <w:rPr>
            <w:rStyle w:val="Hyperlink"/>
            <w:rFonts w:ascii="Arial" w:hAnsi="Arial" w:cs="Arial"/>
            <w:sz w:val="20"/>
            <w:szCs w:val="20"/>
            <w:shd w:val="clear" w:color="auto" w:fill="FFFFFF"/>
          </w:rPr>
          <w:t>http://dx.doi.org/10.9790/3008-1203051318</w:t>
        </w:r>
      </w:hyperlink>
    </w:p>
    <w:p w14:paraId="024AF972"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Deka, M., Dutta, S., &amp; Devi, D. (2011). Impact of Feeding of </w:t>
      </w:r>
      <w:proofErr w:type="spellStart"/>
      <w:r w:rsidRPr="00BF2A14">
        <w:rPr>
          <w:rFonts w:ascii="Arial" w:hAnsi="Arial" w:cs="Arial"/>
          <w:i/>
          <w:color w:val="222222"/>
          <w:sz w:val="20"/>
          <w:szCs w:val="20"/>
          <w:shd w:val="clear" w:color="auto" w:fill="FFFFFF"/>
        </w:rPr>
        <w:t>Samia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cynthia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ricini</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Boisduval</w:t>
      </w:r>
      <w:proofErr w:type="spellEnd"/>
      <w:r w:rsidRPr="00BF2A14">
        <w:rPr>
          <w:rFonts w:ascii="Arial" w:hAnsi="Arial" w:cs="Arial"/>
          <w:color w:val="222222"/>
          <w:sz w:val="20"/>
          <w:szCs w:val="20"/>
          <w:shd w:val="clear" w:color="auto" w:fill="FFFFFF"/>
        </w:rPr>
        <w:t xml:space="preserve"> (red </w:t>
      </w:r>
      <w:proofErr w:type="gramStart"/>
      <w:r w:rsidRPr="00BF2A14">
        <w:rPr>
          <w:rFonts w:ascii="Arial" w:hAnsi="Arial" w:cs="Arial"/>
          <w:color w:val="222222"/>
          <w:sz w:val="20"/>
          <w:szCs w:val="20"/>
          <w:shd w:val="clear" w:color="auto" w:fill="FFFFFF"/>
        </w:rPr>
        <w:t>variety)(</w:t>
      </w:r>
      <w:proofErr w:type="spellStart"/>
      <w:proofErr w:type="gramEnd"/>
      <w:r w:rsidRPr="00BF2A14">
        <w:rPr>
          <w:rFonts w:ascii="Arial" w:hAnsi="Arial" w:cs="Arial"/>
          <w:color w:val="222222"/>
          <w:sz w:val="20"/>
          <w:szCs w:val="20"/>
          <w:shd w:val="clear" w:color="auto" w:fill="FFFFFF"/>
        </w:rPr>
        <w:t>Lepidopera</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Saturnidae</w:t>
      </w:r>
      <w:proofErr w:type="spellEnd"/>
      <w:r w:rsidRPr="00BF2A14">
        <w:rPr>
          <w:rFonts w:ascii="Arial" w:hAnsi="Arial" w:cs="Arial"/>
          <w:color w:val="222222"/>
          <w:sz w:val="20"/>
          <w:szCs w:val="20"/>
          <w:shd w:val="clear" w:color="auto" w:fill="FFFFFF"/>
        </w:rPr>
        <w:t>) in Respect of Larval Growth and Spinning. </w:t>
      </w:r>
      <w:r w:rsidRPr="00BF2A14">
        <w:rPr>
          <w:rFonts w:ascii="Arial" w:hAnsi="Arial" w:cs="Arial"/>
          <w:iCs/>
          <w:color w:val="222222"/>
          <w:sz w:val="20"/>
          <w:szCs w:val="20"/>
          <w:shd w:val="clear" w:color="auto" w:fill="FFFFFF"/>
        </w:rPr>
        <w:t>International Journal of Pure &amp; Applied Sciences &amp; Technology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5</w:t>
      </w:r>
      <w:r w:rsidRPr="00BF2A14">
        <w:rPr>
          <w:rFonts w:ascii="Arial" w:hAnsi="Arial" w:cs="Arial"/>
          <w:color w:val="222222"/>
          <w:sz w:val="20"/>
          <w:szCs w:val="20"/>
          <w:shd w:val="clear" w:color="auto" w:fill="FFFFFF"/>
        </w:rPr>
        <w:t>(2), 131.</w:t>
      </w:r>
    </w:p>
    <w:p w14:paraId="11503739"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Majumdar, M., Kumar, V., Guha, L., Singh, A., </w:t>
      </w:r>
      <w:proofErr w:type="spellStart"/>
      <w:r w:rsidRPr="00BF2A14">
        <w:rPr>
          <w:rFonts w:ascii="Arial" w:hAnsi="Arial" w:cs="Arial"/>
          <w:color w:val="222222"/>
          <w:sz w:val="20"/>
          <w:szCs w:val="20"/>
          <w:shd w:val="clear" w:color="auto" w:fill="FFFFFF"/>
        </w:rPr>
        <w:t>Indirakumar</w:t>
      </w:r>
      <w:proofErr w:type="spellEnd"/>
      <w:r w:rsidRPr="00BF2A14">
        <w:rPr>
          <w:rFonts w:ascii="Arial" w:hAnsi="Arial" w:cs="Arial"/>
          <w:color w:val="222222"/>
          <w:sz w:val="20"/>
          <w:szCs w:val="20"/>
          <w:shd w:val="clear" w:color="auto" w:fill="FFFFFF"/>
        </w:rPr>
        <w:t xml:space="preserve">, K., &amp; Neog, K. (2024). Impact of Coupling Duration on Fecundity and Fertility of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assamensis</w:t>
      </w:r>
      <w:proofErr w:type="spellEnd"/>
      <w:r w:rsidRPr="00BF2A14">
        <w:rPr>
          <w:rFonts w:ascii="Arial" w:hAnsi="Arial" w:cs="Arial"/>
          <w:color w:val="222222"/>
          <w:sz w:val="20"/>
          <w:szCs w:val="20"/>
          <w:shd w:val="clear" w:color="auto" w:fill="FFFFFF"/>
        </w:rPr>
        <w:t xml:space="preserve"> Helfer) During </w:t>
      </w:r>
      <w:proofErr w:type="spellStart"/>
      <w:r w:rsidRPr="00BF2A14">
        <w:rPr>
          <w:rFonts w:ascii="Arial" w:hAnsi="Arial" w:cs="Arial"/>
          <w:color w:val="222222"/>
          <w:sz w:val="20"/>
          <w:szCs w:val="20"/>
          <w:shd w:val="clear" w:color="auto" w:fill="FFFFFF"/>
        </w:rPr>
        <w:t>Grainage</w:t>
      </w:r>
      <w:proofErr w:type="spellEnd"/>
      <w:r w:rsidRPr="00BF2A14">
        <w:rPr>
          <w:rFonts w:ascii="Arial" w:hAnsi="Arial" w:cs="Arial"/>
          <w:color w:val="222222"/>
          <w:sz w:val="20"/>
          <w:szCs w:val="20"/>
          <w:shd w:val="clear" w:color="auto" w:fill="FFFFFF"/>
        </w:rPr>
        <w:t xml:space="preserve"> Operation. </w:t>
      </w:r>
      <w:r w:rsidRPr="00BF2A14">
        <w:rPr>
          <w:rFonts w:ascii="Arial" w:hAnsi="Arial" w:cs="Arial"/>
          <w:iCs/>
          <w:color w:val="222222"/>
          <w:sz w:val="20"/>
          <w:szCs w:val="20"/>
          <w:shd w:val="clear" w:color="auto" w:fill="FFFFFF"/>
        </w:rPr>
        <w:t>Journal of Scientific Research and Reports</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30</w:t>
      </w:r>
      <w:r w:rsidRPr="00BF2A14">
        <w:rPr>
          <w:rFonts w:ascii="Arial" w:hAnsi="Arial" w:cs="Arial"/>
          <w:color w:val="222222"/>
          <w:sz w:val="20"/>
          <w:szCs w:val="20"/>
          <w:shd w:val="clear" w:color="auto" w:fill="FFFFFF"/>
        </w:rPr>
        <w:t xml:space="preserve">(5), 752-759. </w:t>
      </w:r>
      <w:hyperlink r:id="rId33" w:history="1">
        <w:r w:rsidRPr="00BF2A14">
          <w:rPr>
            <w:rStyle w:val="Hyperlink"/>
            <w:rFonts w:ascii="Arial" w:hAnsi="Arial" w:cs="Arial"/>
            <w:sz w:val="20"/>
            <w:szCs w:val="20"/>
            <w:shd w:val="clear" w:color="auto" w:fill="FFFFFF"/>
          </w:rPr>
          <w:t>http://dx.doi.org/10.9734/jsrr/2024/v30i51994</w:t>
        </w:r>
      </w:hyperlink>
    </w:p>
    <w:p w14:paraId="4D635103"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Kuang-Ming, C. C., &amp; Ta-Yuan, C. (1958). The </w:t>
      </w:r>
      <w:proofErr w:type="spellStart"/>
      <w:r w:rsidRPr="00BF2A14">
        <w:rPr>
          <w:rFonts w:ascii="Arial" w:hAnsi="Arial" w:cs="Arial"/>
          <w:color w:val="222222"/>
          <w:sz w:val="20"/>
          <w:szCs w:val="20"/>
          <w:shd w:val="clear" w:color="auto" w:fill="FFFFFF"/>
        </w:rPr>
        <w:t>tasar</w:t>
      </w:r>
      <w:proofErr w:type="spellEnd"/>
      <w:r w:rsidRPr="00BF2A14">
        <w:rPr>
          <w:rFonts w:ascii="Arial" w:hAnsi="Arial" w:cs="Arial"/>
          <w:color w:val="222222"/>
          <w:sz w:val="20"/>
          <w:szCs w:val="20"/>
          <w:shd w:val="clear" w:color="auto" w:fill="FFFFFF"/>
        </w:rPr>
        <w:t xml:space="preserve"> silkworm. </w:t>
      </w:r>
      <w:r w:rsidRPr="00BF2A14">
        <w:rPr>
          <w:rFonts w:ascii="Arial" w:hAnsi="Arial" w:cs="Arial"/>
          <w:iCs/>
          <w:color w:val="222222"/>
          <w:sz w:val="20"/>
          <w:szCs w:val="20"/>
          <w:shd w:val="clear" w:color="auto" w:fill="FFFFFF"/>
        </w:rPr>
        <w:t>Journal of Silkworm</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11</w:t>
      </w:r>
      <w:r w:rsidRPr="00BF2A14">
        <w:rPr>
          <w:rFonts w:ascii="Arial" w:hAnsi="Arial" w:cs="Arial"/>
          <w:color w:val="222222"/>
          <w:sz w:val="20"/>
          <w:szCs w:val="20"/>
          <w:shd w:val="clear" w:color="auto" w:fill="FFFFFF"/>
        </w:rPr>
        <w:t>, 111-125.</w:t>
      </w:r>
    </w:p>
    <w:p w14:paraId="7627BF9F"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Singh, N. I., &amp; </w:t>
      </w:r>
      <w:proofErr w:type="spellStart"/>
      <w:r w:rsidRPr="00BF2A14">
        <w:rPr>
          <w:rFonts w:ascii="Arial" w:hAnsi="Arial" w:cs="Arial"/>
          <w:color w:val="222222"/>
          <w:sz w:val="20"/>
          <w:szCs w:val="20"/>
          <w:shd w:val="clear" w:color="auto" w:fill="FFFFFF"/>
        </w:rPr>
        <w:t>Debaraj</w:t>
      </w:r>
      <w:proofErr w:type="spellEnd"/>
      <w:r w:rsidRPr="00BF2A14">
        <w:rPr>
          <w:rFonts w:ascii="Arial" w:hAnsi="Arial" w:cs="Arial"/>
          <w:color w:val="222222"/>
          <w:sz w:val="20"/>
          <w:szCs w:val="20"/>
          <w:shd w:val="clear" w:color="auto" w:fill="FFFFFF"/>
        </w:rPr>
        <w:t xml:space="preserve">, Y. (2011). Bionomics of Indian oak </w:t>
      </w:r>
      <w:proofErr w:type="spellStart"/>
      <w:r w:rsidRPr="00BF2A14">
        <w:rPr>
          <w:rFonts w:ascii="Arial" w:hAnsi="Arial" w:cs="Arial"/>
          <w:color w:val="222222"/>
          <w:sz w:val="20"/>
          <w:szCs w:val="20"/>
          <w:shd w:val="clear" w:color="auto" w:fill="FFFFFF"/>
        </w:rPr>
        <w:t>Tasar</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Silkmoth</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Roylei</w:t>
      </w:r>
      <w:proofErr w:type="spellEnd"/>
      <w:r w:rsidRPr="00BF2A14">
        <w:rPr>
          <w:rFonts w:ascii="Arial" w:hAnsi="Arial" w:cs="Arial"/>
          <w:color w:val="222222"/>
          <w:sz w:val="20"/>
          <w:szCs w:val="20"/>
          <w:shd w:val="clear" w:color="auto" w:fill="FFFFFF"/>
        </w:rPr>
        <w:t xml:space="preserve"> Moore and its potential for breeding in north east India. </w:t>
      </w:r>
      <w:r w:rsidRPr="00BF2A14">
        <w:rPr>
          <w:rFonts w:ascii="Arial" w:hAnsi="Arial" w:cs="Arial"/>
          <w:iCs/>
          <w:color w:val="222222"/>
          <w:sz w:val="20"/>
          <w:szCs w:val="20"/>
          <w:shd w:val="clear" w:color="auto" w:fill="FFFFFF"/>
        </w:rPr>
        <w:t>Zoology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6</w:t>
      </w:r>
      <w:r w:rsidRPr="00BF2A14">
        <w:rPr>
          <w:rFonts w:ascii="Arial" w:hAnsi="Arial" w:cs="Arial"/>
          <w:color w:val="222222"/>
          <w:sz w:val="20"/>
          <w:szCs w:val="20"/>
          <w:shd w:val="clear" w:color="auto" w:fill="FFFFFF"/>
        </w:rPr>
        <w:t xml:space="preserve">(2), 987-994. </w:t>
      </w:r>
    </w:p>
    <w:p w14:paraId="6DEF274D"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Singh, N. I, Singh, L. S., &amp; Singh, K. C. (2011a). Characterization and evaluation of oak </w:t>
      </w:r>
      <w:proofErr w:type="spellStart"/>
      <w:r w:rsidRPr="00BF2A14">
        <w:rPr>
          <w:rFonts w:ascii="Arial" w:hAnsi="Arial" w:cs="Arial"/>
          <w:color w:val="222222"/>
          <w:sz w:val="20"/>
          <w:szCs w:val="20"/>
          <w:shd w:val="clear" w:color="auto" w:fill="FFFFFF"/>
        </w:rPr>
        <w:t>tasar</w:t>
      </w:r>
      <w:proofErr w:type="spellEnd"/>
      <w:r w:rsidRPr="00BF2A14">
        <w:rPr>
          <w:rFonts w:ascii="Arial" w:hAnsi="Arial" w:cs="Arial"/>
          <w:color w:val="222222"/>
          <w:sz w:val="20"/>
          <w:szCs w:val="20"/>
          <w:shd w:val="clear" w:color="auto" w:fill="FFFFFF"/>
        </w:rPr>
        <w:t xml:space="preserve"> silkworm genetic resources in India. </w:t>
      </w:r>
      <w:proofErr w:type="spellStart"/>
      <w:r w:rsidRPr="00BF2A14">
        <w:rPr>
          <w:rFonts w:ascii="Arial" w:hAnsi="Arial" w:cs="Arial"/>
          <w:iCs/>
          <w:color w:val="222222"/>
          <w:sz w:val="20"/>
          <w:szCs w:val="20"/>
          <w:shd w:val="clear" w:color="auto" w:fill="FFFFFF"/>
        </w:rPr>
        <w:t>Séricologia</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51</w:t>
      </w:r>
      <w:r w:rsidRPr="00BF2A14">
        <w:rPr>
          <w:rFonts w:ascii="Arial" w:hAnsi="Arial" w:cs="Arial"/>
          <w:color w:val="222222"/>
          <w:sz w:val="20"/>
          <w:szCs w:val="20"/>
          <w:shd w:val="clear" w:color="auto" w:fill="FFFFFF"/>
        </w:rPr>
        <w:t>(1), 1-14.</w:t>
      </w:r>
    </w:p>
    <w:p w14:paraId="0AC3AE96" w14:textId="77777777" w:rsidR="00401A7D" w:rsidRPr="00BF2A14" w:rsidRDefault="00401A7D" w:rsidP="00BF2A14">
      <w:pPr>
        <w:pStyle w:val="ListParagraph"/>
        <w:numPr>
          <w:ilvl w:val="0"/>
          <w:numId w:val="2"/>
        </w:numPr>
        <w:ind w:left="284" w:hanging="284"/>
        <w:jc w:val="both"/>
        <w:rPr>
          <w:rFonts w:ascii="Arial" w:hAnsi="Arial" w:cs="Arial"/>
          <w:sz w:val="20"/>
          <w:szCs w:val="20"/>
        </w:rPr>
      </w:pPr>
      <w:r w:rsidRPr="00BF2A14">
        <w:rPr>
          <w:rFonts w:ascii="Arial" w:hAnsi="Arial" w:cs="Arial"/>
          <w:color w:val="222222"/>
          <w:sz w:val="20"/>
          <w:szCs w:val="20"/>
          <w:shd w:val="clear" w:color="auto" w:fill="FFFFFF"/>
        </w:rPr>
        <w:t xml:space="preserve">Singh, N. I., </w:t>
      </w:r>
      <w:proofErr w:type="spellStart"/>
      <w:r w:rsidRPr="00BF2A14">
        <w:rPr>
          <w:rFonts w:ascii="Arial" w:hAnsi="Arial" w:cs="Arial"/>
          <w:color w:val="222222"/>
          <w:sz w:val="20"/>
          <w:szCs w:val="20"/>
          <w:shd w:val="clear" w:color="auto" w:fill="FFFFFF"/>
        </w:rPr>
        <w:t>Debaraj</w:t>
      </w:r>
      <w:proofErr w:type="spellEnd"/>
      <w:r w:rsidRPr="00BF2A14">
        <w:rPr>
          <w:rFonts w:ascii="Arial" w:hAnsi="Arial" w:cs="Arial"/>
          <w:color w:val="222222"/>
          <w:sz w:val="20"/>
          <w:szCs w:val="20"/>
          <w:shd w:val="clear" w:color="auto" w:fill="FFFFFF"/>
        </w:rPr>
        <w:t xml:space="preserve">, Y., Singh, L. S., &amp; Singh, K. C. (2011). Bioecological studies of an oak </w:t>
      </w:r>
      <w:proofErr w:type="spellStart"/>
      <w:r w:rsidRPr="00BF2A14">
        <w:rPr>
          <w:rFonts w:ascii="Arial" w:hAnsi="Arial" w:cs="Arial"/>
          <w:color w:val="222222"/>
          <w:sz w:val="20"/>
          <w:szCs w:val="20"/>
          <w:shd w:val="clear" w:color="auto" w:fill="FFFFFF"/>
        </w:rPr>
        <w:t>tasar</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silkmoth</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frithii</w:t>
      </w:r>
      <w:proofErr w:type="spellEnd"/>
      <w:r w:rsidRPr="00BF2A14">
        <w:rPr>
          <w:rFonts w:ascii="Arial" w:hAnsi="Arial" w:cs="Arial"/>
          <w:color w:val="222222"/>
          <w:sz w:val="20"/>
          <w:szCs w:val="20"/>
          <w:shd w:val="clear" w:color="auto" w:fill="FFFFFF"/>
        </w:rPr>
        <w:t xml:space="preserve"> Moore in North East India. </w:t>
      </w:r>
      <w:r w:rsidRPr="00BF2A14">
        <w:rPr>
          <w:rFonts w:ascii="Arial" w:hAnsi="Arial" w:cs="Arial"/>
          <w:sz w:val="20"/>
          <w:szCs w:val="20"/>
        </w:rPr>
        <w:t xml:space="preserve">Uttar Pradesh Journal </w:t>
      </w:r>
      <w:r w:rsidR="0092754C" w:rsidRPr="00BF2A14">
        <w:rPr>
          <w:rFonts w:ascii="Arial" w:hAnsi="Arial" w:cs="Arial"/>
          <w:sz w:val="20"/>
          <w:szCs w:val="20"/>
        </w:rPr>
        <w:t>of Zoology</w:t>
      </w:r>
      <w:r w:rsidRPr="00BF2A14">
        <w:rPr>
          <w:rFonts w:ascii="Arial" w:hAnsi="Arial" w:cs="Arial"/>
          <w:sz w:val="20"/>
          <w:szCs w:val="20"/>
        </w:rPr>
        <w:t>, 31 (1), 75- 81.</w:t>
      </w:r>
    </w:p>
    <w:p w14:paraId="100D5C7A" w14:textId="77777777" w:rsidR="00401A7D" w:rsidRPr="00BF2A14" w:rsidRDefault="00401A7D" w:rsidP="00BF2A14">
      <w:pPr>
        <w:pStyle w:val="ListParagraph"/>
        <w:numPr>
          <w:ilvl w:val="0"/>
          <w:numId w:val="2"/>
        </w:numPr>
        <w:ind w:left="284" w:hanging="284"/>
        <w:jc w:val="both"/>
        <w:rPr>
          <w:rFonts w:ascii="Arial" w:hAnsi="Arial" w:cs="Arial"/>
          <w:sz w:val="20"/>
          <w:szCs w:val="20"/>
        </w:rPr>
      </w:pPr>
      <w:proofErr w:type="spellStart"/>
      <w:r w:rsidRPr="00BF2A14">
        <w:rPr>
          <w:rFonts w:ascii="Arial" w:hAnsi="Arial" w:cs="Arial"/>
          <w:color w:val="222222"/>
          <w:sz w:val="20"/>
          <w:szCs w:val="20"/>
          <w:shd w:val="clear" w:color="auto" w:fill="FFFFFF"/>
        </w:rPr>
        <w:t>Narasimhanna</w:t>
      </w:r>
      <w:proofErr w:type="spellEnd"/>
      <w:r w:rsidRPr="00BF2A14">
        <w:rPr>
          <w:rFonts w:ascii="Arial" w:hAnsi="Arial" w:cs="Arial"/>
          <w:color w:val="222222"/>
          <w:sz w:val="20"/>
          <w:szCs w:val="20"/>
          <w:shd w:val="clear" w:color="auto" w:fill="FFFFFF"/>
        </w:rPr>
        <w:t>, M. N. (1988). Manual on silkworm egg production.</w:t>
      </w:r>
      <w:r w:rsidRPr="00BF2A14">
        <w:rPr>
          <w:rFonts w:ascii="Arial" w:hAnsi="Arial" w:cs="Arial"/>
          <w:sz w:val="20"/>
          <w:szCs w:val="20"/>
        </w:rPr>
        <w:t xml:space="preserve"> Central Silk Board, </w:t>
      </w:r>
      <w:proofErr w:type="spellStart"/>
      <w:r w:rsidRPr="00BF2A14">
        <w:rPr>
          <w:rFonts w:ascii="Arial" w:hAnsi="Arial" w:cs="Arial"/>
          <w:sz w:val="20"/>
          <w:szCs w:val="20"/>
        </w:rPr>
        <w:t>Banglore</w:t>
      </w:r>
      <w:proofErr w:type="spellEnd"/>
      <w:r w:rsidRPr="00BF2A14">
        <w:rPr>
          <w:rFonts w:ascii="Arial" w:hAnsi="Arial" w:cs="Arial"/>
          <w:sz w:val="20"/>
          <w:szCs w:val="20"/>
        </w:rPr>
        <w:t>, India. pp. 142.</w:t>
      </w:r>
    </w:p>
    <w:p w14:paraId="6BA17FB2"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Yeole</w:t>
      </w:r>
      <w:proofErr w:type="spellEnd"/>
      <w:r w:rsidRPr="00BF2A14">
        <w:rPr>
          <w:rFonts w:ascii="Arial" w:hAnsi="Arial" w:cs="Arial"/>
          <w:color w:val="222222"/>
          <w:sz w:val="20"/>
          <w:szCs w:val="20"/>
          <w:shd w:val="clear" w:color="auto" w:fill="FFFFFF"/>
        </w:rPr>
        <w:t xml:space="preserve">, R. G., Sarnaik, D. N., &amp; Satpute, U. S. (1995). Effect of mating duration on fecundity and egg viability of silkworm </w:t>
      </w:r>
      <w:r w:rsidRPr="00BF2A14">
        <w:rPr>
          <w:rFonts w:ascii="Arial" w:hAnsi="Arial" w:cs="Arial"/>
          <w:i/>
          <w:color w:val="222222"/>
          <w:sz w:val="20"/>
          <w:szCs w:val="20"/>
          <w:shd w:val="clear" w:color="auto" w:fill="FFFFFF"/>
        </w:rPr>
        <w:t>Bombyx mori</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Journal of Sericulture India</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3</w:t>
      </w:r>
      <w:r w:rsidRPr="00BF2A14">
        <w:rPr>
          <w:rFonts w:ascii="Arial" w:hAnsi="Arial" w:cs="Arial"/>
          <w:color w:val="222222"/>
          <w:sz w:val="20"/>
          <w:szCs w:val="20"/>
          <w:shd w:val="clear" w:color="auto" w:fill="FFFFFF"/>
        </w:rPr>
        <w:t>, 80-82.</w:t>
      </w:r>
    </w:p>
    <w:p w14:paraId="2DACC587" w14:textId="77777777" w:rsidR="00401A7D" w:rsidRPr="00BF2A14" w:rsidRDefault="00401A7D" w:rsidP="00BF2A14">
      <w:pPr>
        <w:pStyle w:val="ListParagraph"/>
        <w:numPr>
          <w:ilvl w:val="0"/>
          <w:numId w:val="2"/>
        </w:numPr>
        <w:ind w:left="284" w:hanging="284"/>
        <w:jc w:val="both"/>
        <w:rPr>
          <w:rFonts w:ascii="Arial" w:hAnsi="Arial" w:cs="Arial"/>
          <w:sz w:val="20"/>
          <w:szCs w:val="20"/>
        </w:rPr>
      </w:pPr>
      <w:r w:rsidRPr="00BF2A14">
        <w:rPr>
          <w:rFonts w:ascii="Arial" w:hAnsi="Arial" w:cs="Arial"/>
          <w:color w:val="222222"/>
          <w:sz w:val="20"/>
          <w:szCs w:val="20"/>
          <w:shd w:val="clear" w:color="auto" w:fill="FFFFFF"/>
        </w:rPr>
        <w:t xml:space="preserve">Sarmah, M. C., Rahman, S. A. S., &amp; Barah, A. (2010). Traditional practices and terminologies in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and </w:t>
      </w:r>
      <w:proofErr w:type="spellStart"/>
      <w:r w:rsidRPr="00BF2A14">
        <w:rPr>
          <w:rFonts w:ascii="Arial" w:hAnsi="Arial" w:cs="Arial"/>
          <w:color w:val="222222"/>
          <w:sz w:val="20"/>
          <w:szCs w:val="20"/>
          <w:shd w:val="clear" w:color="auto" w:fill="FFFFFF"/>
        </w:rPr>
        <w:t>eri</w:t>
      </w:r>
      <w:proofErr w:type="spellEnd"/>
      <w:r w:rsidRPr="00BF2A14">
        <w:rPr>
          <w:rFonts w:ascii="Arial" w:hAnsi="Arial" w:cs="Arial"/>
          <w:color w:val="222222"/>
          <w:sz w:val="20"/>
          <w:szCs w:val="20"/>
          <w:shd w:val="clear" w:color="auto" w:fill="FFFFFF"/>
        </w:rPr>
        <w:t xml:space="preserve"> culture.</w:t>
      </w:r>
      <w:r w:rsidR="0092754C" w:rsidRPr="00BF2A14">
        <w:rPr>
          <w:rFonts w:ascii="Arial" w:hAnsi="Arial" w:cs="Arial"/>
          <w:color w:val="222222"/>
          <w:sz w:val="20"/>
          <w:szCs w:val="20"/>
          <w:shd w:val="clear" w:color="auto" w:fill="FFFFFF"/>
        </w:rPr>
        <w:t xml:space="preserve"> </w:t>
      </w:r>
      <w:r w:rsidRPr="00BF2A14">
        <w:rPr>
          <w:rFonts w:ascii="Arial" w:hAnsi="Arial" w:cs="Arial"/>
          <w:sz w:val="20"/>
          <w:szCs w:val="20"/>
        </w:rPr>
        <w:t>Indian Journal of Traditional Knowledge, 9 (3), 448-452.</w:t>
      </w:r>
    </w:p>
    <w:p w14:paraId="58229B3E"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lastRenderedPageBreak/>
        <w:t xml:space="preserve">Kakati, P. K., </w:t>
      </w:r>
      <w:proofErr w:type="spellStart"/>
      <w:r w:rsidRPr="00BF2A14">
        <w:rPr>
          <w:rFonts w:ascii="Arial" w:hAnsi="Arial" w:cs="Arial"/>
          <w:color w:val="222222"/>
          <w:sz w:val="20"/>
          <w:szCs w:val="20"/>
          <w:shd w:val="clear" w:color="auto" w:fill="FFFFFF"/>
        </w:rPr>
        <w:t>Handique</w:t>
      </w:r>
      <w:proofErr w:type="spellEnd"/>
      <w:r w:rsidRPr="00BF2A14">
        <w:rPr>
          <w:rFonts w:ascii="Arial" w:hAnsi="Arial" w:cs="Arial"/>
          <w:color w:val="222222"/>
          <w:sz w:val="20"/>
          <w:szCs w:val="20"/>
          <w:shd w:val="clear" w:color="auto" w:fill="FFFFFF"/>
        </w:rPr>
        <w:t xml:space="preserve">, P. K., Rana, B., &amp; Chakravorty, R. (2005). Isolation of winter diapause strain in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assamensis</w:t>
      </w:r>
      <w:proofErr w:type="spellEnd"/>
      <w:r w:rsidRPr="00BF2A14">
        <w:rPr>
          <w:rFonts w:ascii="Arial" w:hAnsi="Arial" w:cs="Arial"/>
          <w:color w:val="222222"/>
          <w:sz w:val="20"/>
          <w:szCs w:val="20"/>
          <w:shd w:val="clear" w:color="auto" w:fill="FFFFFF"/>
        </w:rPr>
        <w:t xml:space="preserve"> Helfer. </w:t>
      </w:r>
      <w:r w:rsidRPr="00BF2A14">
        <w:rPr>
          <w:rFonts w:ascii="Arial" w:hAnsi="Arial" w:cs="Arial"/>
          <w:i/>
          <w:iCs/>
          <w:color w:val="222222"/>
          <w:sz w:val="20"/>
          <w:szCs w:val="20"/>
          <w:shd w:val="clear" w:color="auto" w:fill="FFFFFF"/>
        </w:rPr>
        <w:t xml:space="preserve">Proceedings: Strategies for Maintenance of Non-Mulberry Silkworm and Host Plant Germplasm Held at Central Muga Eri Research &amp; Training Institute, </w:t>
      </w:r>
      <w:proofErr w:type="spellStart"/>
      <w:r w:rsidRPr="00BF2A14">
        <w:rPr>
          <w:rFonts w:ascii="Arial" w:hAnsi="Arial" w:cs="Arial"/>
          <w:i/>
          <w:iCs/>
          <w:color w:val="222222"/>
          <w:sz w:val="20"/>
          <w:szCs w:val="20"/>
          <w:shd w:val="clear" w:color="auto" w:fill="FFFFFF"/>
        </w:rPr>
        <w:t>Lahdoigarh</w:t>
      </w:r>
      <w:proofErr w:type="spellEnd"/>
      <w:r w:rsidRPr="00BF2A14">
        <w:rPr>
          <w:rFonts w:ascii="Arial" w:hAnsi="Arial" w:cs="Arial"/>
          <w:i/>
          <w:iCs/>
          <w:color w:val="222222"/>
          <w:sz w:val="20"/>
          <w:szCs w:val="20"/>
          <w:shd w:val="clear" w:color="auto" w:fill="FFFFFF"/>
        </w:rPr>
        <w:t>, Jorhat, Assam, India on March 10</w:t>
      </w:r>
      <w:r w:rsidRPr="00BF2A14">
        <w:rPr>
          <w:rFonts w:ascii="Arial" w:hAnsi="Arial" w:cs="Arial"/>
          <w:color w:val="222222"/>
          <w:sz w:val="20"/>
          <w:szCs w:val="20"/>
          <w:shd w:val="clear" w:color="auto" w:fill="FFFFFF"/>
        </w:rPr>
        <w:t>, </w:t>
      </w:r>
      <w:r w:rsidRPr="00BF2A14">
        <w:rPr>
          <w:rFonts w:ascii="Arial" w:hAnsi="Arial" w:cs="Arial"/>
          <w:i/>
          <w:iCs/>
          <w:color w:val="222222"/>
          <w:sz w:val="20"/>
          <w:szCs w:val="20"/>
          <w:shd w:val="clear" w:color="auto" w:fill="FFFFFF"/>
        </w:rPr>
        <w:t>11</w:t>
      </w:r>
      <w:r w:rsidRPr="00BF2A14">
        <w:rPr>
          <w:rFonts w:ascii="Arial" w:hAnsi="Arial" w:cs="Arial"/>
          <w:color w:val="222222"/>
          <w:sz w:val="20"/>
          <w:szCs w:val="20"/>
          <w:shd w:val="clear" w:color="auto" w:fill="FFFFFF"/>
        </w:rPr>
        <w:t>, 217-224.</w:t>
      </w:r>
    </w:p>
    <w:p w14:paraId="42AA7323" w14:textId="77777777"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Kakati, P. K. (2002). Adoption of prophylactic measures to contain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diseases. </w:t>
      </w:r>
      <w:r w:rsidRPr="00BF2A14">
        <w:rPr>
          <w:rFonts w:ascii="Arial" w:hAnsi="Arial" w:cs="Arial"/>
          <w:iCs/>
          <w:color w:val="222222"/>
          <w:sz w:val="20"/>
          <w:szCs w:val="20"/>
          <w:shd w:val="clear" w:color="auto" w:fill="FFFFFF"/>
        </w:rPr>
        <w:t>Indian silk</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41</w:t>
      </w:r>
      <w:r w:rsidRPr="00BF2A14">
        <w:rPr>
          <w:rFonts w:ascii="Arial" w:hAnsi="Arial" w:cs="Arial"/>
          <w:color w:val="222222"/>
          <w:sz w:val="20"/>
          <w:szCs w:val="20"/>
          <w:shd w:val="clear" w:color="auto" w:fill="FFFFFF"/>
        </w:rPr>
        <w:t>(1), 19-21.</w:t>
      </w:r>
    </w:p>
    <w:p w14:paraId="200FE8D9" w14:textId="77777777" w:rsidR="00401A7D" w:rsidRPr="00BF2A14" w:rsidRDefault="00401A7D" w:rsidP="00BF2A14">
      <w:pPr>
        <w:pStyle w:val="ListParagraph"/>
        <w:numPr>
          <w:ilvl w:val="0"/>
          <w:numId w:val="2"/>
        </w:numPr>
        <w:ind w:left="284" w:hanging="284"/>
        <w:jc w:val="both"/>
        <w:rPr>
          <w:rFonts w:ascii="Arial" w:hAnsi="Arial" w:cs="Arial"/>
          <w:sz w:val="20"/>
          <w:szCs w:val="20"/>
        </w:rPr>
      </w:pPr>
      <w:r w:rsidRPr="00BF2A14">
        <w:rPr>
          <w:rFonts w:ascii="Arial" w:hAnsi="Arial" w:cs="Arial"/>
          <w:color w:val="222222"/>
          <w:sz w:val="20"/>
          <w:szCs w:val="20"/>
          <w:shd w:val="clear" w:color="auto" w:fill="FFFFFF"/>
        </w:rPr>
        <w:t xml:space="preserve">Legay, J. M. (1989). Contribution to the typological analysis of the laying </w:t>
      </w:r>
      <w:proofErr w:type="spellStart"/>
      <w:r w:rsidRPr="00BF2A14">
        <w:rPr>
          <w:rFonts w:ascii="Arial" w:hAnsi="Arial" w:cs="Arial"/>
          <w:color w:val="222222"/>
          <w:sz w:val="20"/>
          <w:szCs w:val="20"/>
          <w:shd w:val="clear" w:color="auto" w:fill="FFFFFF"/>
        </w:rPr>
        <w:t>behaviour</w:t>
      </w:r>
      <w:proofErr w:type="spellEnd"/>
      <w:r w:rsidRPr="00BF2A14">
        <w:rPr>
          <w:rFonts w:ascii="Arial" w:hAnsi="Arial" w:cs="Arial"/>
          <w:color w:val="222222"/>
          <w:sz w:val="20"/>
          <w:szCs w:val="20"/>
          <w:shd w:val="clear" w:color="auto" w:fill="FFFFFF"/>
        </w:rPr>
        <w:t xml:space="preserve"> in </w:t>
      </w:r>
      <w:r w:rsidRPr="00BF2A14">
        <w:rPr>
          <w:rFonts w:ascii="Arial" w:hAnsi="Arial" w:cs="Arial"/>
          <w:i/>
          <w:color w:val="222222"/>
          <w:sz w:val="20"/>
          <w:szCs w:val="20"/>
          <w:shd w:val="clear" w:color="auto" w:fill="FFFFFF"/>
        </w:rPr>
        <w:t>Bombyx mori</w:t>
      </w:r>
      <w:r w:rsidRPr="00BF2A14">
        <w:rPr>
          <w:rFonts w:ascii="Arial" w:hAnsi="Arial" w:cs="Arial"/>
          <w:color w:val="222222"/>
          <w:sz w:val="20"/>
          <w:szCs w:val="20"/>
          <w:shd w:val="clear" w:color="auto" w:fill="FFFFFF"/>
        </w:rPr>
        <w:t xml:space="preserve"> L. </w:t>
      </w:r>
      <w:proofErr w:type="spellStart"/>
      <w:r w:rsidRPr="00BF2A14">
        <w:rPr>
          <w:rFonts w:ascii="Arial" w:hAnsi="Arial" w:cs="Arial"/>
          <w:sz w:val="20"/>
          <w:szCs w:val="20"/>
        </w:rPr>
        <w:t>Sericologia</w:t>
      </w:r>
      <w:proofErr w:type="spellEnd"/>
      <w:r w:rsidRPr="00BF2A14">
        <w:rPr>
          <w:rFonts w:ascii="Arial" w:hAnsi="Arial" w:cs="Arial"/>
          <w:sz w:val="20"/>
          <w:szCs w:val="20"/>
        </w:rPr>
        <w:t>, 29(2), 163- 166</w:t>
      </w:r>
    </w:p>
    <w:p w14:paraId="1D648C39" w14:textId="77777777" w:rsidR="00401A7D" w:rsidRPr="00BF2A14" w:rsidRDefault="00401A7D" w:rsidP="00BF2A14">
      <w:pPr>
        <w:pStyle w:val="ListParagraph"/>
        <w:numPr>
          <w:ilvl w:val="0"/>
          <w:numId w:val="2"/>
        </w:numPr>
        <w:ind w:left="284" w:hanging="284"/>
        <w:jc w:val="both"/>
        <w:rPr>
          <w:rFonts w:ascii="Arial" w:hAnsi="Arial" w:cs="Arial"/>
          <w:sz w:val="20"/>
          <w:szCs w:val="20"/>
        </w:rPr>
      </w:pPr>
      <w:proofErr w:type="spellStart"/>
      <w:r w:rsidRPr="00BF2A14">
        <w:rPr>
          <w:rFonts w:ascii="Arial" w:hAnsi="Arial" w:cs="Arial"/>
          <w:color w:val="222222"/>
          <w:sz w:val="20"/>
          <w:szCs w:val="20"/>
          <w:shd w:val="clear" w:color="auto" w:fill="FFFFFF"/>
        </w:rPr>
        <w:t>Manjulakumari</w:t>
      </w:r>
      <w:proofErr w:type="spellEnd"/>
      <w:r w:rsidRPr="00BF2A14">
        <w:rPr>
          <w:rFonts w:ascii="Arial" w:hAnsi="Arial" w:cs="Arial"/>
          <w:color w:val="222222"/>
          <w:sz w:val="20"/>
          <w:szCs w:val="20"/>
          <w:shd w:val="clear" w:color="auto" w:fill="FFFFFF"/>
        </w:rPr>
        <w:t xml:space="preserve">, D., &amp; </w:t>
      </w:r>
      <w:proofErr w:type="spellStart"/>
      <w:r w:rsidRPr="00BF2A14">
        <w:rPr>
          <w:rFonts w:ascii="Arial" w:hAnsi="Arial" w:cs="Arial"/>
          <w:color w:val="222222"/>
          <w:sz w:val="20"/>
          <w:szCs w:val="20"/>
          <w:shd w:val="clear" w:color="auto" w:fill="FFFFFF"/>
        </w:rPr>
        <w:t>Geethabali</w:t>
      </w:r>
      <w:proofErr w:type="spellEnd"/>
      <w:r w:rsidRPr="00BF2A14">
        <w:rPr>
          <w:rFonts w:ascii="Arial" w:hAnsi="Arial" w:cs="Arial"/>
          <w:color w:val="222222"/>
          <w:sz w:val="20"/>
          <w:szCs w:val="20"/>
          <w:shd w:val="clear" w:color="auto" w:fill="FFFFFF"/>
        </w:rPr>
        <w:t xml:space="preserve">, G. (1991). Ovipositional response of </w:t>
      </w:r>
      <w:r w:rsidRPr="00BF2A14">
        <w:rPr>
          <w:rFonts w:ascii="Arial" w:hAnsi="Arial" w:cs="Arial"/>
          <w:i/>
          <w:color w:val="222222"/>
          <w:sz w:val="20"/>
          <w:szCs w:val="20"/>
          <w:shd w:val="clear" w:color="auto" w:fill="FFFFFF"/>
        </w:rPr>
        <w:t>Bombyx mori</w:t>
      </w:r>
      <w:r w:rsidRPr="00BF2A14">
        <w:rPr>
          <w:rFonts w:ascii="Arial" w:hAnsi="Arial" w:cs="Arial"/>
          <w:color w:val="222222"/>
          <w:sz w:val="20"/>
          <w:szCs w:val="20"/>
          <w:shd w:val="clear" w:color="auto" w:fill="FFFFFF"/>
        </w:rPr>
        <w:t xml:space="preserve"> L. to different textures of the substratum. </w:t>
      </w:r>
      <w:proofErr w:type="spellStart"/>
      <w:r w:rsidRPr="00BF2A14">
        <w:rPr>
          <w:rFonts w:ascii="Arial" w:hAnsi="Arial" w:cs="Arial"/>
          <w:sz w:val="20"/>
          <w:szCs w:val="20"/>
        </w:rPr>
        <w:t>Entomon</w:t>
      </w:r>
      <w:proofErr w:type="spellEnd"/>
      <w:r w:rsidRPr="00BF2A14">
        <w:rPr>
          <w:rFonts w:ascii="Arial" w:hAnsi="Arial" w:cs="Arial"/>
          <w:sz w:val="20"/>
          <w:szCs w:val="20"/>
        </w:rPr>
        <w:t>, 16(1), 11-15.</w:t>
      </w:r>
    </w:p>
    <w:p w14:paraId="356433CF" w14:textId="77777777" w:rsidR="00E267A7" w:rsidRDefault="00E267A7" w:rsidP="005C0806">
      <w:pPr>
        <w:pStyle w:val="NormalWeb"/>
        <w:jc w:val="both"/>
      </w:pPr>
    </w:p>
    <w:sectPr w:rsidR="00E267A7" w:rsidSect="00807256">
      <w:headerReference w:type="even" r:id="rId34"/>
      <w:headerReference w:type="default" r:id="rId35"/>
      <w:footerReference w:type="even" r:id="rId36"/>
      <w:footerReference w:type="default" r:id="rId37"/>
      <w:headerReference w:type="first" r:id="rId38"/>
      <w:footerReference w:type="first" r:id="rId3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028841" w14:textId="77777777" w:rsidR="00F5245D" w:rsidRDefault="00F5245D" w:rsidP="00BF2A14">
      <w:pPr>
        <w:spacing w:after="0" w:line="240" w:lineRule="auto"/>
      </w:pPr>
      <w:r>
        <w:separator/>
      </w:r>
    </w:p>
  </w:endnote>
  <w:endnote w:type="continuationSeparator" w:id="0">
    <w:p w14:paraId="6716AE59" w14:textId="77777777" w:rsidR="00F5245D" w:rsidRDefault="00F5245D" w:rsidP="00BF2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56B6E" w14:textId="77777777" w:rsidR="00807256" w:rsidRDefault="008072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3DAC39" w14:textId="77777777" w:rsidR="00807256" w:rsidRDefault="008072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6EFB3" w14:textId="77777777" w:rsidR="00807256" w:rsidRDefault="008072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56E9B1" w14:textId="77777777" w:rsidR="00F5245D" w:rsidRDefault="00F5245D" w:rsidP="00BF2A14">
      <w:pPr>
        <w:spacing w:after="0" w:line="240" w:lineRule="auto"/>
      </w:pPr>
      <w:r>
        <w:separator/>
      </w:r>
    </w:p>
  </w:footnote>
  <w:footnote w:type="continuationSeparator" w:id="0">
    <w:p w14:paraId="33D35161" w14:textId="77777777" w:rsidR="00F5245D" w:rsidRDefault="00F5245D" w:rsidP="00BF2A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94183" w14:textId="65746E3F" w:rsidR="00807256" w:rsidRDefault="00807256">
    <w:pPr>
      <w:pStyle w:val="Header"/>
    </w:pPr>
    <w:r>
      <w:rPr>
        <w:noProof/>
      </w:rPr>
      <w:pict w14:anchorId="2778EE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40242157" o:spid="_x0000_s2050" type="#_x0000_t136" style="position:absolute;margin-left:0;margin-top:0;width:555.6pt;height:104.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D8203" w14:textId="0A154A09" w:rsidR="00807256" w:rsidRDefault="00807256">
    <w:pPr>
      <w:pStyle w:val="Header"/>
    </w:pPr>
    <w:r>
      <w:rPr>
        <w:noProof/>
      </w:rPr>
      <w:pict w14:anchorId="3C404EA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40242158" o:spid="_x0000_s2051" type="#_x0000_t136" style="position:absolute;margin-left:0;margin-top:0;width:555.6pt;height:104.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920A47" w14:textId="413D7633" w:rsidR="00807256" w:rsidRDefault="00807256">
    <w:pPr>
      <w:pStyle w:val="Header"/>
    </w:pPr>
    <w:r>
      <w:rPr>
        <w:noProof/>
      </w:rPr>
      <w:pict w14:anchorId="2EEFD14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40242156" o:spid="_x0000_s2049" type="#_x0000_t136" style="position:absolute;margin-left:0;margin-top:0;width:555.6pt;height:104.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443F31"/>
    <w:multiLevelType w:val="hybridMultilevel"/>
    <w:tmpl w:val="D2E8C6C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4741278"/>
    <w:multiLevelType w:val="hybridMultilevel"/>
    <w:tmpl w:val="8DD23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CE1F4D"/>
    <w:multiLevelType w:val="hybridMultilevel"/>
    <w:tmpl w:val="B96CD9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4986"/>
    <w:rsid w:val="0000537A"/>
    <w:rsid w:val="00091E0F"/>
    <w:rsid w:val="000B4986"/>
    <w:rsid w:val="000C62FE"/>
    <w:rsid w:val="000D0E48"/>
    <w:rsid w:val="00103755"/>
    <w:rsid w:val="00146930"/>
    <w:rsid w:val="0017499B"/>
    <w:rsid w:val="001A314D"/>
    <w:rsid w:val="00204E6D"/>
    <w:rsid w:val="002848C2"/>
    <w:rsid w:val="002C2C47"/>
    <w:rsid w:val="002D716C"/>
    <w:rsid w:val="003A6B3B"/>
    <w:rsid w:val="003D2489"/>
    <w:rsid w:val="003E1708"/>
    <w:rsid w:val="00401A7D"/>
    <w:rsid w:val="004121C9"/>
    <w:rsid w:val="00422D9C"/>
    <w:rsid w:val="00461123"/>
    <w:rsid w:val="004E49E6"/>
    <w:rsid w:val="00502BAA"/>
    <w:rsid w:val="00524DC6"/>
    <w:rsid w:val="005372C4"/>
    <w:rsid w:val="005C0806"/>
    <w:rsid w:val="005D3EF3"/>
    <w:rsid w:val="006437D0"/>
    <w:rsid w:val="006D06A1"/>
    <w:rsid w:val="007228F6"/>
    <w:rsid w:val="00734D95"/>
    <w:rsid w:val="007A3869"/>
    <w:rsid w:val="007E6823"/>
    <w:rsid w:val="00807256"/>
    <w:rsid w:val="00854DF5"/>
    <w:rsid w:val="0092754C"/>
    <w:rsid w:val="00934158"/>
    <w:rsid w:val="009571BA"/>
    <w:rsid w:val="0095720B"/>
    <w:rsid w:val="00965192"/>
    <w:rsid w:val="009A2959"/>
    <w:rsid w:val="00AA0841"/>
    <w:rsid w:val="00AA32BA"/>
    <w:rsid w:val="00AB7056"/>
    <w:rsid w:val="00AF31BE"/>
    <w:rsid w:val="00B777C2"/>
    <w:rsid w:val="00BC2561"/>
    <w:rsid w:val="00BE265F"/>
    <w:rsid w:val="00BF2A14"/>
    <w:rsid w:val="00C05120"/>
    <w:rsid w:val="00C46D70"/>
    <w:rsid w:val="00C50618"/>
    <w:rsid w:val="00C76B0E"/>
    <w:rsid w:val="00CE6385"/>
    <w:rsid w:val="00D152BD"/>
    <w:rsid w:val="00D21611"/>
    <w:rsid w:val="00D31C07"/>
    <w:rsid w:val="00D376E6"/>
    <w:rsid w:val="00D476E7"/>
    <w:rsid w:val="00D642D2"/>
    <w:rsid w:val="00D976B7"/>
    <w:rsid w:val="00E267A7"/>
    <w:rsid w:val="00E82595"/>
    <w:rsid w:val="00F22F54"/>
    <w:rsid w:val="00F46886"/>
    <w:rsid w:val="00F5245D"/>
    <w:rsid w:val="00FE757A"/>
    <w:rsid w:val="00FF2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rules v:ext="edit">
        <o:r id="V:Rule1" type="connector" idref="#_x0000_s1026"/>
      </o:rules>
    </o:shapelayout>
  </w:shapeDefaults>
  <w:decimalSymbol w:val="."/>
  <w:listSeparator w:val=","/>
  <w14:docId w14:val="28647815"/>
  <w15:docId w15:val="{A844DC56-6BC1-427F-BCEB-53C1C39E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32BA"/>
  </w:style>
  <w:style w:type="paragraph" w:styleId="Heading3">
    <w:name w:val="heading 3"/>
    <w:basedOn w:val="Normal"/>
    <w:link w:val="Heading3Char"/>
    <w:uiPriority w:val="9"/>
    <w:qFormat/>
    <w:rsid w:val="00D976B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D976B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76B0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76B0E"/>
    <w:rPr>
      <w:i/>
      <w:iCs/>
    </w:rPr>
  </w:style>
  <w:style w:type="paragraph" w:styleId="BalloonText">
    <w:name w:val="Balloon Text"/>
    <w:basedOn w:val="Normal"/>
    <w:link w:val="BalloonTextChar"/>
    <w:uiPriority w:val="99"/>
    <w:semiHidden/>
    <w:unhideWhenUsed/>
    <w:rsid w:val="009571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1BA"/>
    <w:rPr>
      <w:rFonts w:ascii="Tahoma" w:hAnsi="Tahoma" w:cs="Tahoma"/>
      <w:sz w:val="16"/>
      <w:szCs w:val="16"/>
    </w:rPr>
  </w:style>
  <w:style w:type="character" w:customStyle="1" w:styleId="Heading3Char">
    <w:name w:val="Heading 3 Char"/>
    <w:basedOn w:val="DefaultParagraphFont"/>
    <w:link w:val="Heading3"/>
    <w:uiPriority w:val="9"/>
    <w:rsid w:val="00D976B7"/>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D976B7"/>
    <w:rPr>
      <w:rFonts w:ascii="Times New Roman" w:eastAsia="Times New Roman" w:hAnsi="Times New Roman" w:cs="Times New Roman"/>
      <w:b/>
      <w:bCs/>
      <w:sz w:val="24"/>
      <w:szCs w:val="24"/>
    </w:rPr>
  </w:style>
  <w:style w:type="character" w:styleId="Strong">
    <w:name w:val="Strong"/>
    <w:basedOn w:val="DefaultParagraphFont"/>
    <w:uiPriority w:val="22"/>
    <w:qFormat/>
    <w:rsid w:val="00D976B7"/>
    <w:rPr>
      <w:b/>
      <w:bCs/>
    </w:rPr>
  </w:style>
  <w:style w:type="character" w:styleId="Hyperlink">
    <w:name w:val="Hyperlink"/>
    <w:basedOn w:val="DefaultParagraphFont"/>
    <w:uiPriority w:val="99"/>
    <w:unhideWhenUsed/>
    <w:rsid w:val="00401A7D"/>
    <w:rPr>
      <w:color w:val="0000FF" w:themeColor="hyperlink"/>
      <w:u w:val="single"/>
    </w:rPr>
  </w:style>
  <w:style w:type="table" w:styleId="TableGrid">
    <w:name w:val="Table Grid"/>
    <w:basedOn w:val="TableNormal"/>
    <w:uiPriority w:val="59"/>
    <w:rsid w:val="005D3EF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LineNumber">
    <w:name w:val="line number"/>
    <w:basedOn w:val="DefaultParagraphFont"/>
    <w:uiPriority w:val="99"/>
    <w:semiHidden/>
    <w:unhideWhenUsed/>
    <w:rsid w:val="00D31C07"/>
  </w:style>
  <w:style w:type="paragraph" w:customStyle="1" w:styleId="Affiliation">
    <w:name w:val="Affiliation"/>
    <w:basedOn w:val="Normal"/>
    <w:rsid w:val="00D31C07"/>
    <w:pPr>
      <w:suppressAutoHyphens/>
      <w:spacing w:before="240" w:after="0" w:line="360" w:lineRule="auto"/>
    </w:pPr>
    <w:rPr>
      <w:rFonts w:ascii="Times New Roman" w:eastAsia="Times New Roman" w:hAnsi="Times New Roman" w:cs="Times New Roman"/>
      <w:i/>
      <w:sz w:val="24"/>
      <w:szCs w:val="24"/>
      <w:lang w:val="en-GB" w:eastAsia="zh-CN"/>
    </w:rPr>
  </w:style>
  <w:style w:type="paragraph" w:styleId="ListParagraph">
    <w:name w:val="List Paragraph"/>
    <w:basedOn w:val="Normal"/>
    <w:uiPriority w:val="34"/>
    <w:qFormat/>
    <w:rsid w:val="00D31C07"/>
    <w:pPr>
      <w:ind w:left="720"/>
      <w:contextualSpacing/>
    </w:pPr>
  </w:style>
  <w:style w:type="paragraph" w:customStyle="1" w:styleId="ReferHead">
    <w:name w:val="Refer Head"/>
    <w:basedOn w:val="Normal"/>
    <w:rsid w:val="00BF2A14"/>
    <w:pPr>
      <w:keepNext/>
      <w:spacing w:after="240" w:line="240" w:lineRule="auto"/>
    </w:pPr>
    <w:rPr>
      <w:rFonts w:ascii="Helvetica" w:eastAsia="Times New Roman" w:hAnsi="Helvetica" w:cs="Times New Roman"/>
      <w:b/>
      <w:caps/>
      <w:szCs w:val="20"/>
    </w:rPr>
  </w:style>
  <w:style w:type="paragraph" w:customStyle="1" w:styleId="AcknHead">
    <w:name w:val="Ackn Head"/>
    <w:basedOn w:val="Normal"/>
    <w:rsid w:val="00BF2A14"/>
    <w:pPr>
      <w:keepNext/>
      <w:spacing w:after="240" w:line="240" w:lineRule="auto"/>
    </w:pPr>
    <w:rPr>
      <w:rFonts w:ascii="Helvetica" w:eastAsia="Times New Roman" w:hAnsi="Helvetica" w:cs="Times New Roman"/>
      <w:b/>
      <w:caps/>
      <w:szCs w:val="20"/>
    </w:rPr>
  </w:style>
  <w:style w:type="paragraph" w:styleId="Header">
    <w:name w:val="header"/>
    <w:basedOn w:val="Normal"/>
    <w:link w:val="HeaderChar"/>
    <w:uiPriority w:val="99"/>
    <w:unhideWhenUsed/>
    <w:rsid w:val="00BF2A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2A14"/>
  </w:style>
  <w:style w:type="paragraph" w:styleId="Footer">
    <w:name w:val="footer"/>
    <w:basedOn w:val="Normal"/>
    <w:link w:val="FooterChar"/>
    <w:uiPriority w:val="99"/>
    <w:unhideWhenUsed/>
    <w:rsid w:val="00BF2A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2A14"/>
  </w:style>
  <w:style w:type="character" w:styleId="UnresolvedMention">
    <w:name w:val="Unresolved Mention"/>
    <w:basedOn w:val="DefaultParagraphFont"/>
    <w:uiPriority w:val="99"/>
    <w:semiHidden/>
    <w:unhideWhenUsed/>
    <w:rsid w:val="00D47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77283">
      <w:bodyDiv w:val="1"/>
      <w:marLeft w:val="0"/>
      <w:marRight w:val="0"/>
      <w:marTop w:val="0"/>
      <w:marBottom w:val="0"/>
      <w:divBdr>
        <w:top w:val="none" w:sz="0" w:space="0" w:color="auto"/>
        <w:left w:val="none" w:sz="0" w:space="0" w:color="auto"/>
        <w:bottom w:val="none" w:sz="0" w:space="0" w:color="auto"/>
        <w:right w:val="none" w:sz="0" w:space="0" w:color="auto"/>
      </w:divBdr>
    </w:div>
    <w:div w:id="228074761">
      <w:bodyDiv w:val="1"/>
      <w:marLeft w:val="0"/>
      <w:marRight w:val="0"/>
      <w:marTop w:val="0"/>
      <w:marBottom w:val="0"/>
      <w:divBdr>
        <w:top w:val="none" w:sz="0" w:space="0" w:color="auto"/>
        <w:left w:val="none" w:sz="0" w:space="0" w:color="auto"/>
        <w:bottom w:val="none" w:sz="0" w:space="0" w:color="auto"/>
        <w:right w:val="none" w:sz="0" w:space="0" w:color="auto"/>
      </w:divBdr>
    </w:div>
    <w:div w:id="281960773">
      <w:bodyDiv w:val="1"/>
      <w:marLeft w:val="0"/>
      <w:marRight w:val="0"/>
      <w:marTop w:val="0"/>
      <w:marBottom w:val="0"/>
      <w:divBdr>
        <w:top w:val="none" w:sz="0" w:space="0" w:color="auto"/>
        <w:left w:val="none" w:sz="0" w:space="0" w:color="auto"/>
        <w:bottom w:val="none" w:sz="0" w:space="0" w:color="auto"/>
        <w:right w:val="none" w:sz="0" w:space="0" w:color="auto"/>
      </w:divBdr>
    </w:div>
    <w:div w:id="325981330">
      <w:bodyDiv w:val="1"/>
      <w:marLeft w:val="0"/>
      <w:marRight w:val="0"/>
      <w:marTop w:val="0"/>
      <w:marBottom w:val="0"/>
      <w:divBdr>
        <w:top w:val="none" w:sz="0" w:space="0" w:color="auto"/>
        <w:left w:val="none" w:sz="0" w:space="0" w:color="auto"/>
        <w:bottom w:val="none" w:sz="0" w:space="0" w:color="auto"/>
        <w:right w:val="none" w:sz="0" w:space="0" w:color="auto"/>
      </w:divBdr>
    </w:div>
    <w:div w:id="539056294">
      <w:bodyDiv w:val="1"/>
      <w:marLeft w:val="0"/>
      <w:marRight w:val="0"/>
      <w:marTop w:val="0"/>
      <w:marBottom w:val="0"/>
      <w:divBdr>
        <w:top w:val="none" w:sz="0" w:space="0" w:color="auto"/>
        <w:left w:val="none" w:sz="0" w:space="0" w:color="auto"/>
        <w:bottom w:val="none" w:sz="0" w:space="0" w:color="auto"/>
        <w:right w:val="none" w:sz="0" w:space="0" w:color="auto"/>
      </w:divBdr>
    </w:div>
    <w:div w:id="603540766">
      <w:bodyDiv w:val="1"/>
      <w:marLeft w:val="0"/>
      <w:marRight w:val="0"/>
      <w:marTop w:val="0"/>
      <w:marBottom w:val="0"/>
      <w:divBdr>
        <w:top w:val="none" w:sz="0" w:space="0" w:color="auto"/>
        <w:left w:val="none" w:sz="0" w:space="0" w:color="auto"/>
        <w:bottom w:val="none" w:sz="0" w:space="0" w:color="auto"/>
        <w:right w:val="none" w:sz="0" w:space="0" w:color="auto"/>
      </w:divBdr>
    </w:div>
    <w:div w:id="798303694">
      <w:bodyDiv w:val="1"/>
      <w:marLeft w:val="0"/>
      <w:marRight w:val="0"/>
      <w:marTop w:val="0"/>
      <w:marBottom w:val="0"/>
      <w:divBdr>
        <w:top w:val="none" w:sz="0" w:space="0" w:color="auto"/>
        <w:left w:val="none" w:sz="0" w:space="0" w:color="auto"/>
        <w:bottom w:val="none" w:sz="0" w:space="0" w:color="auto"/>
        <w:right w:val="none" w:sz="0" w:space="0" w:color="auto"/>
      </w:divBdr>
    </w:div>
    <w:div w:id="1038972627">
      <w:bodyDiv w:val="1"/>
      <w:marLeft w:val="0"/>
      <w:marRight w:val="0"/>
      <w:marTop w:val="0"/>
      <w:marBottom w:val="0"/>
      <w:divBdr>
        <w:top w:val="none" w:sz="0" w:space="0" w:color="auto"/>
        <w:left w:val="none" w:sz="0" w:space="0" w:color="auto"/>
        <w:bottom w:val="none" w:sz="0" w:space="0" w:color="auto"/>
        <w:right w:val="none" w:sz="0" w:space="0" w:color="auto"/>
      </w:divBdr>
    </w:div>
    <w:div w:id="1231959072">
      <w:bodyDiv w:val="1"/>
      <w:marLeft w:val="0"/>
      <w:marRight w:val="0"/>
      <w:marTop w:val="0"/>
      <w:marBottom w:val="0"/>
      <w:divBdr>
        <w:top w:val="none" w:sz="0" w:space="0" w:color="auto"/>
        <w:left w:val="none" w:sz="0" w:space="0" w:color="auto"/>
        <w:bottom w:val="none" w:sz="0" w:space="0" w:color="auto"/>
        <w:right w:val="none" w:sz="0" w:space="0" w:color="auto"/>
      </w:divBdr>
    </w:div>
    <w:div w:id="1277255806">
      <w:bodyDiv w:val="1"/>
      <w:marLeft w:val="0"/>
      <w:marRight w:val="0"/>
      <w:marTop w:val="0"/>
      <w:marBottom w:val="0"/>
      <w:divBdr>
        <w:top w:val="none" w:sz="0" w:space="0" w:color="auto"/>
        <w:left w:val="none" w:sz="0" w:space="0" w:color="auto"/>
        <w:bottom w:val="none" w:sz="0" w:space="0" w:color="auto"/>
        <w:right w:val="none" w:sz="0" w:space="0" w:color="auto"/>
      </w:divBdr>
    </w:div>
    <w:div w:id="1329019096">
      <w:bodyDiv w:val="1"/>
      <w:marLeft w:val="0"/>
      <w:marRight w:val="0"/>
      <w:marTop w:val="0"/>
      <w:marBottom w:val="0"/>
      <w:divBdr>
        <w:top w:val="none" w:sz="0" w:space="0" w:color="auto"/>
        <w:left w:val="none" w:sz="0" w:space="0" w:color="auto"/>
        <w:bottom w:val="none" w:sz="0" w:space="0" w:color="auto"/>
        <w:right w:val="none" w:sz="0" w:space="0" w:color="auto"/>
      </w:divBdr>
    </w:div>
    <w:div w:id="1374768387">
      <w:bodyDiv w:val="1"/>
      <w:marLeft w:val="0"/>
      <w:marRight w:val="0"/>
      <w:marTop w:val="0"/>
      <w:marBottom w:val="0"/>
      <w:divBdr>
        <w:top w:val="none" w:sz="0" w:space="0" w:color="auto"/>
        <w:left w:val="none" w:sz="0" w:space="0" w:color="auto"/>
        <w:bottom w:val="none" w:sz="0" w:space="0" w:color="auto"/>
        <w:right w:val="none" w:sz="0" w:space="0" w:color="auto"/>
      </w:divBdr>
    </w:div>
    <w:div w:id="1385640394">
      <w:bodyDiv w:val="1"/>
      <w:marLeft w:val="0"/>
      <w:marRight w:val="0"/>
      <w:marTop w:val="0"/>
      <w:marBottom w:val="0"/>
      <w:divBdr>
        <w:top w:val="none" w:sz="0" w:space="0" w:color="auto"/>
        <w:left w:val="none" w:sz="0" w:space="0" w:color="auto"/>
        <w:bottom w:val="none" w:sz="0" w:space="0" w:color="auto"/>
        <w:right w:val="none" w:sz="0" w:space="0" w:color="auto"/>
      </w:divBdr>
    </w:div>
    <w:div w:id="1581863329">
      <w:bodyDiv w:val="1"/>
      <w:marLeft w:val="0"/>
      <w:marRight w:val="0"/>
      <w:marTop w:val="0"/>
      <w:marBottom w:val="0"/>
      <w:divBdr>
        <w:top w:val="none" w:sz="0" w:space="0" w:color="auto"/>
        <w:left w:val="none" w:sz="0" w:space="0" w:color="auto"/>
        <w:bottom w:val="none" w:sz="0" w:space="0" w:color="auto"/>
        <w:right w:val="none" w:sz="0" w:space="0" w:color="auto"/>
      </w:divBdr>
    </w:div>
    <w:div w:id="1654329370">
      <w:bodyDiv w:val="1"/>
      <w:marLeft w:val="0"/>
      <w:marRight w:val="0"/>
      <w:marTop w:val="0"/>
      <w:marBottom w:val="0"/>
      <w:divBdr>
        <w:top w:val="none" w:sz="0" w:space="0" w:color="auto"/>
        <w:left w:val="none" w:sz="0" w:space="0" w:color="auto"/>
        <w:bottom w:val="none" w:sz="0" w:space="0" w:color="auto"/>
        <w:right w:val="none" w:sz="0" w:space="0" w:color="auto"/>
      </w:divBdr>
    </w:div>
    <w:div w:id="1719934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x.doi.org/10.14411/eje.2013.096" TargetMode="External"/><Relationship Id="rId18" Type="http://schemas.openxmlformats.org/officeDocument/2006/relationships/hyperlink" Target="https://doi.org/10.1038/s41421-020-00194-6" TargetMode="External"/><Relationship Id="rId26" Type="http://schemas.openxmlformats.org/officeDocument/2006/relationships/hyperlink" Target="https://doi.org/10.1016/0022-1910(70)90144-7" TargetMode="External"/><Relationship Id="rId39" Type="http://schemas.openxmlformats.org/officeDocument/2006/relationships/footer" Target="footer3.xml"/><Relationship Id="rId21" Type="http://schemas.openxmlformats.org/officeDocument/2006/relationships/hyperlink" Target="https://doi.org/10.1016/j.jinsphys.2007.11.001" TargetMode="External"/><Relationship Id="rId34" Type="http://schemas.openxmlformats.org/officeDocument/2006/relationships/header" Target="head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i.org/10.1303/aez.13.91" TargetMode="External"/><Relationship Id="rId20" Type="http://schemas.openxmlformats.org/officeDocument/2006/relationships/hyperlink" Target="https://doi.org/10.1016/S0022-1910(99)00075-X" TargetMode="External"/><Relationship Id="rId29" Type="http://schemas.openxmlformats.org/officeDocument/2006/relationships/hyperlink" Target="https://doi.org/10.1590/S0103-90162002000300026"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i.org/10.53550/EEC.2023.v29i01.045" TargetMode="External"/><Relationship Id="rId24" Type="http://schemas.openxmlformats.org/officeDocument/2006/relationships/hyperlink" Target="https://doi.org/10.1210/endo-38-1-46" TargetMode="External"/><Relationship Id="rId32" Type="http://schemas.openxmlformats.org/officeDocument/2006/relationships/hyperlink" Target="http://dx.doi.org/10.9790/3008-1203051318"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dx.doi.org/10.55446/IJE.2023.1510" TargetMode="External"/><Relationship Id="rId23" Type="http://schemas.openxmlformats.org/officeDocument/2006/relationships/hyperlink" Target="https://doi.org/10.1002/jez.1400990304" TargetMode="External"/><Relationship Id="rId28" Type="http://schemas.openxmlformats.org/officeDocument/2006/relationships/hyperlink" Target="https://doi.org/10.1093/jee/78.6.1182" TargetMode="External"/><Relationship Id="rId36" Type="http://schemas.openxmlformats.org/officeDocument/2006/relationships/footer" Target="footer1.xml"/><Relationship Id="rId10" Type="http://schemas.openxmlformats.org/officeDocument/2006/relationships/hyperlink" Target="https://doi.org/10.9734/jeai/2025/v47i73627" TargetMode="External"/><Relationship Id="rId19" Type="http://schemas.openxmlformats.org/officeDocument/2006/relationships/hyperlink" Target="https://doi.org/10.1111/j.1096-3642.1933.tb01635.x" TargetMode="External"/><Relationship Id="rId31" Type="http://schemas.openxmlformats.org/officeDocument/2006/relationships/hyperlink" Target="https://doi.org/10.1017/S000748530003921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33307/entomon.v49i2.1174" TargetMode="External"/><Relationship Id="rId22" Type="http://schemas.openxmlformats.org/officeDocument/2006/relationships/hyperlink" Target="https://doi.org/10.1242/jcs.s2-79.313.91" TargetMode="External"/><Relationship Id="rId27" Type="http://schemas.openxmlformats.org/officeDocument/2006/relationships/hyperlink" Target="https://doi.org/10.1038/newbio230220a0" TargetMode="External"/><Relationship Id="rId30" Type="http://schemas.openxmlformats.org/officeDocument/2006/relationships/hyperlink" Target="https://doi.org/10.15739/IJAPR.17.017" TargetMode="External"/><Relationship Id="rId35" Type="http://schemas.openxmlformats.org/officeDocument/2006/relationships/header" Target="header2.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doi.org/10.2307/2389655" TargetMode="External"/><Relationship Id="rId17" Type="http://schemas.openxmlformats.org/officeDocument/2006/relationships/hyperlink" Target="https://doi.org/10.1111/j.1440-6055.1979.tb00868.x" TargetMode="External"/><Relationship Id="rId25" Type="http://schemas.openxmlformats.org/officeDocument/2006/relationships/hyperlink" Target="https://doi.org/10.1242/jeb.29.1.137" TargetMode="External"/><Relationship Id="rId33" Type="http://schemas.openxmlformats.org/officeDocument/2006/relationships/hyperlink" Target="http://dx.doi.org/10.9734/jsrr/2024/v30i51994" TargetMode="External"/><Relationship Id="rId3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358</TotalTime>
  <Pages>17</Pages>
  <Words>7911</Words>
  <Characters>45094</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SDI 1084</cp:lastModifiedBy>
  <cp:revision>11</cp:revision>
  <dcterms:created xsi:type="dcterms:W3CDTF">2025-08-07T20:56:00Z</dcterms:created>
  <dcterms:modified xsi:type="dcterms:W3CDTF">2025-08-12T07:57:00Z</dcterms:modified>
</cp:coreProperties>
</file>