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70BD1" w14:textId="77777777" w:rsidR="00241374" w:rsidRDefault="00241374" w:rsidP="00241374">
      <w:pPr>
        <w:jc w:val="center"/>
        <w:rPr>
          <w:rFonts w:ascii="Times New Roman" w:hAnsi="Times New Roman" w:cs="Times New Roman"/>
          <w:b/>
          <w:sz w:val="28"/>
          <w:szCs w:val="24"/>
        </w:rPr>
      </w:pPr>
      <w:r w:rsidRPr="00241374">
        <w:rPr>
          <w:rFonts w:ascii="Times New Roman" w:hAnsi="Times New Roman" w:cs="Times New Roman"/>
          <w:b/>
          <w:sz w:val="28"/>
          <w:szCs w:val="24"/>
        </w:rPr>
        <w:t xml:space="preserve">Qualitative and Molecular Characterization of </w:t>
      </w:r>
      <w:proofErr w:type="spellStart"/>
      <w:r w:rsidRPr="00241374">
        <w:rPr>
          <w:rFonts w:ascii="Times New Roman" w:hAnsi="Times New Roman" w:cs="Times New Roman"/>
          <w:b/>
          <w:sz w:val="28"/>
          <w:szCs w:val="24"/>
        </w:rPr>
        <w:t>Rugda</w:t>
      </w:r>
      <w:proofErr w:type="spellEnd"/>
      <w:r w:rsidRPr="00241374">
        <w:rPr>
          <w:rFonts w:ascii="Times New Roman" w:hAnsi="Times New Roman" w:cs="Times New Roman"/>
          <w:b/>
          <w:sz w:val="28"/>
          <w:szCs w:val="24"/>
        </w:rPr>
        <w:t xml:space="preserve"> Mushroom: A Comprehensive Analysis</w:t>
      </w:r>
    </w:p>
    <w:p w14:paraId="7B85D2EA" w14:textId="77777777" w:rsidR="00CE5F7C" w:rsidRDefault="00CE5F7C" w:rsidP="00802B31">
      <w:pPr>
        <w:spacing w:after="0" w:line="360" w:lineRule="auto"/>
        <w:jc w:val="both"/>
        <w:rPr>
          <w:rFonts w:ascii="Times New Roman" w:hAnsi="Times New Roman" w:cs="Times New Roman"/>
          <w:b/>
          <w:sz w:val="24"/>
          <w:szCs w:val="24"/>
        </w:rPr>
      </w:pPr>
    </w:p>
    <w:p w14:paraId="082F580A" w14:textId="27EE497C" w:rsidR="00241374" w:rsidRDefault="00241374" w:rsidP="00802B31">
      <w:pPr>
        <w:spacing w:after="0" w:line="360" w:lineRule="auto"/>
        <w:jc w:val="both"/>
        <w:rPr>
          <w:rFonts w:ascii="Times New Roman" w:hAnsi="Times New Roman" w:cs="Times New Roman"/>
          <w:b/>
          <w:sz w:val="24"/>
          <w:szCs w:val="24"/>
        </w:rPr>
      </w:pPr>
      <w:bookmarkStart w:id="0" w:name="_GoBack"/>
      <w:bookmarkEnd w:id="0"/>
      <w:r w:rsidRPr="00241374">
        <w:rPr>
          <w:rFonts w:ascii="Times New Roman" w:hAnsi="Times New Roman" w:cs="Times New Roman"/>
          <w:b/>
          <w:sz w:val="24"/>
          <w:szCs w:val="24"/>
        </w:rPr>
        <w:t>Abstract</w:t>
      </w:r>
    </w:p>
    <w:p w14:paraId="1B512378" w14:textId="77777777" w:rsidR="00241374" w:rsidRDefault="00241374" w:rsidP="00802B31">
      <w:pPr>
        <w:spacing w:line="360" w:lineRule="auto"/>
        <w:jc w:val="both"/>
        <w:rPr>
          <w:rFonts w:ascii="Times New Roman" w:hAnsi="Times New Roman" w:cs="Times New Roman"/>
          <w:sz w:val="24"/>
          <w:szCs w:val="24"/>
        </w:rPr>
      </w:pP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mushrooms are valued for their nutritional and therapeutic properties, yet detailed compositional and taxonomic studies remain scarce. In this work, we p</w:t>
      </w:r>
      <w:r w:rsidR="00076FE9">
        <w:rPr>
          <w:rFonts w:ascii="Times New Roman" w:hAnsi="Times New Roman" w:cs="Times New Roman"/>
          <w:sz w:val="24"/>
          <w:szCs w:val="24"/>
        </w:rPr>
        <w:t>resent an integrated quantitative analysis of phytochemicals</w:t>
      </w:r>
      <w:r w:rsidRPr="00241374">
        <w:rPr>
          <w:rFonts w:ascii="Times New Roman" w:hAnsi="Times New Roman" w:cs="Times New Roman"/>
          <w:sz w:val="24"/>
          <w:szCs w:val="24"/>
        </w:rPr>
        <w:t xml:space="preserve"> and molecular characterization of </w:t>
      </w: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fruiting bodies, employing Gas Chromatography–Mass Spectrometry (GC</w:t>
      </w:r>
      <w:r w:rsidRPr="00241374">
        <w:rPr>
          <w:rFonts w:ascii="Times New Roman" w:hAnsi="Times New Roman" w:cs="Times New Roman"/>
          <w:sz w:val="24"/>
          <w:szCs w:val="24"/>
        </w:rPr>
        <w:noBreakHyphen/>
        <w:t>MS), Fourier</w:t>
      </w:r>
      <w:r w:rsidRPr="00241374">
        <w:rPr>
          <w:rFonts w:ascii="Times New Roman" w:hAnsi="Times New Roman" w:cs="Times New Roman"/>
          <w:sz w:val="24"/>
          <w:szCs w:val="24"/>
        </w:rPr>
        <w:noBreakHyphen/>
        <w:t>Transform Infrared Spectroscopy (FTIR), Scanning Electron Microscopy (SEM), and DNA</w:t>
      </w:r>
      <w:r w:rsidRPr="00241374">
        <w:rPr>
          <w:rFonts w:ascii="Times New Roman" w:hAnsi="Times New Roman" w:cs="Times New Roman"/>
          <w:sz w:val="24"/>
          <w:szCs w:val="24"/>
        </w:rPr>
        <w:noBreakHyphen/>
        <w:t>based phylogenetic analysis.</w:t>
      </w:r>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GC</w:t>
      </w:r>
      <w:r w:rsidR="00076FE9" w:rsidRPr="00076FE9">
        <w:rPr>
          <w:rFonts w:ascii="Times New Roman" w:hAnsi="Times New Roman" w:cs="Times New Roman"/>
          <w:sz w:val="24"/>
          <w:szCs w:val="24"/>
        </w:rPr>
        <w:noBreakHyphen/>
        <w:t xml:space="preserve">MS analysis revealed </w:t>
      </w:r>
      <w:r w:rsidR="009A3D97">
        <w:rPr>
          <w:rFonts w:ascii="Times New Roman" w:hAnsi="Times New Roman" w:cs="Times New Roman"/>
          <w:sz w:val="24"/>
          <w:szCs w:val="24"/>
        </w:rPr>
        <w:t>nine</w:t>
      </w:r>
      <w:r w:rsidR="00076FE9">
        <w:rPr>
          <w:rFonts w:ascii="Times New Roman" w:hAnsi="Times New Roman" w:cs="Times New Roman"/>
          <w:sz w:val="24"/>
          <w:szCs w:val="24"/>
        </w:rPr>
        <w:t xml:space="preserve"> compounds</w:t>
      </w:r>
      <w:r w:rsidR="00076FE9" w:rsidRPr="00076FE9">
        <w:rPr>
          <w:rFonts w:ascii="Times New Roman" w:hAnsi="Times New Roman" w:cs="Times New Roman"/>
          <w:sz w:val="24"/>
          <w:szCs w:val="24"/>
        </w:rPr>
        <w:t>. FTIR spectra exhibited characteristic peaks at</w:t>
      </w:r>
      <w:r w:rsidR="00076FE9">
        <w:rPr>
          <w:rFonts w:ascii="Times New Roman" w:hAnsi="Times New Roman" w:cs="Times New Roman"/>
          <w:sz w:val="24"/>
          <w:szCs w:val="24"/>
        </w:rPr>
        <w:t xml:space="preserve"> O–H stretching</w:t>
      </w:r>
      <w:r w:rsidR="00076FE9" w:rsidRPr="00076FE9">
        <w:rPr>
          <w:rFonts w:ascii="Times New Roman" w:hAnsi="Times New Roman" w:cs="Times New Roman"/>
          <w:sz w:val="24"/>
          <w:szCs w:val="24"/>
        </w:rPr>
        <w:t xml:space="preserve">, </w:t>
      </w:r>
      <w:r w:rsidR="00076FE9">
        <w:rPr>
          <w:rFonts w:ascii="Times New Roman" w:hAnsi="Times New Roman" w:cs="Times New Roman"/>
          <w:sz w:val="24"/>
          <w:szCs w:val="24"/>
        </w:rPr>
        <w:t xml:space="preserve">N-H bend, C–O </w:t>
      </w:r>
      <w:proofErr w:type="spellStart"/>
      <w:r w:rsidR="00076FE9">
        <w:rPr>
          <w:rFonts w:ascii="Times New Roman" w:hAnsi="Times New Roman" w:cs="Times New Roman"/>
          <w:sz w:val="24"/>
          <w:szCs w:val="24"/>
        </w:rPr>
        <w:t>strech</w:t>
      </w:r>
      <w:proofErr w:type="spellEnd"/>
      <w:r w:rsidR="00076FE9" w:rsidRPr="00076FE9">
        <w:rPr>
          <w:rFonts w:ascii="Times New Roman" w:hAnsi="Times New Roman" w:cs="Times New Roman"/>
          <w:sz w:val="24"/>
          <w:szCs w:val="24"/>
        </w:rPr>
        <w:t xml:space="preserve">, indicating </w:t>
      </w:r>
      <w:r w:rsidR="00076FE9">
        <w:rPr>
          <w:rFonts w:ascii="Times New Roman" w:hAnsi="Times New Roman" w:cs="Times New Roman"/>
          <w:sz w:val="24"/>
          <w:szCs w:val="24"/>
        </w:rPr>
        <w:t>phenol, amine &amp; ester</w:t>
      </w:r>
      <w:r w:rsidR="00076FE9" w:rsidRPr="00076FE9">
        <w:rPr>
          <w:rFonts w:ascii="Times New Roman" w:hAnsi="Times New Roman" w:cs="Times New Roman"/>
          <w:sz w:val="24"/>
          <w:szCs w:val="24"/>
        </w:rPr>
        <w:t>. SEM images showed a compact hyphal network with ellipsoid spores bearing reticulate ornamentation. ITS sequ</w:t>
      </w:r>
      <w:r w:rsidR="00076FE9">
        <w:rPr>
          <w:rFonts w:ascii="Times New Roman" w:hAnsi="Times New Roman" w:cs="Times New Roman"/>
          <w:sz w:val="24"/>
          <w:szCs w:val="24"/>
        </w:rPr>
        <w:t xml:space="preserve">encing </w:t>
      </w:r>
      <w:r w:rsidR="00076FE9" w:rsidRPr="00076FE9">
        <w:rPr>
          <w:rFonts w:ascii="Times New Roman" w:hAnsi="Times New Roman" w:cs="Times New Roman"/>
          <w:sz w:val="24"/>
          <w:szCs w:val="24"/>
        </w:rPr>
        <w:t xml:space="preserve">confirmed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as belonging to the</w:t>
      </w:r>
      <w:r w:rsidR="00076FE9">
        <w:rPr>
          <w:rFonts w:ascii="Times New Roman" w:hAnsi="Times New Roman" w:cs="Times New Roman"/>
          <w:i/>
          <w:iCs/>
          <w:sz w:val="24"/>
          <w:szCs w:val="24"/>
        </w:rPr>
        <w:t xml:space="preserve"> </w:t>
      </w:r>
      <w:r w:rsidR="00076FE9" w:rsidRPr="00076FE9">
        <w:rPr>
          <w:rFonts w:ascii="Times New Roman" w:hAnsi="Times New Roman" w:cs="Times New Roman"/>
          <w:i/>
          <w:iCs/>
          <w:sz w:val="24"/>
          <w:szCs w:val="24"/>
        </w:rPr>
        <w:t xml:space="preserve">Astraeus </w:t>
      </w:r>
      <w:proofErr w:type="spellStart"/>
      <w:r w:rsidR="00076FE9" w:rsidRPr="00076FE9">
        <w:rPr>
          <w:rFonts w:ascii="Times New Roman" w:hAnsi="Times New Roman" w:cs="Times New Roman"/>
          <w:i/>
          <w:iCs/>
          <w:sz w:val="24"/>
          <w:szCs w:val="24"/>
        </w:rPr>
        <w:t>asiaticus</w:t>
      </w:r>
      <w:proofErr w:type="spellEnd"/>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The combined GC</w:t>
      </w:r>
      <w:r w:rsidR="00076FE9" w:rsidRPr="00076FE9">
        <w:rPr>
          <w:rFonts w:ascii="Times New Roman" w:hAnsi="Times New Roman" w:cs="Times New Roman"/>
          <w:sz w:val="24"/>
          <w:szCs w:val="24"/>
        </w:rPr>
        <w:noBreakHyphen/>
        <w:t xml:space="preserve">MS, FTIR, and SEM data elucidate the chemical and morphological attributes of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mushroom, while ITS</w:t>
      </w:r>
      <w:r w:rsidR="00076FE9" w:rsidRPr="00076FE9">
        <w:rPr>
          <w:rFonts w:ascii="Times New Roman" w:hAnsi="Times New Roman" w:cs="Times New Roman"/>
          <w:sz w:val="24"/>
          <w:szCs w:val="24"/>
        </w:rPr>
        <w:noBreakHyphen/>
        <w:t xml:space="preserve">based molecular analysis provides accurate taxonomic placement. This multidisciplinary profiling lays a foundation for future exploration of </w:t>
      </w:r>
      <w:proofErr w:type="spellStart"/>
      <w:r w:rsidR="00076FE9" w:rsidRPr="00076FE9">
        <w:rPr>
          <w:rFonts w:ascii="Times New Roman" w:hAnsi="Times New Roman" w:cs="Times New Roman"/>
          <w:sz w:val="24"/>
          <w:szCs w:val="24"/>
        </w:rPr>
        <w:t>Rugda’s</w:t>
      </w:r>
      <w:proofErr w:type="spellEnd"/>
      <w:r w:rsidR="00076FE9" w:rsidRPr="00076FE9">
        <w:rPr>
          <w:rFonts w:ascii="Times New Roman" w:hAnsi="Times New Roman" w:cs="Times New Roman"/>
          <w:sz w:val="24"/>
          <w:szCs w:val="24"/>
        </w:rPr>
        <w:t xml:space="preserve"> bioactive compounds and supports its authentication for nutritional, pharmaceutical, and industrial applications.</w:t>
      </w:r>
    </w:p>
    <w:p w14:paraId="12CA700A" w14:textId="77777777" w:rsidR="009A3D97" w:rsidRPr="00B83EE1" w:rsidRDefault="009A3D97" w:rsidP="00241374">
      <w:pPr>
        <w:jc w:val="both"/>
        <w:rPr>
          <w:rFonts w:ascii="Times New Roman" w:hAnsi="Times New Roman" w:cs="Times New Roman"/>
          <w:sz w:val="24"/>
          <w:szCs w:val="24"/>
        </w:rPr>
      </w:pPr>
      <w:r w:rsidRPr="00F77DFD">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Rugda</w:t>
      </w:r>
      <w:proofErr w:type="spellEnd"/>
      <w:r>
        <w:rPr>
          <w:rFonts w:ascii="Times New Roman" w:hAnsi="Times New Roman" w:cs="Times New Roman"/>
          <w:sz w:val="24"/>
          <w:szCs w:val="24"/>
        </w:rPr>
        <w:t xml:space="preserve">, Mushroom, </w:t>
      </w:r>
      <w:r w:rsidRPr="00076FE9">
        <w:rPr>
          <w:rFonts w:ascii="Times New Roman" w:hAnsi="Times New Roman" w:cs="Times New Roman"/>
          <w:i/>
          <w:iCs/>
          <w:sz w:val="24"/>
          <w:szCs w:val="24"/>
        </w:rPr>
        <w:t xml:space="preserve">Astraeus </w:t>
      </w:r>
      <w:proofErr w:type="spellStart"/>
      <w:r w:rsidRPr="00076FE9">
        <w:rPr>
          <w:rFonts w:ascii="Times New Roman" w:hAnsi="Times New Roman" w:cs="Times New Roman"/>
          <w:i/>
          <w:iCs/>
          <w:sz w:val="24"/>
          <w:szCs w:val="24"/>
        </w:rPr>
        <w:t>asiaticus</w:t>
      </w:r>
      <w:proofErr w:type="spellEnd"/>
      <w:r>
        <w:rPr>
          <w:rFonts w:ascii="Times New Roman" w:hAnsi="Times New Roman" w:cs="Times New Roman"/>
          <w:i/>
          <w:iCs/>
          <w:sz w:val="24"/>
          <w:szCs w:val="24"/>
        </w:rPr>
        <w:t xml:space="preserve">, </w:t>
      </w:r>
      <w:r w:rsidR="00B83EE1" w:rsidRPr="00241374">
        <w:rPr>
          <w:rFonts w:ascii="Times New Roman" w:hAnsi="Times New Roman" w:cs="Times New Roman"/>
          <w:sz w:val="24"/>
          <w:szCs w:val="24"/>
        </w:rPr>
        <w:t>GC</w:t>
      </w:r>
      <w:r w:rsidR="00B83EE1" w:rsidRPr="00241374">
        <w:rPr>
          <w:rFonts w:ascii="Times New Roman" w:hAnsi="Times New Roman" w:cs="Times New Roman"/>
          <w:sz w:val="24"/>
          <w:szCs w:val="24"/>
        </w:rPr>
        <w:noBreakHyphen/>
        <w:t>MS</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phylogenetic</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FTIR</w:t>
      </w:r>
      <w:r w:rsidR="00B83EE1">
        <w:rPr>
          <w:rFonts w:ascii="Times New Roman" w:hAnsi="Times New Roman" w:cs="Times New Roman"/>
          <w:sz w:val="24"/>
          <w:szCs w:val="24"/>
        </w:rPr>
        <w:t>.</w:t>
      </w:r>
    </w:p>
    <w:p w14:paraId="7B38E102" w14:textId="77777777" w:rsidR="00CC6025" w:rsidRPr="00F77DFD" w:rsidRDefault="0009653F">
      <w:pPr>
        <w:rPr>
          <w:rFonts w:ascii="Times New Roman" w:hAnsi="Times New Roman" w:cs="Times New Roman"/>
          <w:b/>
          <w:sz w:val="24"/>
          <w:szCs w:val="24"/>
        </w:rPr>
      </w:pPr>
      <w:r w:rsidRPr="00F77DFD">
        <w:rPr>
          <w:rFonts w:ascii="Times New Roman" w:hAnsi="Times New Roman" w:cs="Times New Roman"/>
          <w:b/>
          <w:sz w:val="24"/>
          <w:szCs w:val="24"/>
        </w:rPr>
        <w:t>INTRODUCTION</w:t>
      </w:r>
    </w:p>
    <w:p w14:paraId="501CFE77" w14:textId="77777777" w:rsidR="006107B6" w:rsidRPr="006107B6" w:rsidRDefault="00B83EE1" w:rsidP="00705A0C">
      <w:pPr>
        <w:spacing w:line="360" w:lineRule="auto"/>
        <w:jc w:val="both"/>
        <w:rPr>
          <w:rFonts w:ascii="Times New Roman" w:hAnsi="Times New Roman" w:cs="Times New Roman"/>
          <w:sz w:val="24"/>
          <w:szCs w:val="24"/>
        </w:rPr>
      </w:pPr>
      <w:r w:rsidRPr="00B83EE1">
        <w:rPr>
          <w:rFonts w:ascii="Times New Roman" w:hAnsi="Times New Roman" w:cs="Times New Roman"/>
          <w:sz w:val="24"/>
          <w:szCs w:val="24"/>
        </w:rPr>
        <w:t xml:space="preserve">Mushrooms, due to their medicinal and culinary benefits, have historically been seen as an agreeable member of human </w:t>
      </w:r>
      <w:proofErr w:type="spellStart"/>
      <w:r w:rsidRPr="00B83EE1">
        <w:rPr>
          <w:rFonts w:ascii="Times New Roman" w:hAnsi="Times New Roman" w:cs="Times New Roman"/>
          <w:sz w:val="24"/>
          <w:szCs w:val="24"/>
        </w:rPr>
        <w:t>civilisation</w:t>
      </w:r>
      <w:proofErr w:type="spellEnd"/>
      <w:r w:rsidRPr="00B83EE1">
        <w:rPr>
          <w:rFonts w:ascii="Times New Roman" w:hAnsi="Times New Roman" w:cs="Times New Roman"/>
          <w:sz w:val="24"/>
          <w:szCs w:val="24"/>
        </w:rPr>
        <w:t xml:space="preserve">, and have occasionally supplanted plant and animal-derived items. Mushrooms are now </w:t>
      </w:r>
      <w:proofErr w:type="spellStart"/>
      <w:r w:rsidRPr="00B83EE1">
        <w:rPr>
          <w:rFonts w:ascii="Times New Roman" w:hAnsi="Times New Roman" w:cs="Times New Roman"/>
          <w:sz w:val="24"/>
          <w:szCs w:val="24"/>
        </w:rPr>
        <w:t>recognised</w:t>
      </w:r>
      <w:proofErr w:type="spellEnd"/>
      <w:r w:rsidRPr="00B83EE1">
        <w:rPr>
          <w:rFonts w:ascii="Times New Roman" w:hAnsi="Times New Roman" w:cs="Times New Roman"/>
          <w:sz w:val="24"/>
          <w:szCs w:val="24"/>
        </w:rPr>
        <w:t xml:space="preserve"> as functional foods with nutritional value, structural quality, and acceptability (Mwangi et al., 2022). Furthermore, mushrooms undergo extraordinary changes in the coming days to adapt as smooth-running medicinal meals. Mushroom consumption is rapidly expanding in Asia, particularly in India and Japan. According to Research and Markets (2021), the mushroom cultivation industry was valued at 16.7 billion USD in 2020 and is expected to grow to 20.4 billion USD by 2025 (</w:t>
      </w:r>
      <w:proofErr w:type="spellStart"/>
      <w:r w:rsidRPr="00B83EE1">
        <w:rPr>
          <w:rFonts w:ascii="Times New Roman" w:hAnsi="Times New Roman" w:cs="Times New Roman"/>
          <w:sz w:val="24"/>
          <w:szCs w:val="24"/>
        </w:rPr>
        <w:t>Landínez</w:t>
      </w:r>
      <w:proofErr w:type="spellEnd"/>
      <w:r w:rsidRPr="00B83EE1">
        <w:rPr>
          <w:rFonts w:ascii="Times New Roman" w:hAnsi="Times New Roman" w:cs="Times New Roman"/>
          <w:sz w:val="24"/>
          <w:szCs w:val="24"/>
        </w:rPr>
        <w:t>-Torres et al., 2021).</w:t>
      </w:r>
      <w:r w:rsidR="0009653F" w:rsidRPr="0009653F">
        <w:rPr>
          <w:rFonts w:ascii="Times New Roman" w:hAnsi="Times New Roman" w:cs="Times New Roman"/>
          <w:sz w:val="24"/>
          <w:szCs w:val="24"/>
        </w:rPr>
        <w:t xml:space="preserve"> </w:t>
      </w:r>
      <w:r w:rsidR="006107B6" w:rsidRPr="006107B6">
        <w:rPr>
          <w:rFonts w:ascii="Times New Roman" w:hAnsi="Times New Roman" w:cs="Times New Roman"/>
          <w:sz w:val="24"/>
          <w:szCs w:val="24"/>
        </w:rPr>
        <w:t xml:space="preserve">Palatable mushrooms are low-calorie, low-fat food supplements that include modest levels of protein, carbs, vitamins, minerals, amino acids, and dietary </w:t>
      </w:r>
      <w:proofErr w:type="spellStart"/>
      <w:r w:rsidR="006107B6" w:rsidRPr="006107B6">
        <w:rPr>
          <w:rFonts w:ascii="Times New Roman" w:hAnsi="Times New Roman" w:cs="Times New Roman"/>
          <w:sz w:val="24"/>
          <w:szCs w:val="24"/>
        </w:rPr>
        <w:t>fibre</w:t>
      </w:r>
      <w:proofErr w:type="spellEnd"/>
      <w:r w:rsidR="006107B6" w:rsidRPr="006107B6">
        <w:rPr>
          <w:rFonts w:ascii="Times New Roman" w:hAnsi="Times New Roman" w:cs="Times New Roman"/>
          <w:sz w:val="24"/>
          <w:szCs w:val="24"/>
        </w:rPr>
        <w:t xml:space="preserve"> (Pandey and Ghosh, </w:t>
      </w:r>
      <w:r w:rsidR="006107B6" w:rsidRPr="006107B6">
        <w:rPr>
          <w:rFonts w:ascii="Times New Roman" w:hAnsi="Times New Roman" w:cs="Times New Roman"/>
          <w:sz w:val="24"/>
          <w:szCs w:val="24"/>
        </w:rPr>
        <w:lastRenderedPageBreak/>
        <w:t xml:space="preserve">2023). Mushrooms have antibacterial, antifungal, antiviral, antiparasitic, antioxidant, anti-inflammatory, antiproliferative, anticancer, anti-HIV, </w:t>
      </w:r>
      <w:proofErr w:type="spellStart"/>
      <w:r w:rsidR="006107B6" w:rsidRPr="006107B6">
        <w:rPr>
          <w:rFonts w:ascii="Times New Roman" w:hAnsi="Times New Roman" w:cs="Times New Roman"/>
          <w:sz w:val="24"/>
          <w:szCs w:val="24"/>
        </w:rPr>
        <w:t>hypocholesterolemic</w:t>
      </w:r>
      <w:proofErr w:type="spellEnd"/>
      <w:r w:rsidR="006107B6" w:rsidRPr="006107B6">
        <w:rPr>
          <w:rFonts w:ascii="Times New Roman" w:hAnsi="Times New Roman" w:cs="Times New Roman"/>
          <w:sz w:val="24"/>
          <w:szCs w:val="24"/>
        </w:rPr>
        <w:t xml:space="preserve">, antidiabetic, and anticoagulant properties (Ghosh et al., 2020a; </w:t>
      </w:r>
      <w:proofErr w:type="spellStart"/>
      <w:r w:rsidR="006107B6" w:rsidRPr="006107B6">
        <w:rPr>
          <w:rFonts w:ascii="Times New Roman" w:hAnsi="Times New Roman" w:cs="Times New Roman"/>
          <w:sz w:val="24"/>
          <w:szCs w:val="24"/>
        </w:rPr>
        <w:t>Manimaran</w:t>
      </w:r>
      <w:proofErr w:type="spellEnd"/>
      <w:r w:rsidR="006107B6" w:rsidRPr="006107B6">
        <w:rPr>
          <w:rFonts w:ascii="Times New Roman" w:hAnsi="Times New Roman" w:cs="Times New Roman"/>
          <w:sz w:val="24"/>
          <w:szCs w:val="24"/>
        </w:rPr>
        <w:t xml:space="preserve"> et al., 2021). In this study, we chose to focus on the fungus Astraeus sp. because of its nutritional value and its widespread usage as a restorative medication due to its antidiabetic, anticancer, hepatoprotective, anti-inflammatory, </w:t>
      </w:r>
      <w:r w:rsidR="006107B6">
        <w:rPr>
          <w:rFonts w:ascii="Times New Roman" w:hAnsi="Times New Roman" w:cs="Times New Roman"/>
          <w:sz w:val="24"/>
          <w:szCs w:val="24"/>
        </w:rPr>
        <w:t xml:space="preserve">and cardioprotective properties </w:t>
      </w:r>
      <w:r w:rsidR="0009653F" w:rsidRPr="0009653F">
        <w:rPr>
          <w:rFonts w:ascii="Times New Roman" w:hAnsi="Times New Roman" w:cs="Times New Roman"/>
          <w:sz w:val="24"/>
          <w:szCs w:val="24"/>
        </w:rPr>
        <w:t>(</w:t>
      </w:r>
      <w:proofErr w:type="spellStart"/>
      <w:r w:rsidR="0009653F" w:rsidRPr="0009653F">
        <w:rPr>
          <w:rFonts w:ascii="Times New Roman" w:hAnsi="Times New Roman" w:cs="Times New Roman"/>
          <w:sz w:val="24"/>
          <w:szCs w:val="24"/>
        </w:rPr>
        <w:t>Phadannok</w:t>
      </w:r>
      <w:proofErr w:type="spellEnd"/>
      <w:r w:rsidR="0009653F" w:rsidRPr="0009653F">
        <w:rPr>
          <w:rFonts w:ascii="Times New Roman" w:hAnsi="Times New Roman" w:cs="Times New Roman"/>
          <w:sz w:val="24"/>
          <w:szCs w:val="24"/>
        </w:rPr>
        <w:t xml:space="preserve"> et al., </w:t>
      </w:r>
      <w:r w:rsidR="0009653F" w:rsidRPr="006D3B1C">
        <w:rPr>
          <w:rFonts w:ascii="Times New Roman" w:hAnsi="Times New Roman" w:cs="Times New Roman"/>
          <w:sz w:val="24"/>
          <w:szCs w:val="24"/>
        </w:rPr>
        <w:t>2020</w:t>
      </w:r>
      <w:r w:rsidR="0009653F" w:rsidRPr="0009653F">
        <w:rPr>
          <w:rFonts w:ascii="Times New Roman" w:hAnsi="Times New Roman" w:cs="Times New Roman"/>
          <w:sz w:val="24"/>
          <w:szCs w:val="24"/>
        </w:rPr>
        <w:t xml:space="preserve">). </w:t>
      </w:r>
      <w:r w:rsidR="006107B6" w:rsidRPr="006107B6">
        <w:rPr>
          <w:rFonts w:ascii="Times New Roman" w:hAnsi="Times New Roman" w:cs="Times New Roman"/>
          <w:sz w:val="24"/>
          <w:szCs w:val="24"/>
        </w:rPr>
        <w:t xml:space="preserve">The primary goal of this study was to discover the biodiversity of Astraeus </w:t>
      </w:r>
      <w:proofErr w:type="spellStart"/>
      <w:r w:rsidR="006107B6" w:rsidRPr="006107B6">
        <w:rPr>
          <w:rFonts w:ascii="Times New Roman" w:hAnsi="Times New Roman" w:cs="Times New Roman"/>
          <w:sz w:val="24"/>
          <w:szCs w:val="24"/>
        </w:rPr>
        <w:t>asiaticus</w:t>
      </w:r>
      <w:proofErr w:type="spellEnd"/>
      <w:r w:rsidR="006107B6" w:rsidRPr="006107B6">
        <w:rPr>
          <w:rFonts w:ascii="Times New Roman" w:hAnsi="Times New Roman" w:cs="Times New Roman"/>
          <w:sz w:val="24"/>
          <w:szCs w:val="24"/>
        </w:rPr>
        <w:t xml:space="preserve"> by morphological, biochemical, and molecular research in various woodlands or forests of the Bankura district, a red lateritic zone in West Bengal. Mycorrhizae transport nutrients between the host plant's roots and soil-dwelling fungi. Biodiversity is extremely valuable "natural capital." Different kinds, species, and genera, as well as their intricate relationships, enable a functioning ecosystem and productive economies (World Bank, 2022). Although wild mushrooms and fungi are an important part of any ecosystem, there has been little research into their diversity and types, particularly in tropical nations like India.</w:t>
      </w:r>
      <w:r w:rsidR="0009653F" w:rsidRPr="0009653F">
        <w:rPr>
          <w:rFonts w:ascii="Times New Roman" w:hAnsi="Times New Roman" w:cs="Times New Roman"/>
          <w:sz w:val="24"/>
          <w:szCs w:val="24"/>
        </w:rPr>
        <w:t xml:space="preserve"> </w:t>
      </w:r>
      <w:r w:rsidR="006107B6" w:rsidRPr="006107B6">
        <w:rPr>
          <w:rFonts w:ascii="Times New Roman" w:hAnsi="Times New Roman" w:cs="Times New Roman"/>
          <w:sz w:val="24"/>
          <w:szCs w:val="24"/>
        </w:rPr>
        <w:t xml:space="preserve">As a result, an information gap exists. Wild edible mushrooms serve as a natural resource for rural communities, providing nutrition (Meena et al., 2020). As a result, research into the biodiversity of wild edible mushrooms, as well as their use, is critical to the economy. Astraeus species are economically significant because people harvest them for consumption and sale in commercial markets (Pandey and Ghosh, 2023). </w:t>
      </w:r>
      <w:proofErr w:type="spellStart"/>
      <w:r w:rsidR="006107B6" w:rsidRPr="006107B6">
        <w:rPr>
          <w:rFonts w:ascii="Times New Roman" w:hAnsi="Times New Roman" w:cs="Times New Roman"/>
          <w:sz w:val="24"/>
          <w:szCs w:val="24"/>
        </w:rPr>
        <w:t>Porahat</w:t>
      </w:r>
      <w:proofErr w:type="spellEnd"/>
      <w:r w:rsidR="006107B6" w:rsidRPr="006107B6">
        <w:rPr>
          <w:rFonts w:ascii="Times New Roman" w:hAnsi="Times New Roman" w:cs="Times New Roman"/>
          <w:sz w:val="24"/>
          <w:szCs w:val="24"/>
        </w:rPr>
        <w:t xml:space="preserve"> forest division is known for its abundance, and inhabitants can make money by selling wild edible mushrooms. As a result, this mushroom has a significant socioeconomic impact on rural Jharkhand, India.</w:t>
      </w:r>
      <w:r w:rsidR="006107B6">
        <w:rPr>
          <w:rFonts w:ascii="Times New Roman" w:hAnsi="Times New Roman" w:cs="Times New Roman"/>
          <w:sz w:val="24"/>
          <w:szCs w:val="24"/>
        </w:rPr>
        <w:t xml:space="preserve"> </w:t>
      </w:r>
      <w:r w:rsidR="006107B6" w:rsidRPr="006107B6">
        <w:rPr>
          <w:rFonts w:ascii="Times New Roman" w:hAnsi="Times New Roman" w:cs="Times New Roman"/>
          <w:i/>
          <w:sz w:val="24"/>
          <w:szCs w:val="24"/>
        </w:rPr>
        <w:t xml:space="preserve">A. </w:t>
      </w:r>
      <w:proofErr w:type="spellStart"/>
      <w:r w:rsidR="006107B6" w:rsidRPr="006107B6">
        <w:rPr>
          <w:rFonts w:ascii="Times New Roman" w:hAnsi="Times New Roman" w:cs="Times New Roman"/>
          <w:i/>
          <w:sz w:val="24"/>
          <w:szCs w:val="24"/>
        </w:rPr>
        <w:t>asiaticus</w:t>
      </w:r>
      <w:proofErr w:type="spellEnd"/>
      <w:r w:rsidR="006107B6" w:rsidRPr="006107B6">
        <w:rPr>
          <w:rFonts w:ascii="Times New Roman" w:hAnsi="Times New Roman" w:cs="Times New Roman"/>
          <w:i/>
          <w:sz w:val="24"/>
          <w:szCs w:val="24"/>
        </w:rPr>
        <w:t xml:space="preserve"> </w:t>
      </w:r>
      <w:r w:rsidR="006107B6" w:rsidRPr="006107B6">
        <w:rPr>
          <w:rFonts w:ascii="Times New Roman" w:hAnsi="Times New Roman" w:cs="Times New Roman"/>
          <w:sz w:val="24"/>
          <w:szCs w:val="24"/>
        </w:rPr>
        <w:t xml:space="preserve">is a promising eating fungus, but its therapeutic potential has not been investigated. Therefore, in this work, the molecular features, biodiversity, </w:t>
      </w:r>
      <w:proofErr w:type="spellStart"/>
      <w:r w:rsidR="006107B6" w:rsidRPr="006107B6">
        <w:rPr>
          <w:rFonts w:ascii="Times New Roman" w:hAnsi="Times New Roman" w:cs="Times New Roman"/>
          <w:sz w:val="24"/>
          <w:szCs w:val="24"/>
        </w:rPr>
        <w:t>mycochemistry</w:t>
      </w:r>
      <w:proofErr w:type="spellEnd"/>
      <w:r w:rsidR="006107B6" w:rsidRPr="006107B6">
        <w:rPr>
          <w:rFonts w:ascii="Times New Roman" w:hAnsi="Times New Roman" w:cs="Times New Roman"/>
          <w:sz w:val="24"/>
          <w:szCs w:val="24"/>
        </w:rPr>
        <w:t>, antioxidant content, and antioxidant activity of this mushroom were identified to enable further research on its therapeutic relevance.</w:t>
      </w:r>
    </w:p>
    <w:p w14:paraId="035AF513" w14:textId="77777777" w:rsidR="00997338" w:rsidRPr="00F77DFD" w:rsidRDefault="00997338" w:rsidP="0009653F">
      <w:pPr>
        <w:jc w:val="both"/>
        <w:rPr>
          <w:rFonts w:ascii="Times New Roman" w:hAnsi="Times New Roman" w:cs="Times New Roman"/>
          <w:b/>
          <w:sz w:val="24"/>
          <w:szCs w:val="24"/>
        </w:rPr>
      </w:pPr>
      <w:r w:rsidRPr="00F77DFD">
        <w:rPr>
          <w:rFonts w:ascii="Times New Roman" w:hAnsi="Times New Roman" w:cs="Times New Roman"/>
          <w:b/>
          <w:sz w:val="24"/>
          <w:szCs w:val="24"/>
        </w:rPr>
        <w:t>MATERIALS AND METHODS</w:t>
      </w:r>
    </w:p>
    <w:p w14:paraId="53788536" w14:textId="77777777" w:rsidR="00E968D3" w:rsidRPr="00F77DFD" w:rsidRDefault="00E968D3" w:rsidP="00E968D3">
      <w:pPr>
        <w:jc w:val="both"/>
        <w:rPr>
          <w:rFonts w:ascii="Times New Roman" w:hAnsi="Times New Roman" w:cs="Times New Roman"/>
          <w:b/>
          <w:sz w:val="24"/>
          <w:szCs w:val="24"/>
        </w:rPr>
      </w:pPr>
      <w:r w:rsidRPr="00F77DFD">
        <w:rPr>
          <w:rFonts w:ascii="Times New Roman" w:hAnsi="Times New Roman" w:cs="Times New Roman"/>
          <w:b/>
          <w:sz w:val="24"/>
          <w:szCs w:val="24"/>
        </w:rPr>
        <w:t>Sample Collection</w:t>
      </w:r>
    </w:p>
    <w:p w14:paraId="519B4202" w14:textId="77777777" w:rsidR="00B670AD" w:rsidRDefault="00B670AD" w:rsidP="00705A0C">
      <w:pPr>
        <w:spacing w:after="0" w:line="360" w:lineRule="auto"/>
        <w:jc w:val="both"/>
        <w:rPr>
          <w:rFonts w:ascii="Times New Roman" w:hAnsi="Times New Roman" w:cs="Times New Roman"/>
          <w:sz w:val="24"/>
          <w:szCs w:val="24"/>
        </w:rPr>
      </w:pPr>
      <w:r w:rsidRPr="00B670AD">
        <w:rPr>
          <w:rFonts w:ascii="Times New Roman" w:hAnsi="Times New Roman" w:cs="Times New Roman"/>
          <w:sz w:val="24"/>
          <w:szCs w:val="24"/>
        </w:rPr>
        <w:t xml:space="preserve">A mushroom survey was conducted in Jharkhand's </w:t>
      </w:r>
      <w:proofErr w:type="spellStart"/>
      <w:r w:rsidRPr="00B670AD">
        <w:rPr>
          <w:rFonts w:ascii="Times New Roman" w:hAnsi="Times New Roman" w:cs="Times New Roman"/>
          <w:sz w:val="24"/>
          <w:szCs w:val="24"/>
        </w:rPr>
        <w:t>Porahat</w:t>
      </w:r>
      <w:proofErr w:type="spellEnd"/>
      <w:r w:rsidRPr="00B670AD">
        <w:rPr>
          <w:rFonts w:ascii="Times New Roman" w:hAnsi="Times New Roman" w:cs="Times New Roman"/>
          <w:sz w:val="24"/>
          <w:szCs w:val="24"/>
        </w:rPr>
        <w:t xml:space="preserve"> Forest Division. From mid-July to August 2023, a periodic survey was undertaken in the optimal location for A. </w:t>
      </w:r>
      <w:proofErr w:type="spellStart"/>
      <w:r w:rsidRPr="00B670AD">
        <w:rPr>
          <w:rFonts w:ascii="Times New Roman" w:hAnsi="Times New Roman" w:cs="Times New Roman"/>
          <w:sz w:val="24"/>
          <w:szCs w:val="24"/>
        </w:rPr>
        <w:t>asiaticus</w:t>
      </w:r>
      <w:proofErr w:type="spellEnd"/>
      <w:r w:rsidRPr="00B670AD">
        <w:rPr>
          <w:rFonts w:ascii="Times New Roman" w:hAnsi="Times New Roman" w:cs="Times New Roman"/>
          <w:sz w:val="24"/>
          <w:szCs w:val="24"/>
        </w:rPr>
        <w:t xml:space="preserve"> gathering during the rainy season.</w:t>
      </w:r>
    </w:p>
    <w:p w14:paraId="4C4014F4" w14:textId="77777777" w:rsidR="00E968D3" w:rsidRPr="00E968D3" w:rsidRDefault="00E968D3" w:rsidP="00705A0C">
      <w:pPr>
        <w:spacing w:after="0" w:line="360" w:lineRule="auto"/>
        <w:jc w:val="both"/>
        <w:rPr>
          <w:rFonts w:ascii="Times New Roman" w:hAnsi="Times New Roman" w:cs="Times New Roman"/>
          <w:b/>
          <w:sz w:val="24"/>
          <w:szCs w:val="24"/>
        </w:rPr>
      </w:pPr>
      <w:r w:rsidRPr="00E968D3">
        <w:rPr>
          <w:rFonts w:ascii="Times New Roman" w:hAnsi="Times New Roman" w:cs="Times New Roman"/>
          <w:b/>
          <w:sz w:val="24"/>
          <w:szCs w:val="24"/>
        </w:rPr>
        <w:t>Identification of the Species</w:t>
      </w:r>
    </w:p>
    <w:p w14:paraId="5170A064" w14:textId="77777777" w:rsidR="00B670AD" w:rsidRDefault="00B670AD" w:rsidP="00705A0C">
      <w:pPr>
        <w:spacing w:after="0" w:line="360" w:lineRule="auto"/>
        <w:jc w:val="both"/>
        <w:rPr>
          <w:rFonts w:ascii="Times New Roman" w:hAnsi="Times New Roman" w:cs="Times New Roman"/>
          <w:sz w:val="24"/>
          <w:szCs w:val="24"/>
        </w:rPr>
      </w:pPr>
      <w:r w:rsidRPr="00B670AD">
        <w:rPr>
          <w:rFonts w:ascii="Times New Roman" w:hAnsi="Times New Roman" w:cs="Times New Roman"/>
          <w:sz w:val="24"/>
          <w:szCs w:val="24"/>
        </w:rPr>
        <w:lastRenderedPageBreak/>
        <w:t>Mushroom (</w:t>
      </w:r>
      <w:proofErr w:type="spellStart"/>
      <w:r w:rsidRPr="00B670AD">
        <w:rPr>
          <w:rFonts w:ascii="Times New Roman" w:hAnsi="Times New Roman" w:cs="Times New Roman"/>
          <w:sz w:val="24"/>
          <w:szCs w:val="24"/>
        </w:rPr>
        <w:t>basidioma</w:t>
      </w:r>
      <w:proofErr w:type="spellEnd"/>
      <w:r w:rsidRPr="00B670AD">
        <w:rPr>
          <w:rFonts w:ascii="Times New Roman" w:hAnsi="Times New Roman" w:cs="Times New Roman"/>
          <w:sz w:val="24"/>
          <w:szCs w:val="24"/>
        </w:rPr>
        <w:t xml:space="preserve">) morphology was studied macroscopically, and its size, shape, texture, </w:t>
      </w:r>
      <w:proofErr w:type="spellStart"/>
      <w:r w:rsidRPr="00B670AD">
        <w:rPr>
          <w:rFonts w:ascii="Times New Roman" w:hAnsi="Times New Roman" w:cs="Times New Roman"/>
          <w:sz w:val="24"/>
          <w:szCs w:val="24"/>
        </w:rPr>
        <w:t>colour</w:t>
      </w:r>
      <w:proofErr w:type="spellEnd"/>
      <w:r w:rsidRPr="00B670AD">
        <w:rPr>
          <w:rFonts w:ascii="Times New Roman" w:hAnsi="Times New Roman" w:cs="Times New Roman"/>
          <w:sz w:val="24"/>
          <w:szCs w:val="24"/>
        </w:rPr>
        <w:t>, and habit were determined (</w:t>
      </w:r>
      <w:proofErr w:type="spellStart"/>
      <w:r w:rsidRPr="00B670AD">
        <w:rPr>
          <w:rFonts w:ascii="Times New Roman" w:hAnsi="Times New Roman" w:cs="Times New Roman"/>
          <w:sz w:val="24"/>
          <w:szCs w:val="24"/>
        </w:rPr>
        <w:t>Phosri</w:t>
      </w:r>
      <w:proofErr w:type="spellEnd"/>
      <w:r w:rsidRPr="00B670AD">
        <w:rPr>
          <w:rFonts w:ascii="Times New Roman" w:hAnsi="Times New Roman" w:cs="Times New Roman"/>
          <w:sz w:val="24"/>
          <w:szCs w:val="24"/>
        </w:rPr>
        <w:t xml:space="preserve"> et al. 2007).  Biochemical assays were carried out using the previously published approach by </w:t>
      </w:r>
      <w:proofErr w:type="spellStart"/>
      <w:r w:rsidRPr="00B670AD">
        <w:rPr>
          <w:rFonts w:ascii="Times New Roman" w:hAnsi="Times New Roman" w:cs="Times New Roman"/>
          <w:sz w:val="24"/>
          <w:szCs w:val="24"/>
        </w:rPr>
        <w:t>Khaund</w:t>
      </w:r>
      <w:proofErr w:type="spellEnd"/>
      <w:r w:rsidRPr="00B670AD">
        <w:rPr>
          <w:rFonts w:ascii="Times New Roman" w:hAnsi="Times New Roman" w:cs="Times New Roman"/>
          <w:sz w:val="24"/>
          <w:szCs w:val="24"/>
        </w:rPr>
        <w:t xml:space="preserve"> and Joshi (2014).</w:t>
      </w:r>
    </w:p>
    <w:p w14:paraId="68C60EAB" w14:textId="77777777" w:rsidR="00B75269" w:rsidRPr="00EA2A41" w:rsidRDefault="00B75269" w:rsidP="00E968D3">
      <w:pPr>
        <w:jc w:val="both"/>
        <w:rPr>
          <w:rFonts w:ascii="Times New Roman" w:hAnsi="Times New Roman" w:cs="Times New Roman"/>
          <w:b/>
          <w:sz w:val="24"/>
          <w:szCs w:val="24"/>
        </w:rPr>
      </w:pPr>
      <w:r w:rsidRPr="00EA2A41">
        <w:rPr>
          <w:rFonts w:ascii="Times New Roman" w:hAnsi="Times New Roman" w:cs="Times New Roman"/>
          <w:b/>
          <w:sz w:val="24"/>
          <w:szCs w:val="24"/>
        </w:rPr>
        <w:t>Scanning electron microscopy</w:t>
      </w:r>
      <w:r w:rsidR="005B4E91" w:rsidRPr="00EA2A41">
        <w:rPr>
          <w:rFonts w:ascii="Times New Roman" w:hAnsi="Times New Roman" w:cs="Times New Roman"/>
          <w:b/>
          <w:sz w:val="24"/>
          <w:szCs w:val="24"/>
        </w:rPr>
        <w:t xml:space="preserve"> anal</w:t>
      </w:r>
      <w:r w:rsidRPr="00EA2A41">
        <w:rPr>
          <w:rFonts w:ascii="Times New Roman" w:hAnsi="Times New Roman" w:cs="Times New Roman"/>
          <w:b/>
          <w:sz w:val="24"/>
          <w:szCs w:val="24"/>
        </w:rPr>
        <w:t>ysis</w:t>
      </w:r>
    </w:p>
    <w:p w14:paraId="112D9702" w14:textId="77777777" w:rsidR="00B670AD" w:rsidRDefault="00B670AD" w:rsidP="00705A0C">
      <w:pPr>
        <w:spacing w:line="360" w:lineRule="auto"/>
        <w:jc w:val="both"/>
        <w:rPr>
          <w:rFonts w:ascii="Times New Roman" w:hAnsi="Times New Roman" w:cs="Times New Roman"/>
          <w:sz w:val="24"/>
          <w:szCs w:val="24"/>
        </w:rPr>
      </w:pPr>
      <w:r w:rsidRPr="00B670AD">
        <w:rPr>
          <w:rFonts w:ascii="Times New Roman" w:hAnsi="Times New Roman" w:cs="Times New Roman"/>
          <w:sz w:val="24"/>
          <w:szCs w:val="24"/>
        </w:rPr>
        <w:t>For scanning electron microscopy, spore samples were incubated in the following ethanol series with 2% glutaraldehyde for 15 minutes each: 30, 50, 70, 80, 90, 95, and 100%. The samples were centrifuged, and the supernatant was obtained. The samples were coated with gold using a sputter coater. A focused image of the sample served as the starting point for scanning electron microscopy (</w:t>
      </w:r>
      <w:proofErr w:type="spellStart"/>
      <w:r w:rsidRPr="00B670AD">
        <w:rPr>
          <w:rFonts w:ascii="Times New Roman" w:hAnsi="Times New Roman" w:cs="Times New Roman"/>
          <w:sz w:val="24"/>
          <w:szCs w:val="24"/>
        </w:rPr>
        <w:t>Phosri</w:t>
      </w:r>
      <w:proofErr w:type="spellEnd"/>
      <w:r w:rsidRPr="00B670AD">
        <w:rPr>
          <w:rFonts w:ascii="Times New Roman" w:hAnsi="Times New Roman" w:cs="Times New Roman"/>
          <w:sz w:val="24"/>
          <w:szCs w:val="24"/>
        </w:rPr>
        <w:t xml:space="preserve"> et al., 2007).</w:t>
      </w:r>
    </w:p>
    <w:p w14:paraId="1D06D5E3" w14:textId="77777777" w:rsidR="005B4E91" w:rsidRPr="00F77DFD" w:rsidRDefault="005B4E91" w:rsidP="00E968D3">
      <w:pPr>
        <w:jc w:val="both"/>
        <w:rPr>
          <w:rFonts w:ascii="Times New Roman" w:hAnsi="Times New Roman" w:cs="Times New Roman"/>
          <w:b/>
          <w:sz w:val="24"/>
          <w:szCs w:val="24"/>
        </w:rPr>
      </w:pPr>
      <w:r w:rsidRPr="00F77DFD">
        <w:rPr>
          <w:rFonts w:ascii="Times New Roman" w:hAnsi="Times New Roman" w:cs="Times New Roman"/>
          <w:b/>
          <w:sz w:val="24"/>
          <w:szCs w:val="24"/>
        </w:rPr>
        <w:t>Molecular Identification</w:t>
      </w:r>
    </w:p>
    <w:p w14:paraId="2A4814BF" w14:textId="77777777" w:rsidR="00B670AD" w:rsidRDefault="00B670AD" w:rsidP="00705A0C">
      <w:pPr>
        <w:spacing w:line="360" w:lineRule="auto"/>
        <w:jc w:val="both"/>
        <w:rPr>
          <w:rFonts w:ascii="Times New Roman" w:hAnsi="Times New Roman" w:cs="Times New Roman"/>
          <w:sz w:val="24"/>
          <w:szCs w:val="24"/>
        </w:rPr>
      </w:pPr>
      <w:r w:rsidRPr="00B670AD">
        <w:rPr>
          <w:rFonts w:ascii="Times New Roman" w:hAnsi="Times New Roman" w:cs="Times New Roman"/>
          <w:sz w:val="24"/>
          <w:szCs w:val="24"/>
        </w:rPr>
        <w:t xml:space="preserve">DNA was extracted from fresh mushrooms using the modified CTAB method (Doyle &amp; Doyle, 1987). Isolated DNA was purified with a </w:t>
      </w:r>
      <w:proofErr w:type="spellStart"/>
      <w:r w:rsidRPr="00B670AD">
        <w:rPr>
          <w:rFonts w:ascii="Times New Roman" w:hAnsi="Times New Roman" w:cs="Times New Roman"/>
          <w:sz w:val="24"/>
          <w:szCs w:val="24"/>
        </w:rPr>
        <w:t>HiMedia</w:t>
      </w:r>
      <w:proofErr w:type="spellEnd"/>
      <w:r w:rsidRPr="00B670AD">
        <w:rPr>
          <w:rFonts w:ascii="Times New Roman" w:hAnsi="Times New Roman" w:cs="Times New Roman"/>
          <w:sz w:val="24"/>
          <w:szCs w:val="24"/>
        </w:rPr>
        <w:t xml:space="preserve"> Purification Kit and electrophoresed on a 0.8% agarose Gel. The ITS1-5.8S-ITS2 marker zone for rRNA in isolated gDNA was amplified using a PCR (polymerase chain reaction) procedure modified from </w:t>
      </w:r>
      <w:proofErr w:type="spellStart"/>
      <w:r w:rsidRPr="00B670AD">
        <w:rPr>
          <w:rFonts w:ascii="Times New Roman" w:hAnsi="Times New Roman" w:cs="Times New Roman"/>
          <w:sz w:val="24"/>
          <w:szCs w:val="24"/>
        </w:rPr>
        <w:t>Gardes</w:t>
      </w:r>
      <w:proofErr w:type="spellEnd"/>
      <w:r w:rsidRPr="00B670AD">
        <w:rPr>
          <w:rFonts w:ascii="Times New Roman" w:hAnsi="Times New Roman" w:cs="Times New Roman"/>
          <w:sz w:val="24"/>
          <w:szCs w:val="24"/>
        </w:rPr>
        <w:t xml:space="preserve"> and Bruns (1993), with primers ITS-1F (5′-CTTGGTCATTTAGAGGAAGTAA-3′) and ITS4 (5′ TCCTCCGCT TATTGATATGC3′). The acquired sequence was compared to other comparable sequences with BLAST (Pandey &amp; Ghosh, 2023).</w:t>
      </w:r>
    </w:p>
    <w:p w14:paraId="2A50AE77" w14:textId="77777777" w:rsidR="00F338C1" w:rsidRDefault="00F338C1" w:rsidP="00CA0EC6">
      <w:pPr>
        <w:jc w:val="both"/>
        <w:rPr>
          <w:rFonts w:ascii="Times New Roman" w:hAnsi="Times New Roman" w:cs="Times New Roman"/>
          <w:sz w:val="24"/>
          <w:szCs w:val="24"/>
        </w:rPr>
      </w:pPr>
      <w:r>
        <w:rPr>
          <w:rFonts w:ascii="Times New Roman" w:hAnsi="Times New Roman" w:cs="Times New Roman"/>
          <w:sz w:val="24"/>
          <w:szCs w:val="24"/>
        </w:rPr>
        <w:t>Preparation of Mushroom</w:t>
      </w:r>
      <w:r w:rsidR="00CA0EC6" w:rsidRPr="00CA0EC6">
        <w:rPr>
          <w:rFonts w:ascii="Times New Roman" w:hAnsi="Times New Roman" w:cs="Times New Roman"/>
          <w:sz w:val="24"/>
          <w:szCs w:val="24"/>
        </w:rPr>
        <w:t xml:space="preserve"> Extrac</w:t>
      </w:r>
      <w:r>
        <w:rPr>
          <w:rFonts w:ascii="Times New Roman" w:hAnsi="Times New Roman" w:cs="Times New Roman"/>
          <w:sz w:val="24"/>
          <w:szCs w:val="24"/>
        </w:rPr>
        <w:t>t</w:t>
      </w:r>
    </w:p>
    <w:p w14:paraId="7441E537" w14:textId="77777777" w:rsidR="00B670AD" w:rsidRDefault="00B670AD" w:rsidP="00705A0C">
      <w:pPr>
        <w:spacing w:line="360" w:lineRule="auto"/>
        <w:jc w:val="both"/>
        <w:rPr>
          <w:rFonts w:ascii="Times New Roman" w:hAnsi="Times New Roman" w:cs="Times New Roman"/>
          <w:sz w:val="24"/>
          <w:szCs w:val="24"/>
        </w:rPr>
      </w:pPr>
      <w:r w:rsidRPr="00B670AD">
        <w:rPr>
          <w:rFonts w:ascii="Times New Roman" w:hAnsi="Times New Roman" w:cs="Times New Roman"/>
          <w:sz w:val="24"/>
          <w:szCs w:val="24"/>
        </w:rPr>
        <w:t>The acetone extract was made by pouring 10 g of mushroom powder into hot acetone in a 1:10 ratio, shaking it on a shaker at 150 rpm for 1 hour, and then placing it in an incubator set to 38 °C for 72 hours. The extract was then filtered through Whatman No. 4 filter paper, centrifuged at 3000 rpm for 15 minutes, and concentrated through evaporation using a rotary evaporator.</w:t>
      </w:r>
    </w:p>
    <w:p w14:paraId="1F0374F4" w14:textId="77777777" w:rsidR="00D21788" w:rsidRPr="00D21788" w:rsidRDefault="00646CD4" w:rsidP="00D21788">
      <w:pPr>
        <w:jc w:val="both"/>
        <w:rPr>
          <w:rFonts w:ascii="Times New Roman" w:hAnsi="Times New Roman" w:cs="Times New Roman"/>
          <w:b/>
          <w:bCs/>
          <w:sz w:val="24"/>
          <w:szCs w:val="24"/>
        </w:rPr>
      </w:pPr>
      <w:r>
        <w:rPr>
          <w:rFonts w:ascii="Times New Roman" w:hAnsi="Times New Roman" w:cs="Times New Roman"/>
          <w:b/>
          <w:bCs/>
          <w:sz w:val="24"/>
          <w:szCs w:val="24"/>
        </w:rPr>
        <w:t>Quantitative Analysis of Acetone Extract</w:t>
      </w:r>
    </w:p>
    <w:p w14:paraId="62AA85C9" w14:textId="77777777" w:rsidR="00B670AD" w:rsidRDefault="00B670AD" w:rsidP="00705A0C">
      <w:pPr>
        <w:spacing w:line="360" w:lineRule="auto"/>
        <w:jc w:val="both"/>
        <w:rPr>
          <w:rFonts w:ascii="Times New Roman" w:hAnsi="Times New Roman" w:cs="Times New Roman"/>
          <w:sz w:val="24"/>
          <w:szCs w:val="24"/>
        </w:rPr>
      </w:pPr>
      <w:proofErr w:type="spellStart"/>
      <w:r w:rsidRPr="00B670AD">
        <w:rPr>
          <w:rFonts w:ascii="Times New Roman" w:hAnsi="Times New Roman" w:cs="Times New Roman"/>
          <w:sz w:val="24"/>
          <w:szCs w:val="24"/>
        </w:rPr>
        <w:t>Folin</w:t>
      </w:r>
      <w:proofErr w:type="spellEnd"/>
      <w:r w:rsidRPr="00B670AD">
        <w:rPr>
          <w:rFonts w:ascii="Times New Roman" w:hAnsi="Times New Roman" w:cs="Times New Roman"/>
          <w:sz w:val="24"/>
          <w:szCs w:val="24"/>
        </w:rPr>
        <w:t xml:space="preserve">-reagent </w:t>
      </w:r>
      <w:proofErr w:type="spellStart"/>
      <w:r w:rsidRPr="00B670AD">
        <w:rPr>
          <w:rFonts w:ascii="Times New Roman" w:hAnsi="Times New Roman" w:cs="Times New Roman"/>
          <w:sz w:val="24"/>
          <w:szCs w:val="24"/>
        </w:rPr>
        <w:t>Ciocalteu's</w:t>
      </w:r>
      <w:proofErr w:type="spellEnd"/>
      <w:r w:rsidRPr="00B670AD">
        <w:rPr>
          <w:rFonts w:ascii="Times New Roman" w:hAnsi="Times New Roman" w:cs="Times New Roman"/>
          <w:sz w:val="24"/>
          <w:szCs w:val="24"/>
        </w:rPr>
        <w:t xml:space="preserve"> approach was </w:t>
      </w:r>
      <w:proofErr w:type="spellStart"/>
      <w:r w:rsidRPr="00B670AD">
        <w:rPr>
          <w:rFonts w:ascii="Times New Roman" w:hAnsi="Times New Roman" w:cs="Times New Roman"/>
          <w:sz w:val="24"/>
          <w:szCs w:val="24"/>
        </w:rPr>
        <w:t>utilised</w:t>
      </w:r>
      <w:proofErr w:type="spellEnd"/>
      <w:r w:rsidRPr="00B670AD">
        <w:rPr>
          <w:rFonts w:ascii="Times New Roman" w:hAnsi="Times New Roman" w:cs="Times New Roman"/>
          <w:sz w:val="24"/>
          <w:szCs w:val="24"/>
        </w:rPr>
        <w:t xml:space="preserve"> to determine the total phenol content of the extract, and Ghosh et al. (2025) provided a standard method for calculating the total flavonoid content of the extracts. The total phenol content was calculated as mg of Gallic acid equivalent (GAEs) per g of acetone extract dry weight, and the total flavonoid content as mg of Quercetin equivalent (QEs) per g of acetone extract dry weight.</w:t>
      </w:r>
    </w:p>
    <w:p w14:paraId="42DB655B" w14:textId="77777777" w:rsidR="00D21788" w:rsidRPr="00D21788" w:rsidRDefault="00D21788" w:rsidP="00D21788">
      <w:pPr>
        <w:jc w:val="both"/>
        <w:rPr>
          <w:rFonts w:ascii="Times New Roman" w:hAnsi="Times New Roman" w:cs="Times New Roman"/>
          <w:b/>
          <w:bCs/>
          <w:sz w:val="24"/>
          <w:szCs w:val="24"/>
        </w:rPr>
      </w:pPr>
      <w:r w:rsidRPr="00D21788">
        <w:rPr>
          <w:rFonts w:ascii="Times New Roman" w:hAnsi="Times New Roman" w:cs="Times New Roman"/>
          <w:b/>
          <w:bCs/>
          <w:sz w:val="24"/>
          <w:szCs w:val="24"/>
        </w:rPr>
        <w:lastRenderedPageBreak/>
        <w:t xml:space="preserve">FT-IR </w:t>
      </w:r>
      <w:r w:rsidR="008D58DE">
        <w:rPr>
          <w:rFonts w:ascii="Times New Roman" w:hAnsi="Times New Roman" w:cs="Times New Roman"/>
          <w:b/>
          <w:bCs/>
          <w:sz w:val="24"/>
          <w:szCs w:val="24"/>
        </w:rPr>
        <w:t>analysis</w:t>
      </w:r>
    </w:p>
    <w:p w14:paraId="75CC3F21" w14:textId="77777777" w:rsidR="00B670AD" w:rsidRDefault="00B670AD" w:rsidP="00705A0C">
      <w:pPr>
        <w:spacing w:line="360" w:lineRule="auto"/>
        <w:jc w:val="both"/>
        <w:rPr>
          <w:rFonts w:ascii="Times New Roman" w:hAnsi="Times New Roman" w:cs="Times New Roman"/>
          <w:sz w:val="24"/>
          <w:szCs w:val="24"/>
        </w:rPr>
      </w:pPr>
      <w:r w:rsidRPr="00B670AD">
        <w:rPr>
          <w:rFonts w:ascii="Times New Roman" w:hAnsi="Times New Roman" w:cs="Times New Roman"/>
          <w:sz w:val="24"/>
          <w:szCs w:val="24"/>
        </w:rPr>
        <w:t xml:space="preserve">FT-IR is the most potent instrument for identifying the many types of functional groups found in compounds. 10 mg of crude ethyl acetate powder was encapsulated in a 100 mg </w:t>
      </w:r>
      <w:proofErr w:type="spellStart"/>
      <w:r w:rsidRPr="00B670AD">
        <w:rPr>
          <w:rFonts w:ascii="Times New Roman" w:hAnsi="Times New Roman" w:cs="Times New Roman"/>
          <w:sz w:val="24"/>
          <w:szCs w:val="24"/>
        </w:rPr>
        <w:t>KBr</w:t>
      </w:r>
      <w:proofErr w:type="spellEnd"/>
      <w:r w:rsidRPr="00B670AD">
        <w:rPr>
          <w:rFonts w:ascii="Times New Roman" w:hAnsi="Times New Roman" w:cs="Times New Roman"/>
          <w:sz w:val="24"/>
          <w:szCs w:val="24"/>
        </w:rPr>
        <w:t xml:space="preserve"> pellet. The powdered material was </w:t>
      </w:r>
      <w:proofErr w:type="spellStart"/>
      <w:r w:rsidRPr="00B670AD">
        <w:rPr>
          <w:rFonts w:ascii="Times New Roman" w:hAnsi="Times New Roman" w:cs="Times New Roman"/>
          <w:sz w:val="24"/>
          <w:szCs w:val="24"/>
        </w:rPr>
        <w:t>analysed</w:t>
      </w:r>
      <w:proofErr w:type="spellEnd"/>
      <w:r w:rsidRPr="00B670AD">
        <w:rPr>
          <w:rFonts w:ascii="Times New Roman" w:hAnsi="Times New Roman" w:cs="Times New Roman"/>
          <w:sz w:val="24"/>
          <w:szCs w:val="24"/>
        </w:rPr>
        <w:t xml:space="preserve"> using an FT-IR spectroscope with a scan range of 400-4000 cm− 1 and a resolution of cm−1 (Ashok &amp; Ramaswamy, 2014). A chromatogram was discovered, and each peak of the chromatogram was </w:t>
      </w:r>
      <w:proofErr w:type="spellStart"/>
      <w:r w:rsidRPr="00B670AD">
        <w:rPr>
          <w:rFonts w:ascii="Times New Roman" w:hAnsi="Times New Roman" w:cs="Times New Roman"/>
          <w:sz w:val="24"/>
          <w:szCs w:val="24"/>
        </w:rPr>
        <w:t>recognised</w:t>
      </w:r>
      <w:proofErr w:type="spellEnd"/>
      <w:r w:rsidRPr="00B670AD">
        <w:rPr>
          <w:rFonts w:ascii="Times New Roman" w:hAnsi="Times New Roman" w:cs="Times New Roman"/>
          <w:sz w:val="24"/>
          <w:szCs w:val="24"/>
        </w:rPr>
        <w:t xml:space="preserve"> using the database.</w:t>
      </w:r>
    </w:p>
    <w:p w14:paraId="379EC47B" w14:textId="77777777" w:rsidR="00D21788" w:rsidRPr="00D21788" w:rsidRDefault="008D58DE" w:rsidP="00D21788">
      <w:pPr>
        <w:jc w:val="both"/>
        <w:rPr>
          <w:rFonts w:ascii="Times New Roman" w:hAnsi="Times New Roman" w:cs="Times New Roman"/>
          <w:b/>
          <w:bCs/>
          <w:sz w:val="24"/>
          <w:szCs w:val="24"/>
        </w:rPr>
      </w:pPr>
      <w:r>
        <w:rPr>
          <w:rFonts w:ascii="Times New Roman" w:hAnsi="Times New Roman" w:cs="Times New Roman"/>
          <w:b/>
          <w:bCs/>
          <w:sz w:val="24"/>
          <w:szCs w:val="24"/>
        </w:rPr>
        <w:t>GC-MS analysis</w:t>
      </w:r>
    </w:p>
    <w:p w14:paraId="60E48750" w14:textId="77777777" w:rsidR="00816EB1" w:rsidRDefault="00816EB1" w:rsidP="00705A0C">
      <w:pPr>
        <w:spacing w:line="360" w:lineRule="auto"/>
        <w:jc w:val="both"/>
        <w:rPr>
          <w:rFonts w:ascii="Times New Roman" w:hAnsi="Times New Roman" w:cs="Times New Roman"/>
          <w:sz w:val="24"/>
          <w:szCs w:val="24"/>
        </w:rPr>
      </w:pPr>
      <w:r w:rsidRPr="00816EB1">
        <w:rPr>
          <w:rFonts w:ascii="Times New Roman" w:hAnsi="Times New Roman" w:cs="Times New Roman"/>
          <w:sz w:val="24"/>
          <w:szCs w:val="24"/>
        </w:rPr>
        <w:t xml:space="preserve">The GC-MS study was performed using an Agilent GC-6860 N Network GC System, which included a Gas Chromatograph and a Mass Spectrometer. The compounds were then identified from the GC-MS peaks using library data for the matching compounds provided by GC-MS Post Run Solution </w:t>
      </w:r>
      <w:proofErr w:type="spellStart"/>
      <w:r w:rsidRPr="00816EB1">
        <w:rPr>
          <w:rFonts w:ascii="Times New Roman" w:hAnsi="Times New Roman" w:cs="Times New Roman"/>
          <w:sz w:val="24"/>
          <w:szCs w:val="24"/>
        </w:rPr>
        <w:t>Softwares</w:t>
      </w:r>
      <w:proofErr w:type="spellEnd"/>
      <w:r w:rsidRPr="00816EB1">
        <w:rPr>
          <w:rFonts w:ascii="Times New Roman" w:hAnsi="Times New Roman" w:cs="Times New Roman"/>
          <w:sz w:val="24"/>
          <w:szCs w:val="24"/>
        </w:rPr>
        <w:t xml:space="preserve">. Electron impact </w:t>
      </w:r>
      <w:proofErr w:type="spellStart"/>
      <w:r w:rsidRPr="00816EB1">
        <w:rPr>
          <w:rFonts w:ascii="Times New Roman" w:hAnsi="Times New Roman" w:cs="Times New Roman"/>
          <w:sz w:val="24"/>
          <w:szCs w:val="24"/>
        </w:rPr>
        <w:t>ionisation</w:t>
      </w:r>
      <w:proofErr w:type="spellEnd"/>
      <w:r w:rsidRPr="00816EB1">
        <w:rPr>
          <w:rFonts w:ascii="Times New Roman" w:hAnsi="Times New Roman" w:cs="Times New Roman"/>
          <w:sz w:val="24"/>
          <w:szCs w:val="24"/>
        </w:rPr>
        <w:t xml:space="preserve"> at 70 eV was used to </w:t>
      </w:r>
      <w:proofErr w:type="spellStart"/>
      <w:r w:rsidRPr="00816EB1">
        <w:rPr>
          <w:rFonts w:ascii="Times New Roman" w:hAnsi="Times New Roman" w:cs="Times New Roman"/>
          <w:sz w:val="24"/>
          <w:szCs w:val="24"/>
        </w:rPr>
        <w:t>analyse</w:t>
      </w:r>
      <w:proofErr w:type="spellEnd"/>
      <w:r w:rsidRPr="00816EB1">
        <w:rPr>
          <w:rFonts w:ascii="Times New Roman" w:hAnsi="Times New Roman" w:cs="Times New Roman"/>
          <w:sz w:val="24"/>
          <w:szCs w:val="24"/>
        </w:rPr>
        <w:t xml:space="preserve"> GC/MS data, and the total ion count was used to identify and quantify compounds (</w:t>
      </w:r>
      <w:proofErr w:type="spellStart"/>
      <w:r w:rsidRPr="00816EB1">
        <w:rPr>
          <w:rFonts w:ascii="Times New Roman" w:hAnsi="Times New Roman" w:cs="Times New Roman"/>
          <w:sz w:val="24"/>
          <w:szCs w:val="24"/>
        </w:rPr>
        <w:t>Sanyal</w:t>
      </w:r>
      <w:proofErr w:type="spellEnd"/>
      <w:r w:rsidRPr="00816EB1">
        <w:rPr>
          <w:rFonts w:ascii="Times New Roman" w:hAnsi="Times New Roman" w:cs="Times New Roman"/>
          <w:sz w:val="24"/>
          <w:szCs w:val="24"/>
        </w:rPr>
        <w:t xml:space="preserve"> &amp; Ghosh, 2019).</w:t>
      </w:r>
    </w:p>
    <w:p w14:paraId="3A27DFBB" w14:textId="77777777" w:rsidR="00E968D3" w:rsidRPr="005418A8" w:rsidRDefault="00F77DFD" w:rsidP="00E968D3">
      <w:pPr>
        <w:jc w:val="both"/>
        <w:rPr>
          <w:rFonts w:ascii="Times New Roman" w:hAnsi="Times New Roman" w:cs="Times New Roman"/>
          <w:b/>
          <w:sz w:val="24"/>
          <w:szCs w:val="24"/>
        </w:rPr>
      </w:pPr>
      <w:r w:rsidRPr="005418A8">
        <w:rPr>
          <w:rFonts w:ascii="Times New Roman" w:hAnsi="Times New Roman" w:cs="Times New Roman"/>
          <w:b/>
          <w:sz w:val="24"/>
          <w:szCs w:val="24"/>
        </w:rPr>
        <w:t>RESULT AND DISCUSSION</w:t>
      </w:r>
    </w:p>
    <w:p w14:paraId="26BED058" w14:textId="77777777" w:rsidR="00336D1C" w:rsidRPr="005418A8" w:rsidRDefault="00336D1C" w:rsidP="00336D1C">
      <w:pPr>
        <w:shd w:val="clear" w:color="auto" w:fill="FFFFFF"/>
        <w:spacing w:after="0" w:line="360" w:lineRule="auto"/>
        <w:outlineLvl w:val="3"/>
        <w:rPr>
          <w:rFonts w:ascii="OpenSansBold" w:eastAsia="Times New Roman" w:hAnsi="OpenSansBold" w:cs="Times New Roman"/>
          <w:b/>
          <w:color w:val="000000"/>
          <w:sz w:val="24"/>
          <w:szCs w:val="24"/>
        </w:rPr>
      </w:pPr>
      <w:r w:rsidRPr="005418A8">
        <w:rPr>
          <w:rFonts w:ascii="OpenSansBold" w:eastAsia="Times New Roman" w:hAnsi="OpenSansBold" w:cs="Times New Roman"/>
          <w:b/>
          <w:color w:val="000000"/>
          <w:sz w:val="24"/>
          <w:szCs w:val="24"/>
        </w:rPr>
        <w:t>Phenotypical Identification of Mushroom</w:t>
      </w:r>
    </w:p>
    <w:p w14:paraId="014B776B" w14:textId="77777777" w:rsidR="00336D1C" w:rsidRDefault="002E2507"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E2507">
        <w:rPr>
          <w:rFonts w:ascii="Times New Roman" w:hAnsi="Times New Roman" w:cs="Times New Roman"/>
          <w:sz w:val="24"/>
          <w:szCs w:val="24"/>
        </w:rPr>
        <w:t xml:space="preserve"> fruiting season </w:t>
      </w:r>
      <w:r>
        <w:rPr>
          <w:rFonts w:ascii="Times New Roman" w:hAnsi="Times New Roman" w:cs="Times New Roman"/>
          <w:sz w:val="24"/>
          <w:szCs w:val="24"/>
        </w:rPr>
        <w:t xml:space="preserve">of this mushroom </w:t>
      </w:r>
      <w:r w:rsidRPr="002E2507">
        <w:rPr>
          <w:rFonts w:ascii="Times New Roman" w:hAnsi="Times New Roman" w:cs="Times New Roman"/>
          <w:sz w:val="24"/>
          <w:szCs w:val="24"/>
        </w:rPr>
        <w:t xml:space="preserve">is from June to August. It is globose and smooth, with an unexpanded diameter of 10-16 × 8-14 mm and an inflated diameter of 14-23 × 8-12 mm.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was initially white; but, as the spores matured,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and </w:t>
      </w:r>
      <w:proofErr w:type="gramStart"/>
      <w:r w:rsidRPr="002E2507">
        <w:rPr>
          <w:rFonts w:ascii="Times New Roman" w:hAnsi="Times New Roman" w:cs="Times New Roman"/>
          <w:sz w:val="24"/>
          <w:szCs w:val="24"/>
        </w:rPr>
        <w:t>its</w:t>
      </w:r>
      <w:proofErr w:type="gramEnd"/>
      <w:r w:rsidRPr="002E2507">
        <w:rPr>
          <w:rFonts w:ascii="Times New Roman" w:hAnsi="Times New Roman" w:cs="Times New Roman"/>
          <w:sz w:val="24"/>
          <w:szCs w:val="24"/>
        </w:rPr>
        <w:t xml:space="preserve"> granulate outer peridium became purplish chestnut. The exoperidium was slightly viscous and smooth, with a white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 xml:space="preserve"> covering the endoperidium (Figure 1). The endoperidium is a thin membrane layer of tissue that surrounds the spore mass in a 20-30 mm diameter sac with an irregularly formed ostiole at the top. The surface is rough, white, and grey to brown in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w:t>
      </w:r>
      <w:r w:rsidR="00336D1C" w:rsidRPr="00336D1C">
        <w:rPr>
          <w:rFonts w:ascii="Times New Roman" w:hAnsi="Times New Roman" w:cs="Times New Roman"/>
          <w:sz w:val="24"/>
          <w:szCs w:val="24"/>
        </w:rPr>
        <w:t xml:space="preserve"> </w:t>
      </w:r>
      <w:r w:rsidRPr="002E2507">
        <w:rPr>
          <w:rFonts w:ascii="Times New Roman" w:hAnsi="Times New Roman" w:cs="Times New Roman"/>
          <w:sz w:val="24"/>
          <w:szCs w:val="24"/>
        </w:rPr>
        <w:t>The basidiospore mass was yellowish while young, but black and powdery when mature. The spores were reddish-brown, generally spherical with minute warts, and were 7.5-11 µm in diameter. The mycelial layer consisted of branched hyphae measuring 4-7 µm in diameter. The fibrous layer's hyphae were 6-9 µm in diameter and branched, while the collenchyma-type layer had branched hyphae 3-4 µm in diameter (Figure 2). Scanning electron micrographs produced a clear three-dimensional image and stereoscopic view of the mushroom spore and hyphal structures. Ornamentation on the spore surface and hyphal structure were clearly visible (Figure 3). The basidiospores showed wide, dense, and rounded spine and were globose, ranging from 8.65–15.3 mm diameter.</w:t>
      </w:r>
      <w:r>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866"/>
      </w:tblGrid>
      <w:tr w:rsidR="00B33492" w14:paraId="7C9A3309" w14:textId="77777777" w:rsidTr="001F1FD3">
        <w:tc>
          <w:tcPr>
            <w:tcW w:w="5287" w:type="dxa"/>
          </w:tcPr>
          <w:p w14:paraId="4731073B" w14:textId="77777777" w:rsidR="00B33492" w:rsidRDefault="00B33492" w:rsidP="00336D1C">
            <w:pPr>
              <w:spacing w:line="360" w:lineRule="auto"/>
              <w:jc w:val="both"/>
              <w:rPr>
                <w:rFonts w:ascii="Times New Roman" w:hAnsi="Times New Roman" w:cs="Times New Roman"/>
                <w:sz w:val="24"/>
                <w:szCs w:val="24"/>
              </w:rPr>
            </w:pPr>
            <w:r w:rsidRPr="00B33492">
              <w:rPr>
                <w:rFonts w:ascii="Times New Roman" w:hAnsi="Times New Roman" w:cs="Times New Roman"/>
                <w:noProof/>
                <w:sz w:val="24"/>
                <w:szCs w:val="24"/>
              </w:rPr>
              <w:lastRenderedPageBreak/>
              <w:drawing>
                <wp:inline distT="0" distB="0" distL="0" distR="0" wp14:anchorId="439B39F7" wp14:editId="350B83BC">
                  <wp:extent cx="2737169" cy="1823191"/>
                  <wp:effectExtent l="19050" t="0" r="6031" b="0"/>
                  <wp:docPr id="3" name="Picture 1" descr="E:\NITZA OFFICIAL\SERVICE REPORT\Neha Rai\Cap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Capture 1.JPG"/>
                          <pic:cNvPicPr>
                            <a:picLocks noChangeAspect="1" noChangeArrowheads="1"/>
                          </pic:cNvPicPr>
                        </pic:nvPicPr>
                        <pic:blipFill>
                          <a:blip r:embed="rId6" cstate="print"/>
                          <a:srcRect/>
                          <a:stretch>
                            <a:fillRect/>
                          </a:stretch>
                        </pic:blipFill>
                        <pic:spPr bwMode="auto">
                          <a:xfrm>
                            <a:off x="0" y="0"/>
                            <a:ext cx="2745033" cy="1828429"/>
                          </a:xfrm>
                          <a:prstGeom prst="rect">
                            <a:avLst/>
                          </a:prstGeom>
                          <a:noFill/>
                          <a:ln w="9525">
                            <a:noFill/>
                            <a:miter lim="800000"/>
                            <a:headEnd/>
                            <a:tailEnd/>
                          </a:ln>
                        </pic:spPr>
                      </pic:pic>
                    </a:graphicData>
                  </a:graphic>
                </wp:inline>
              </w:drawing>
            </w:r>
          </w:p>
        </w:tc>
        <w:tc>
          <w:tcPr>
            <w:tcW w:w="4289" w:type="dxa"/>
          </w:tcPr>
          <w:p w14:paraId="3EEF4797" w14:textId="77777777" w:rsidR="00B33492" w:rsidRDefault="00B33492"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5C99652" wp14:editId="71988527">
                  <wp:extent cx="2932029" cy="1822241"/>
                  <wp:effectExtent l="19050" t="0" r="1671" b="0"/>
                  <wp:docPr id="2" name="Picture 2" descr="E:\NITZA OFFICIAL\SERVICE REPORT\Neha Rai\Gle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TZA OFFICIAL\SERVICE REPORT\Neha Rai\Gleaba.JPG"/>
                          <pic:cNvPicPr>
                            <a:picLocks noChangeAspect="1" noChangeArrowheads="1"/>
                          </pic:cNvPicPr>
                        </pic:nvPicPr>
                        <pic:blipFill>
                          <a:blip r:embed="rId7" cstate="print"/>
                          <a:srcRect/>
                          <a:stretch>
                            <a:fillRect/>
                          </a:stretch>
                        </pic:blipFill>
                        <pic:spPr bwMode="auto">
                          <a:xfrm>
                            <a:off x="0" y="0"/>
                            <a:ext cx="2935339" cy="1824298"/>
                          </a:xfrm>
                          <a:prstGeom prst="rect">
                            <a:avLst/>
                          </a:prstGeom>
                          <a:noFill/>
                          <a:ln w="9525">
                            <a:noFill/>
                            <a:miter lim="800000"/>
                            <a:headEnd/>
                            <a:tailEnd/>
                          </a:ln>
                        </pic:spPr>
                      </pic:pic>
                    </a:graphicData>
                  </a:graphic>
                </wp:inline>
              </w:drawing>
            </w:r>
          </w:p>
        </w:tc>
      </w:tr>
      <w:tr w:rsidR="00B33492" w14:paraId="60228575" w14:textId="77777777" w:rsidTr="001F1FD3">
        <w:tc>
          <w:tcPr>
            <w:tcW w:w="5287" w:type="dxa"/>
          </w:tcPr>
          <w:p w14:paraId="42A4CF8A" w14:textId="77777777"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1-</w:t>
            </w:r>
            <w:r>
              <w:t xml:space="preserve"> </w:t>
            </w:r>
            <w:r w:rsidRPr="005302AE">
              <w:rPr>
                <w:rFonts w:ascii="Times New Roman" w:hAnsi="Times New Roman" w:cs="Times New Roman"/>
                <w:sz w:val="24"/>
                <w:szCs w:val="24"/>
              </w:rPr>
              <w:t>Mature sporocarp</w:t>
            </w:r>
            <w:r>
              <w:rPr>
                <w:rFonts w:ascii="Times New Roman" w:hAnsi="Times New Roman" w:cs="Times New Roman"/>
                <w:sz w:val="24"/>
                <w:szCs w:val="24"/>
              </w:rPr>
              <w:t xml:space="preserve"> of </w:t>
            </w:r>
            <w:r w:rsidRPr="005302AE">
              <w:rPr>
                <w:rFonts w:ascii="Times New Roman" w:hAnsi="Times New Roman" w:cs="Times New Roman"/>
                <w:i/>
                <w:sz w:val="24"/>
                <w:szCs w:val="24"/>
              </w:rPr>
              <w:t xml:space="preserve">Astraeus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p>
        </w:tc>
        <w:tc>
          <w:tcPr>
            <w:tcW w:w="4289" w:type="dxa"/>
          </w:tcPr>
          <w:p w14:paraId="47BAB0EE" w14:textId="77777777"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 2</w:t>
            </w:r>
            <w:r w:rsidR="001F1FD3">
              <w:rPr>
                <w:rFonts w:ascii="Times New Roman" w:hAnsi="Times New Roman" w:cs="Times New Roman"/>
                <w:sz w:val="24"/>
                <w:szCs w:val="24"/>
              </w:rPr>
              <w:t>-</w:t>
            </w:r>
            <w:r>
              <w:rPr>
                <w:rFonts w:ascii="Times New Roman" w:hAnsi="Times New Roman" w:cs="Times New Roman"/>
                <w:sz w:val="24"/>
                <w:szCs w:val="24"/>
              </w:rPr>
              <w:t xml:space="preserve"> T</w:t>
            </w:r>
            <w:r w:rsidRPr="005302AE">
              <w:rPr>
                <w:rFonts w:ascii="Times New Roman" w:hAnsi="Times New Roman" w:cs="Times New Roman"/>
                <w:sz w:val="24"/>
                <w:szCs w:val="24"/>
              </w:rPr>
              <w:t xml:space="preserve">he anatomy of </w:t>
            </w:r>
            <w:r w:rsidRPr="005302AE">
              <w:rPr>
                <w:rFonts w:ascii="Times New Roman" w:hAnsi="Times New Roman" w:cs="Times New Roman"/>
                <w:i/>
                <w:sz w:val="24"/>
                <w:szCs w:val="24"/>
              </w:rPr>
              <w:t xml:space="preserve">Astraeus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r>
              <w:rPr>
                <w:rFonts w:ascii="Times New Roman" w:hAnsi="Times New Roman" w:cs="Times New Roman"/>
                <w:sz w:val="24"/>
                <w:szCs w:val="24"/>
              </w:rPr>
              <w:t xml:space="preserve"> Cross </w:t>
            </w:r>
            <w:r w:rsidRPr="005302AE">
              <w:rPr>
                <w:rFonts w:ascii="Times New Roman" w:hAnsi="Times New Roman" w:cs="Times New Roman"/>
                <w:sz w:val="24"/>
                <w:szCs w:val="24"/>
              </w:rPr>
              <w:t xml:space="preserve">section of the </w:t>
            </w:r>
            <w:proofErr w:type="spellStart"/>
            <w:r w:rsidRPr="005302AE">
              <w:rPr>
                <w:rFonts w:ascii="Times New Roman" w:hAnsi="Times New Roman" w:cs="Times New Roman"/>
                <w:sz w:val="24"/>
                <w:szCs w:val="24"/>
              </w:rPr>
              <w:t>gleba</w:t>
            </w:r>
            <w:proofErr w:type="spellEnd"/>
            <w:r>
              <w:rPr>
                <w:rFonts w:ascii="Times New Roman" w:hAnsi="Times New Roman" w:cs="Times New Roman"/>
                <w:sz w:val="24"/>
                <w:szCs w:val="24"/>
              </w:rPr>
              <w:t>.</w:t>
            </w:r>
          </w:p>
        </w:tc>
      </w:tr>
      <w:tr w:rsidR="00930CA2" w14:paraId="2C2E6F4B" w14:textId="77777777" w:rsidTr="001F1FD3">
        <w:tc>
          <w:tcPr>
            <w:tcW w:w="9576" w:type="dxa"/>
            <w:gridSpan w:val="2"/>
          </w:tcPr>
          <w:p w14:paraId="2766C208" w14:textId="77777777" w:rsidR="00930CA2" w:rsidRDefault="00930CA2"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339204F" wp14:editId="419922FB">
                  <wp:extent cx="3657600" cy="2647950"/>
                  <wp:effectExtent l="19050" t="0" r="0" b="0"/>
                  <wp:docPr id="5" name="Picture 3" descr="E:\NITZA OFFICIAL\SERVICE REPORT\Neha Ra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ITZA OFFICIAL\SERVICE REPORT\Neha Rai\SEM.JPG"/>
                          <pic:cNvPicPr>
                            <a:picLocks noChangeAspect="1" noChangeArrowheads="1"/>
                          </pic:cNvPicPr>
                        </pic:nvPicPr>
                        <pic:blipFill>
                          <a:blip r:embed="rId8" cstate="print"/>
                          <a:srcRect/>
                          <a:stretch>
                            <a:fillRect/>
                          </a:stretch>
                        </pic:blipFill>
                        <pic:spPr bwMode="auto">
                          <a:xfrm>
                            <a:off x="0" y="0"/>
                            <a:ext cx="3657600" cy="2647950"/>
                          </a:xfrm>
                          <a:prstGeom prst="rect">
                            <a:avLst/>
                          </a:prstGeom>
                          <a:noFill/>
                          <a:ln w="9525">
                            <a:noFill/>
                            <a:miter lim="800000"/>
                            <a:headEnd/>
                            <a:tailEnd/>
                          </a:ln>
                        </pic:spPr>
                      </pic:pic>
                    </a:graphicData>
                  </a:graphic>
                </wp:inline>
              </w:drawing>
            </w:r>
          </w:p>
        </w:tc>
      </w:tr>
      <w:tr w:rsidR="00930CA2" w14:paraId="4F40E40F" w14:textId="77777777" w:rsidTr="001F1FD3">
        <w:tc>
          <w:tcPr>
            <w:tcW w:w="9576" w:type="dxa"/>
            <w:gridSpan w:val="2"/>
          </w:tcPr>
          <w:p w14:paraId="0C70678B" w14:textId="77777777" w:rsidR="00930CA2" w:rsidRDefault="00930CA2" w:rsidP="001F1FD3">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t>Fig. 3</w:t>
            </w:r>
            <w:r w:rsidR="001F1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30CA2">
              <w:rPr>
                <w:rFonts w:ascii="Times New Roman" w:hAnsi="Times New Roman" w:cs="Times New Roman"/>
                <w:noProof/>
                <w:sz w:val="24"/>
                <w:szCs w:val="24"/>
              </w:rPr>
              <w:t xml:space="preserve">Scanning electron micrograph of the hyphae </w:t>
            </w:r>
            <w:r>
              <w:rPr>
                <w:rFonts w:ascii="Times New Roman" w:hAnsi="Times New Roman" w:cs="Times New Roman"/>
                <w:noProof/>
                <w:sz w:val="24"/>
                <w:szCs w:val="24"/>
              </w:rPr>
              <w:t xml:space="preserve">of </w:t>
            </w:r>
            <w:r w:rsidRPr="008515E4">
              <w:rPr>
                <w:rFonts w:ascii="Times New Roman" w:hAnsi="Times New Roman" w:cs="Times New Roman"/>
                <w:i/>
                <w:sz w:val="24"/>
                <w:szCs w:val="24"/>
              </w:rPr>
              <w:t xml:space="preserve">Astraeus </w:t>
            </w:r>
            <w:proofErr w:type="spellStart"/>
            <w:r w:rsidRPr="008515E4">
              <w:rPr>
                <w:rFonts w:ascii="Times New Roman" w:hAnsi="Times New Roman" w:cs="Times New Roman"/>
                <w:i/>
                <w:sz w:val="24"/>
                <w:szCs w:val="24"/>
              </w:rPr>
              <w:t>asiaticus</w:t>
            </w:r>
            <w:proofErr w:type="spellEnd"/>
            <w:r>
              <w:rPr>
                <w:rFonts w:ascii="Times New Roman" w:hAnsi="Times New Roman" w:cs="Times New Roman"/>
                <w:sz w:val="24"/>
                <w:szCs w:val="24"/>
              </w:rPr>
              <w:t>.</w:t>
            </w:r>
          </w:p>
        </w:tc>
      </w:tr>
    </w:tbl>
    <w:p w14:paraId="077A05DE" w14:textId="77777777" w:rsidR="008515E4" w:rsidRPr="001F1FD3" w:rsidRDefault="008515E4" w:rsidP="008515E4">
      <w:pPr>
        <w:spacing w:line="360" w:lineRule="auto"/>
        <w:jc w:val="both"/>
        <w:rPr>
          <w:rFonts w:ascii="Times New Roman" w:hAnsi="Times New Roman" w:cs="Times New Roman"/>
          <w:b/>
          <w:sz w:val="24"/>
          <w:szCs w:val="24"/>
        </w:rPr>
      </w:pPr>
      <w:r w:rsidRPr="001F1FD3">
        <w:rPr>
          <w:rFonts w:ascii="Times New Roman" w:hAnsi="Times New Roman" w:cs="Times New Roman"/>
          <w:b/>
          <w:sz w:val="24"/>
          <w:szCs w:val="24"/>
        </w:rPr>
        <w:t>Molecular Identification of Fungal Species</w:t>
      </w:r>
    </w:p>
    <w:p w14:paraId="6F3FD722" w14:textId="77777777" w:rsidR="002E2507" w:rsidRDefault="002E2507" w:rsidP="008515E4">
      <w:pPr>
        <w:spacing w:line="360" w:lineRule="auto"/>
        <w:jc w:val="both"/>
        <w:rPr>
          <w:rFonts w:ascii="Times New Roman" w:hAnsi="Times New Roman" w:cs="Times New Roman"/>
          <w:sz w:val="24"/>
          <w:szCs w:val="24"/>
        </w:rPr>
      </w:pPr>
      <w:r w:rsidRPr="002E2507">
        <w:rPr>
          <w:rFonts w:ascii="Times New Roman" w:hAnsi="Times New Roman" w:cs="Times New Roman"/>
          <w:sz w:val="24"/>
          <w:szCs w:val="24"/>
        </w:rPr>
        <w:t xml:space="preserve">The mushroom sample was </w:t>
      </w:r>
      <w:proofErr w:type="spellStart"/>
      <w:r w:rsidRPr="002E2507">
        <w:rPr>
          <w:rFonts w:ascii="Times New Roman" w:hAnsi="Times New Roman" w:cs="Times New Roman"/>
          <w:sz w:val="24"/>
          <w:szCs w:val="24"/>
        </w:rPr>
        <w:t>recognised</w:t>
      </w:r>
      <w:proofErr w:type="spellEnd"/>
      <w:r w:rsidRPr="002E2507">
        <w:rPr>
          <w:rFonts w:ascii="Times New Roman" w:hAnsi="Times New Roman" w:cs="Times New Roman"/>
          <w:sz w:val="24"/>
          <w:szCs w:val="24"/>
        </w:rPr>
        <w:t xml:space="preserve"> as Astraeus </w:t>
      </w:r>
      <w:proofErr w:type="spellStart"/>
      <w:r w:rsidRPr="002E2507">
        <w:rPr>
          <w:rFonts w:ascii="Times New Roman" w:hAnsi="Times New Roman" w:cs="Times New Roman"/>
          <w:sz w:val="24"/>
          <w:szCs w:val="24"/>
        </w:rPr>
        <w:t>asiaticus</w:t>
      </w:r>
      <w:proofErr w:type="spellEnd"/>
      <w:r w:rsidRPr="002E2507">
        <w:rPr>
          <w:rFonts w:ascii="Times New Roman" w:hAnsi="Times New Roman" w:cs="Times New Roman"/>
          <w:sz w:val="24"/>
          <w:szCs w:val="24"/>
        </w:rPr>
        <w:t xml:space="preserve"> using BLAST in the NCBI database, with query coverage (100.0%) and identity score (97.00%) (Fig. 4). The phylogenetic tree (Fig. 5) showed that the test organism is closely related to </w:t>
      </w:r>
      <w:r w:rsidRPr="00125D58">
        <w:rPr>
          <w:rFonts w:ascii="Times New Roman" w:hAnsi="Times New Roman" w:cs="Times New Roman"/>
          <w:i/>
          <w:sz w:val="24"/>
          <w:szCs w:val="24"/>
        </w:rPr>
        <w:t xml:space="preserve">Astraeus </w:t>
      </w:r>
      <w:proofErr w:type="spellStart"/>
      <w:r w:rsidRPr="00125D58">
        <w:rPr>
          <w:rFonts w:ascii="Times New Roman" w:hAnsi="Times New Roman" w:cs="Times New Roman"/>
          <w:i/>
          <w:sz w:val="24"/>
          <w:szCs w:val="24"/>
        </w:rPr>
        <w:t>asiaticus</w:t>
      </w:r>
      <w:proofErr w:type="spellEnd"/>
      <w:r w:rsidRPr="002E2507">
        <w:rPr>
          <w:rFonts w:ascii="Times New Roman" w:hAnsi="Times New Roman" w:cs="Times New Roman"/>
          <w:sz w:val="24"/>
          <w:szCs w:val="24"/>
        </w:rPr>
        <w:t xml:space="preserve">. As a result, the wild mushroom was identified as belonging to the genus </w:t>
      </w:r>
      <w:r w:rsidRPr="002E2507">
        <w:rPr>
          <w:rFonts w:ascii="Times New Roman" w:hAnsi="Times New Roman" w:cs="Times New Roman"/>
          <w:i/>
          <w:sz w:val="24"/>
          <w:szCs w:val="24"/>
        </w:rPr>
        <w:t xml:space="preserve">Astraeus </w:t>
      </w:r>
      <w:proofErr w:type="spellStart"/>
      <w:r w:rsidRPr="002E2507">
        <w:rPr>
          <w:rFonts w:ascii="Times New Roman" w:hAnsi="Times New Roman" w:cs="Times New Roman"/>
          <w:i/>
          <w:sz w:val="24"/>
          <w:szCs w:val="24"/>
        </w:rPr>
        <w:t>asiaticus</w:t>
      </w:r>
      <w:proofErr w:type="spellEnd"/>
      <w:r w:rsidRPr="002E2507">
        <w:rPr>
          <w:rFonts w:ascii="Times New Roman" w:hAnsi="Times New Roman" w:cs="Times New Roman"/>
          <w:sz w:val="24"/>
          <w:szCs w:val="24"/>
        </w:rPr>
        <w:t>.</w:t>
      </w:r>
    </w:p>
    <w:p w14:paraId="7F2D2A1C" w14:textId="77777777" w:rsidR="00AD6461" w:rsidRDefault="00AD6461" w:rsidP="008515E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ADFDE70" wp14:editId="696544B4">
            <wp:extent cx="5943600" cy="3077696"/>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943600" cy="3077696"/>
                    </a:xfrm>
                    <a:prstGeom prst="rect">
                      <a:avLst/>
                    </a:prstGeom>
                    <a:noFill/>
                    <a:ln w="9525">
                      <a:noFill/>
                      <a:miter lim="800000"/>
                      <a:headEnd/>
                      <a:tailEnd/>
                    </a:ln>
                  </pic:spPr>
                </pic:pic>
              </a:graphicData>
            </a:graphic>
          </wp:inline>
        </w:drawing>
      </w:r>
    </w:p>
    <w:p w14:paraId="02B570A2" w14:textId="77777777" w:rsidR="00AD6461" w:rsidRDefault="001F1FD3"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Fig.4-</w:t>
      </w:r>
      <w:r w:rsidR="00AD6461" w:rsidRPr="00AD6461">
        <w:rPr>
          <w:rFonts w:ascii="Times New Roman" w:hAnsi="Times New Roman" w:cs="Times New Roman"/>
          <w:sz w:val="24"/>
          <w:szCs w:val="24"/>
        </w:rPr>
        <w:t xml:space="preserve"> BLAST result of the highest sequence similarity of </w:t>
      </w:r>
      <w:r w:rsidR="00AD6461" w:rsidRPr="00AD6461">
        <w:rPr>
          <w:rFonts w:ascii="Times New Roman" w:hAnsi="Times New Roman" w:cs="Times New Roman"/>
          <w:i/>
          <w:sz w:val="24"/>
          <w:szCs w:val="24"/>
        </w:rPr>
        <w:t xml:space="preserve">Astraeus </w:t>
      </w:r>
      <w:proofErr w:type="spellStart"/>
      <w:r w:rsidR="00AD6461" w:rsidRPr="00AD6461">
        <w:rPr>
          <w:rFonts w:ascii="Times New Roman" w:hAnsi="Times New Roman" w:cs="Times New Roman"/>
          <w:i/>
          <w:sz w:val="24"/>
          <w:szCs w:val="24"/>
        </w:rPr>
        <w:t>asiaticus</w:t>
      </w:r>
      <w:proofErr w:type="spellEnd"/>
      <w:r w:rsidR="00AD6461" w:rsidRPr="00AD6461">
        <w:rPr>
          <w:rFonts w:ascii="Times New Roman" w:hAnsi="Times New Roman" w:cs="Times New Roman"/>
          <w:sz w:val="24"/>
          <w:szCs w:val="24"/>
        </w:rPr>
        <w:t>.</w:t>
      </w:r>
    </w:p>
    <w:p w14:paraId="05AE9F18" w14:textId="77777777" w:rsidR="00EC0C3E" w:rsidRDefault="00EC0C3E" w:rsidP="00AD646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099B4F" wp14:editId="24981173">
            <wp:extent cx="5943600" cy="243607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2436079"/>
                    </a:xfrm>
                    <a:prstGeom prst="rect">
                      <a:avLst/>
                    </a:prstGeom>
                    <a:noFill/>
                    <a:ln w="9525">
                      <a:noFill/>
                      <a:miter lim="800000"/>
                      <a:headEnd/>
                      <a:tailEnd/>
                    </a:ln>
                  </pic:spPr>
                </pic:pic>
              </a:graphicData>
            </a:graphic>
          </wp:inline>
        </w:drawing>
      </w:r>
    </w:p>
    <w:p w14:paraId="1719FD97" w14:textId="77777777" w:rsidR="00954A74" w:rsidRDefault="00954A74"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954A74">
        <w:rPr>
          <w:rFonts w:ascii="Times New Roman" w:hAnsi="Times New Roman" w:cs="Times New Roman"/>
          <w:sz w:val="24"/>
          <w:szCs w:val="24"/>
        </w:rPr>
        <w:t>Neighbor-joining phylogenetic tree showing the evolutionary relationship</w:t>
      </w:r>
      <w:r>
        <w:rPr>
          <w:rFonts w:ascii="Times New Roman" w:hAnsi="Times New Roman" w:cs="Times New Roman"/>
          <w:sz w:val="24"/>
          <w:szCs w:val="24"/>
        </w:rPr>
        <w:t xml:space="preserve"> with gene isolated gene sequence.</w:t>
      </w:r>
    </w:p>
    <w:p w14:paraId="5B225838" w14:textId="77777777" w:rsidR="008515E4" w:rsidRPr="00F77DFD" w:rsidRDefault="00F31CB3" w:rsidP="008515E4">
      <w:pPr>
        <w:spacing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Quantitative Analysis of Acetone Extract</w:t>
      </w:r>
    </w:p>
    <w:p w14:paraId="4F9F4D26" w14:textId="77777777" w:rsidR="00F31CB3" w:rsidRPr="008515E4" w:rsidRDefault="00F31CB3" w:rsidP="008515E4">
      <w:pPr>
        <w:spacing w:line="360" w:lineRule="auto"/>
        <w:jc w:val="both"/>
        <w:rPr>
          <w:rFonts w:ascii="Times New Roman" w:hAnsi="Times New Roman" w:cs="Times New Roman"/>
          <w:sz w:val="24"/>
          <w:szCs w:val="24"/>
        </w:rPr>
      </w:pPr>
      <w:r w:rsidRPr="00F31CB3">
        <w:rPr>
          <w:rFonts w:ascii="Times New Roman" w:hAnsi="Times New Roman" w:cs="Times New Roman"/>
          <w:sz w:val="24"/>
          <w:szCs w:val="24"/>
        </w:rPr>
        <w:t>The total</w:t>
      </w:r>
      <w:r>
        <w:rPr>
          <w:rFonts w:ascii="Times New Roman" w:hAnsi="Times New Roman" w:cs="Times New Roman"/>
          <w:sz w:val="24"/>
          <w:szCs w:val="24"/>
        </w:rPr>
        <w:t xml:space="preserve"> phenolic content (TPC) of acetone extract</w:t>
      </w:r>
      <w:r w:rsidR="00A80209">
        <w:rPr>
          <w:rFonts w:ascii="Times New Roman" w:hAnsi="Times New Roman" w:cs="Times New Roman"/>
          <w:sz w:val="24"/>
          <w:szCs w:val="24"/>
        </w:rPr>
        <w:t xml:space="preserve"> was 9</w:t>
      </w:r>
      <w:r w:rsidRPr="00F31CB3">
        <w:rPr>
          <w:rFonts w:ascii="Times New Roman" w:hAnsi="Times New Roman" w:cs="Times New Roman"/>
          <w:sz w:val="24"/>
          <w:szCs w:val="24"/>
        </w:rPr>
        <w:t>.</w:t>
      </w:r>
      <w:r w:rsidR="00A80209">
        <w:rPr>
          <w:rFonts w:ascii="Times New Roman" w:hAnsi="Times New Roman" w:cs="Times New Roman"/>
          <w:sz w:val="24"/>
          <w:szCs w:val="24"/>
        </w:rPr>
        <w:t>01</w:t>
      </w:r>
      <w:r w:rsidRPr="00F31CB3">
        <w:rPr>
          <w:rFonts w:ascii="Times New Roman" w:hAnsi="Times New Roman" w:cs="Times New Roman"/>
          <w:sz w:val="24"/>
          <w:szCs w:val="24"/>
        </w:rPr>
        <w:t> </w:t>
      </w:r>
      <w:r w:rsidR="00A80209">
        <w:rPr>
          <w:rFonts w:ascii="Times New Roman" w:hAnsi="Times New Roman" w:cs="Times New Roman"/>
          <w:sz w:val="24"/>
          <w:szCs w:val="24"/>
        </w:rPr>
        <w:t>± 0.31</w:t>
      </w:r>
      <w:r w:rsidRPr="00F31CB3">
        <w:rPr>
          <w:rFonts w:ascii="Times New Roman" w:hAnsi="Times New Roman" w:cs="Times New Roman"/>
          <w:sz w:val="24"/>
          <w:szCs w:val="24"/>
        </w:rPr>
        <w:t xml:space="preserve"> mg </w:t>
      </w:r>
      <w:proofErr w:type="spellStart"/>
      <w:r w:rsidRPr="00F31CB3">
        <w:rPr>
          <w:rFonts w:ascii="Times New Roman" w:hAnsi="Times New Roman" w:cs="Times New Roman"/>
          <w:sz w:val="24"/>
          <w:szCs w:val="24"/>
        </w:rPr>
        <w:t>GAE.g</w:t>
      </w:r>
      <w:proofErr w:type="spellEnd"/>
      <w:r w:rsidRPr="00F31CB3">
        <w:rPr>
          <w:rFonts w:ascii="Times New Roman" w:hAnsi="Times New Roman" w:cs="Times New Roman"/>
          <w:sz w:val="24"/>
          <w:szCs w:val="24"/>
          <w:vertAlign w:val="superscript"/>
        </w:rPr>
        <w:t>− 1</w:t>
      </w:r>
      <w:r w:rsidRPr="00F31CB3">
        <w:rPr>
          <w:rFonts w:ascii="Times New Roman" w:hAnsi="Times New Roman" w:cs="Times New Roman"/>
          <w:sz w:val="24"/>
          <w:szCs w:val="24"/>
        </w:rPr>
        <w:t>, as well as the total flavonoid con</w:t>
      </w:r>
      <w:r w:rsidR="00A80209">
        <w:rPr>
          <w:rFonts w:ascii="Times New Roman" w:hAnsi="Times New Roman" w:cs="Times New Roman"/>
          <w:sz w:val="24"/>
          <w:szCs w:val="24"/>
        </w:rPr>
        <w:t>tent (TFC) of this extract was 4</w:t>
      </w:r>
      <w:r w:rsidRPr="00F31CB3">
        <w:rPr>
          <w:rFonts w:ascii="Times New Roman" w:hAnsi="Times New Roman" w:cs="Times New Roman"/>
          <w:sz w:val="24"/>
          <w:szCs w:val="24"/>
        </w:rPr>
        <w:t>.</w:t>
      </w:r>
      <w:r w:rsidR="00A80209">
        <w:rPr>
          <w:rFonts w:ascii="Times New Roman" w:hAnsi="Times New Roman" w:cs="Times New Roman"/>
          <w:sz w:val="24"/>
          <w:szCs w:val="24"/>
        </w:rPr>
        <w:t>13 ± 0.12</w:t>
      </w:r>
      <w:r w:rsidRPr="00F31CB3">
        <w:rPr>
          <w:rFonts w:ascii="Times New Roman" w:hAnsi="Times New Roman" w:cs="Times New Roman"/>
          <w:sz w:val="24"/>
          <w:szCs w:val="24"/>
        </w:rPr>
        <w:t> mg QE. g</w:t>
      </w:r>
      <w:r w:rsidRPr="00F31CB3">
        <w:rPr>
          <w:rFonts w:ascii="Times New Roman" w:hAnsi="Times New Roman" w:cs="Times New Roman"/>
          <w:sz w:val="24"/>
          <w:szCs w:val="24"/>
          <w:vertAlign w:val="superscript"/>
        </w:rPr>
        <w:t>− </w:t>
      </w:r>
      <w:proofErr w:type="gramStart"/>
      <w:r w:rsidRPr="00F31CB3">
        <w:rPr>
          <w:rFonts w:ascii="Times New Roman" w:hAnsi="Times New Roman" w:cs="Times New Roman"/>
          <w:sz w:val="24"/>
          <w:szCs w:val="24"/>
          <w:vertAlign w:val="superscript"/>
        </w:rPr>
        <w:t>1</w:t>
      </w:r>
      <w:r w:rsidRPr="00F31CB3">
        <w:rPr>
          <w:rFonts w:ascii="Times New Roman" w:hAnsi="Times New Roman" w:cs="Times New Roman"/>
          <w:sz w:val="24"/>
          <w:szCs w:val="24"/>
        </w:rPr>
        <w:t> .</w:t>
      </w:r>
      <w:proofErr w:type="gramEnd"/>
    </w:p>
    <w:p w14:paraId="2D5F8312" w14:textId="77777777" w:rsidR="00575138" w:rsidRPr="00575138" w:rsidRDefault="00575138" w:rsidP="00575138">
      <w:pPr>
        <w:spacing w:line="360" w:lineRule="auto"/>
        <w:jc w:val="both"/>
        <w:rPr>
          <w:rFonts w:ascii="Times New Roman" w:hAnsi="Times New Roman" w:cs="Times New Roman"/>
          <w:b/>
          <w:bCs/>
          <w:sz w:val="24"/>
          <w:szCs w:val="24"/>
        </w:rPr>
      </w:pPr>
      <w:r w:rsidRPr="00575138">
        <w:rPr>
          <w:rFonts w:ascii="Times New Roman" w:hAnsi="Times New Roman" w:cs="Times New Roman"/>
          <w:b/>
          <w:bCs/>
          <w:sz w:val="24"/>
          <w:szCs w:val="24"/>
        </w:rPr>
        <w:t>FT-IR</w:t>
      </w:r>
      <w:r w:rsidR="00F417AF">
        <w:rPr>
          <w:rFonts w:ascii="Times New Roman" w:hAnsi="Times New Roman" w:cs="Times New Roman"/>
          <w:b/>
          <w:bCs/>
          <w:sz w:val="24"/>
          <w:szCs w:val="24"/>
        </w:rPr>
        <w:t xml:space="preserve"> spectral data analysis </w:t>
      </w:r>
    </w:p>
    <w:p w14:paraId="44342254" w14:textId="77777777" w:rsidR="00575138" w:rsidRDefault="009A2003" w:rsidP="009A2003">
      <w:pPr>
        <w:spacing w:line="360" w:lineRule="auto"/>
        <w:jc w:val="both"/>
        <w:rPr>
          <w:rFonts w:ascii="Times New Roman" w:hAnsi="Times New Roman" w:cs="Times New Roman"/>
          <w:sz w:val="24"/>
          <w:szCs w:val="24"/>
        </w:rPr>
      </w:pPr>
      <w:r w:rsidRPr="009A2003">
        <w:rPr>
          <w:rFonts w:ascii="Times New Roman" w:hAnsi="Times New Roman" w:cs="Times New Roman"/>
          <w:sz w:val="24"/>
          <w:szCs w:val="24"/>
        </w:rPr>
        <w:lastRenderedPageBreak/>
        <w:t>Acetone extract</w:t>
      </w:r>
      <w:r w:rsidR="00575138" w:rsidRPr="009A2003">
        <w:rPr>
          <w:rFonts w:ascii="Times New Roman" w:hAnsi="Times New Roman" w:cs="Times New Roman"/>
          <w:sz w:val="24"/>
          <w:szCs w:val="24"/>
        </w:rPr>
        <w:t xml:space="preserve"> showed the different absorption peaks (functional groups) like </w:t>
      </w:r>
      <w:r w:rsidRPr="009A2003">
        <w:rPr>
          <w:rFonts w:ascii="Times New Roman" w:hAnsi="Times New Roman" w:cs="Times New Roman"/>
          <w:sz w:val="24"/>
          <w:szCs w:val="24"/>
        </w:rPr>
        <w:t>3</w:t>
      </w:r>
      <w:r w:rsidRPr="009A2003">
        <w:rPr>
          <w:rFonts w:ascii="Times New Roman" w:hAnsi="Times New Roman" w:cs="Times New Roman"/>
          <w:bCs/>
          <w:sz w:val="24"/>
          <w:szCs w:val="24"/>
        </w:rPr>
        <w:t>274 cm</w:t>
      </w:r>
      <w:r w:rsidRPr="009A2003">
        <w:rPr>
          <w:rFonts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stretching vibrations), </w:t>
      </w:r>
      <w:r w:rsidRPr="009A2003">
        <w:rPr>
          <w:rFonts w:ascii="Times New Roman" w:hAnsi="Times New Roman" w:cs="Times New Roman"/>
          <w:bCs/>
          <w:sz w:val="24"/>
          <w:szCs w:val="24"/>
        </w:rPr>
        <w:t>2973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(aliphatic C–H stretching), </w:t>
      </w:r>
      <w:r w:rsidRPr="009A2003">
        <w:rPr>
          <w:rFonts w:ascii="Times New Roman" w:hAnsi="Times New Roman" w:cs="Times New Roman"/>
          <w:bCs/>
          <w:sz w:val="24"/>
          <w:szCs w:val="24"/>
        </w:rPr>
        <w:t>2492 &amp; 2354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w:t>
      </w:r>
      <w:r w:rsidRPr="009A2003">
        <w:rPr>
          <w:rFonts w:ascii="Cambria Math" w:hAnsi="Cambria Math" w:cs="Times New Roman"/>
          <w:sz w:val="24"/>
          <w:szCs w:val="24"/>
        </w:rPr>
        <w:t>₂</w:t>
      </w:r>
      <w:r w:rsidRPr="009A2003">
        <w:rPr>
          <w:rFonts w:ascii="Times New Roman" w:hAnsi="Times New Roman" w:cs="Times New Roman"/>
          <w:sz w:val="24"/>
          <w:szCs w:val="24"/>
        </w:rPr>
        <w:t xml:space="preserve"> interference), </w:t>
      </w:r>
      <w:r w:rsidRPr="009A2003">
        <w:rPr>
          <w:rFonts w:ascii="Times New Roman" w:hAnsi="Times New Roman" w:cs="Times New Roman"/>
          <w:bCs/>
          <w:sz w:val="24"/>
          <w:szCs w:val="24"/>
        </w:rPr>
        <w:t>1642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 carbonyl or C=C stretching), </w:t>
      </w:r>
      <w:r w:rsidRPr="009A2003">
        <w:rPr>
          <w:rFonts w:ascii="Times New Roman" w:hAnsi="Times New Roman" w:cs="Times New Roman"/>
          <w:bCs/>
          <w:sz w:val="24"/>
          <w:szCs w:val="24"/>
        </w:rPr>
        <w:t>1589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C=C stretching), </w:t>
      </w:r>
      <w:r w:rsidRPr="009A2003">
        <w:rPr>
          <w:rFonts w:ascii="Times New Roman" w:hAnsi="Times New Roman" w:cs="Times New Roman"/>
          <w:bCs/>
          <w:sz w:val="24"/>
          <w:szCs w:val="24"/>
        </w:rPr>
        <w:t>1394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bending or C–H deformation), </w:t>
      </w:r>
      <w:r w:rsidRPr="009A2003">
        <w:rPr>
          <w:rFonts w:ascii="Times New Roman" w:hAnsi="Times New Roman" w:cs="Times New Roman"/>
          <w:bCs/>
          <w:sz w:val="24"/>
          <w:szCs w:val="24"/>
        </w:rPr>
        <w:t>1302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C–N stretching), </w:t>
      </w:r>
      <w:r w:rsidRPr="009A2003">
        <w:rPr>
          <w:rFonts w:ascii="Times New Roman" w:hAnsi="Times New Roman" w:cs="Times New Roman"/>
          <w:bCs/>
          <w:sz w:val="24"/>
          <w:szCs w:val="24"/>
        </w:rPr>
        <w:t>1104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C–O stretching band), </w:t>
      </w:r>
      <w:r w:rsidRPr="009A2003">
        <w:rPr>
          <w:rFonts w:ascii="Times New Roman" w:hAnsi="Times New Roman" w:cs="Times New Roman"/>
          <w:bCs/>
          <w:sz w:val="24"/>
          <w:szCs w:val="24"/>
        </w:rPr>
        <w:t>654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(C–H or halogen-containing functional groups). </w:t>
      </w:r>
      <w:r w:rsidR="00575138" w:rsidRPr="00575138">
        <w:rPr>
          <w:rFonts w:ascii="Times New Roman" w:hAnsi="Times New Roman" w:cs="Times New Roman"/>
          <w:sz w:val="24"/>
          <w:szCs w:val="24"/>
        </w:rPr>
        <w:t>(Fig. </w:t>
      </w:r>
      <w:r w:rsidR="00125D58">
        <w:rPr>
          <w:rFonts w:ascii="Times New Roman" w:hAnsi="Times New Roman" w:cs="Times New Roman"/>
          <w:sz w:val="24"/>
          <w:szCs w:val="24"/>
        </w:rPr>
        <w:t>6</w:t>
      </w:r>
      <w:r w:rsidR="00575138" w:rsidRPr="00575138">
        <w:rPr>
          <w:rFonts w:ascii="Times New Roman" w:hAnsi="Times New Roman" w:cs="Times New Roman"/>
          <w:sz w:val="24"/>
          <w:szCs w:val="24"/>
        </w:rPr>
        <w:t>; Table </w:t>
      </w:r>
      <w:r w:rsidR="00575138" w:rsidRPr="00125D58">
        <w:rPr>
          <w:rFonts w:ascii="Times New Roman" w:hAnsi="Times New Roman" w:cs="Times New Roman"/>
          <w:sz w:val="24"/>
          <w:szCs w:val="24"/>
        </w:rPr>
        <w:t>1</w:t>
      </w:r>
      <w:r w:rsidR="00575138" w:rsidRPr="00575138">
        <w:rPr>
          <w:rFonts w:ascii="Times New Roman" w:hAnsi="Times New Roman" w:cs="Times New Roman"/>
          <w:sz w:val="24"/>
          <w:szCs w:val="24"/>
        </w:rPr>
        <w:t>).</w:t>
      </w:r>
    </w:p>
    <w:p w14:paraId="1F15D3B9" w14:textId="77777777" w:rsidR="006A59D9" w:rsidRDefault="006A59D9" w:rsidP="006A59D9">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w:t>
      </w:r>
      <w:r w:rsidR="001F1FD3">
        <w:rPr>
          <w:rFonts w:ascii="Times New Roman" w:hAnsi="Times New Roman" w:cs="Times New Roman"/>
          <w:sz w:val="24"/>
          <w:szCs w:val="24"/>
        </w:rPr>
        <w:t>-</w:t>
      </w:r>
      <w:r>
        <w:rPr>
          <w:rFonts w:ascii="Times New Roman" w:hAnsi="Times New Roman" w:cs="Times New Roman"/>
          <w:sz w:val="24"/>
          <w:szCs w:val="24"/>
        </w:rPr>
        <w:t xml:space="preserve"> </w:t>
      </w:r>
      <w:r w:rsidRPr="006A59D9">
        <w:rPr>
          <w:rFonts w:ascii="Times New Roman" w:hAnsi="Times New Roman" w:cs="Times New Roman"/>
          <w:sz w:val="24"/>
          <w:szCs w:val="24"/>
        </w:rPr>
        <w:t>FTIR Peak Assignment</w:t>
      </w:r>
      <w:r>
        <w:rPr>
          <w:rFonts w:ascii="Times New Roman" w:hAnsi="Times New Roman" w:cs="Times New Roman"/>
          <w:sz w:val="24"/>
          <w:szCs w:val="24"/>
        </w:rPr>
        <w:t xml:space="preserve"> of Acetone Extract.</w:t>
      </w:r>
    </w:p>
    <w:tbl>
      <w:tblPr>
        <w:tblStyle w:val="TableGrid"/>
        <w:tblW w:w="0" w:type="auto"/>
        <w:tblLook w:val="04A0" w:firstRow="1" w:lastRow="0" w:firstColumn="1" w:lastColumn="0" w:noHBand="0" w:noVBand="1"/>
      </w:tblPr>
      <w:tblGrid>
        <w:gridCol w:w="1616"/>
        <w:gridCol w:w="2235"/>
        <w:gridCol w:w="2853"/>
        <w:gridCol w:w="2872"/>
      </w:tblGrid>
      <w:tr w:rsidR="00B4797B" w14:paraId="23EEAA6E" w14:textId="77777777" w:rsidTr="006A59D9">
        <w:tc>
          <w:tcPr>
            <w:tcW w:w="1548" w:type="dxa"/>
            <w:vAlign w:val="center"/>
          </w:tcPr>
          <w:p w14:paraId="23682691" w14:textId="77777777"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Wavenumber (cm</w:t>
            </w:r>
            <w:r w:rsidRPr="006A59D9">
              <w:rPr>
                <w:rFonts w:ascii="Cambria Math" w:hAnsi="Cambria Math" w:cs="Cambria Math"/>
                <w:b/>
                <w:sz w:val="24"/>
                <w:szCs w:val="24"/>
              </w:rPr>
              <w:t>⁻</w:t>
            </w:r>
            <w:r w:rsidRPr="006A59D9">
              <w:rPr>
                <w:rFonts w:ascii="Times New Roman" w:hAnsi="Times New Roman" w:cs="Times New Roman"/>
                <w:b/>
                <w:sz w:val="24"/>
                <w:szCs w:val="24"/>
              </w:rPr>
              <w:t>¹)</w:t>
            </w:r>
          </w:p>
        </w:tc>
        <w:tc>
          <w:tcPr>
            <w:tcW w:w="2250" w:type="dxa"/>
            <w:vAlign w:val="center"/>
          </w:tcPr>
          <w:p w14:paraId="6D9C51A7" w14:textId="77777777"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Functional Group</w:t>
            </w:r>
          </w:p>
        </w:tc>
        <w:tc>
          <w:tcPr>
            <w:tcW w:w="2880" w:type="dxa"/>
            <w:vAlign w:val="center"/>
          </w:tcPr>
          <w:p w14:paraId="20F570BA" w14:textId="77777777"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Vibration Type</w:t>
            </w:r>
          </w:p>
        </w:tc>
        <w:tc>
          <w:tcPr>
            <w:tcW w:w="2898" w:type="dxa"/>
            <w:vAlign w:val="center"/>
          </w:tcPr>
          <w:p w14:paraId="02F24932" w14:textId="77777777"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Possible Assignment</w:t>
            </w:r>
          </w:p>
        </w:tc>
      </w:tr>
      <w:tr w:rsidR="00B4797B" w14:paraId="125B0F56" w14:textId="77777777" w:rsidTr="006A59D9">
        <w:tc>
          <w:tcPr>
            <w:tcW w:w="1548" w:type="dxa"/>
            <w:vAlign w:val="center"/>
          </w:tcPr>
          <w:p w14:paraId="160CF856"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3274</w:t>
            </w:r>
          </w:p>
        </w:tc>
        <w:tc>
          <w:tcPr>
            <w:tcW w:w="2250" w:type="dxa"/>
            <w:vAlign w:val="center"/>
          </w:tcPr>
          <w:p w14:paraId="0A9FB278"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O–H or N–H stretch          </w:t>
            </w:r>
          </w:p>
        </w:tc>
        <w:tc>
          <w:tcPr>
            <w:tcW w:w="2880" w:type="dxa"/>
            <w:vAlign w:val="center"/>
          </w:tcPr>
          <w:p w14:paraId="2B8E540D"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Broad Stretching                      </w:t>
            </w:r>
          </w:p>
        </w:tc>
        <w:tc>
          <w:tcPr>
            <w:tcW w:w="2898" w:type="dxa"/>
            <w:vAlign w:val="center"/>
          </w:tcPr>
          <w:p w14:paraId="0E3B41E1"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phenols, or amines                           </w:t>
            </w:r>
          </w:p>
        </w:tc>
      </w:tr>
      <w:tr w:rsidR="00B4797B" w14:paraId="1FFFC809" w14:textId="77777777" w:rsidTr="006A59D9">
        <w:tc>
          <w:tcPr>
            <w:tcW w:w="1548" w:type="dxa"/>
            <w:vAlign w:val="center"/>
          </w:tcPr>
          <w:p w14:paraId="4A680B5E"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2973</w:t>
            </w:r>
          </w:p>
        </w:tc>
        <w:tc>
          <w:tcPr>
            <w:tcW w:w="2250" w:type="dxa"/>
            <w:vAlign w:val="center"/>
          </w:tcPr>
          <w:p w14:paraId="1488E6AC"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C–H stretch                 </w:t>
            </w:r>
          </w:p>
        </w:tc>
        <w:tc>
          <w:tcPr>
            <w:tcW w:w="2880" w:type="dxa"/>
            <w:vAlign w:val="center"/>
          </w:tcPr>
          <w:p w14:paraId="63061FEF"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Asymmetric Stretching                 </w:t>
            </w:r>
          </w:p>
        </w:tc>
        <w:tc>
          <w:tcPr>
            <w:tcW w:w="2898" w:type="dxa"/>
            <w:vAlign w:val="center"/>
          </w:tcPr>
          <w:p w14:paraId="7D0410A7"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Alkanes (methyl, methylene </w:t>
            </w:r>
            <w:proofErr w:type="gramStart"/>
            <w:r w:rsidRPr="00B4797B">
              <w:rPr>
                <w:rFonts w:ascii="Times New Roman" w:hAnsi="Times New Roman" w:cs="Times New Roman"/>
                <w:sz w:val="24"/>
                <w:szCs w:val="24"/>
              </w:rPr>
              <w:t xml:space="preserve">groups)   </w:t>
            </w:r>
            <w:proofErr w:type="gramEnd"/>
            <w:r w:rsidRPr="00B4797B">
              <w:rPr>
                <w:rFonts w:ascii="Times New Roman" w:hAnsi="Times New Roman" w:cs="Times New Roman"/>
                <w:sz w:val="24"/>
                <w:szCs w:val="24"/>
              </w:rPr>
              <w:t xml:space="preserve">                  </w:t>
            </w:r>
          </w:p>
        </w:tc>
      </w:tr>
      <w:tr w:rsidR="00B4797B" w14:paraId="111CBD5A" w14:textId="77777777" w:rsidTr="006A59D9">
        <w:tc>
          <w:tcPr>
            <w:tcW w:w="1548" w:type="dxa"/>
            <w:vAlign w:val="center"/>
          </w:tcPr>
          <w:p w14:paraId="32A9D45E"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2492, 2354            </w:t>
            </w:r>
          </w:p>
        </w:tc>
        <w:tc>
          <w:tcPr>
            <w:tcW w:w="2250" w:type="dxa"/>
            <w:vAlign w:val="center"/>
          </w:tcPr>
          <w:p w14:paraId="3844DE7C" w14:textId="77777777" w:rsidR="00B4797B" w:rsidRDefault="00B4797B" w:rsidP="00B83EE1">
            <w:pPr>
              <w:spacing w:line="276" w:lineRule="auto"/>
              <w:rPr>
                <w:rFonts w:ascii="Times New Roman" w:hAnsi="Times New Roman" w:cs="Times New Roman"/>
                <w:sz w:val="24"/>
                <w:szCs w:val="24"/>
              </w:rPr>
            </w:pPr>
          </w:p>
        </w:tc>
        <w:tc>
          <w:tcPr>
            <w:tcW w:w="2880" w:type="dxa"/>
            <w:vAlign w:val="center"/>
          </w:tcPr>
          <w:p w14:paraId="451807B3"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Possible overtone or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interference</w:t>
            </w:r>
          </w:p>
        </w:tc>
        <w:tc>
          <w:tcPr>
            <w:tcW w:w="2898" w:type="dxa"/>
            <w:vAlign w:val="center"/>
          </w:tcPr>
          <w:p w14:paraId="45EC30E6" w14:textId="77777777"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Atmospheric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(artifact) or thiol/acid overtones     </w:t>
            </w:r>
          </w:p>
        </w:tc>
      </w:tr>
      <w:tr w:rsidR="00B4797B" w14:paraId="25151A10" w14:textId="77777777" w:rsidTr="006A59D9">
        <w:tc>
          <w:tcPr>
            <w:tcW w:w="1548" w:type="dxa"/>
            <w:vAlign w:val="center"/>
          </w:tcPr>
          <w:p w14:paraId="1698D85A"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1642</w:t>
            </w:r>
          </w:p>
        </w:tc>
        <w:tc>
          <w:tcPr>
            <w:tcW w:w="2250" w:type="dxa"/>
            <w:vAlign w:val="center"/>
          </w:tcPr>
          <w:p w14:paraId="00B0A015"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C=O or C=C stretch          </w:t>
            </w:r>
          </w:p>
        </w:tc>
        <w:tc>
          <w:tcPr>
            <w:tcW w:w="2880" w:type="dxa"/>
            <w:vAlign w:val="center"/>
          </w:tcPr>
          <w:p w14:paraId="12F9FFA0"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Stretching</w:t>
            </w:r>
          </w:p>
        </w:tc>
        <w:tc>
          <w:tcPr>
            <w:tcW w:w="2898" w:type="dxa"/>
            <w:vAlign w:val="center"/>
          </w:tcPr>
          <w:p w14:paraId="1BD0673C"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Carbonyl group (ketones, aldehydes, esters) or alkenes</w:t>
            </w:r>
          </w:p>
        </w:tc>
      </w:tr>
      <w:tr w:rsidR="00B4797B" w14:paraId="21529F21" w14:textId="77777777" w:rsidTr="006A59D9">
        <w:tc>
          <w:tcPr>
            <w:tcW w:w="1548" w:type="dxa"/>
            <w:vAlign w:val="center"/>
          </w:tcPr>
          <w:p w14:paraId="3595AEEB"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1589</w:t>
            </w:r>
          </w:p>
        </w:tc>
        <w:tc>
          <w:tcPr>
            <w:tcW w:w="2250" w:type="dxa"/>
            <w:vAlign w:val="center"/>
          </w:tcPr>
          <w:p w14:paraId="4A643A0F"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C=C or N–H bend             </w:t>
            </w:r>
          </w:p>
        </w:tc>
        <w:tc>
          <w:tcPr>
            <w:tcW w:w="2880" w:type="dxa"/>
            <w:vAlign w:val="center"/>
          </w:tcPr>
          <w:p w14:paraId="02143AF4"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or bending                 </w:t>
            </w:r>
          </w:p>
        </w:tc>
        <w:tc>
          <w:tcPr>
            <w:tcW w:w="2898" w:type="dxa"/>
            <w:vAlign w:val="center"/>
          </w:tcPr>
          <w:p w14:paraId="5D264C86"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ring or amine group                           </w:t>
            </w:r>
          </w:p>
        </w:tc>
      </w:tr>
      <w:tr w:rsidR="00B4797B" w14:paraId="66E86D93" w14:textId="77777777" w:rsidTr="006A59D9">
        <w:tc>
          <w:tcPr>
            <w:tcW w:w="1548" w:type="dxa"/>
            <w:vAlign w:val="center"/>
          </w:tcPr>
          <w:p w14:paraId="79AF756C"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1394  </w:t>
            </w:r>
          </w:p>
        </w:tc>
        <w:tc>
          <w:tcPr>
            <w:tcW w:w="2250" w:type="dxa"/>
            <w:vAlign w:val="center"/>
          </w:tcPr>
          <w:p w14:paraId="5B38B887"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O–H bend or C–H deformation</w:t>
            </w:r>
          </w:p>
        </w:tc>
        <w:tc>
          <w:tcPr>
            <w:tcW w:w="2880" w:type="dxa"/>
            <w:vAlign w:val="center"/>
          </w:tcPr>
          <w:p w14:paraId="2A0BFC78"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Bending    </w:t>
            </w:r>
          </w:p>
        </w:tc>
        <w:tc>
          <w:tcPr>
            <w:tcW w:w="2898" w:type="dxa"/>
            <w:vAlign w:val="center"/>
          </w:tcPr>
          <w:p w14:paraId="28E150E0"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Phenols or alkanes                                     </w:t>
            </w:r>
          </w:p>
        </w:tc>
      </w:tr>
      <w:tr w:rsidR="00B4797B" w14:paraId="090743D8" w14:textId="77777777" w:rsidTr="006A59D9">
        <w:tc>
          <w:tcPr>
            <w:tcW w:w="1548" w:type="dxa"/>
            <w:vAlign w:val="center"/>
          </w:tcPr>
          <w:p w14:paraId="7DC09630"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1302</w:t>
            </w:r>
          </w:p>
        </w:tc>
        <w:tc>
          <w:tcPr>
            <w:tcW w:w="2250" w:type="dxa"/>
            <w:vAlign w:val="center"/>
          </w:tcPr>
          <w:p w14:paraId="604E9DF5"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C–N or C–O stretch          </w:t>
            </w:r>
          </w:p>
        </w:tc>
        <w:tc>
          <w:tcPr>
            <w:tcW w:w="2880" w:type="dxa"/>
            <w:vAlign w:val="center"/>
          </w:tcPr>
          <w:p w14:paraId="430E96D9"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14:paraId="21BDCA51" w14:textId="77777777"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Amines or carboxylic acids                             </w:t>
            </w:r>
          </w:p>
        </w:tc>
      </w:tr>
      <w:tr w:rsidR="006A59D9" w14:paraId="136FD918" w14:textId="77777777" w:rsidTr="006A59D9">
        <w:tc>
          <w:tcPr>
            <w:tcW w:w="1548" w:type="dxa"/>
            <w:vAlign w:val="center"/>
          </w:tcPr>
          <w:p w14:paraId="76C274B5"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1104</w:t>
            </w:r>
          </w:p>
        </w:tc>
        <w:tc>
          <w:tcPr>
            <w:tcW w:w="2250" w:type="dxa"/>
            <w:vAlign w:val="center"/>
          </w:tcPr>
          <w:p w14:paraId="1D042949"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 C–O stretch                 </w:t>
            </w:r>
          </w:p>
        </w:tc>
        <w:tc>
          <w:tcPr>
            <w:tcW w:w="2880" w:type="dxa"/>
            <w:vAlign w:val="center"/>
          </w:tcPr>
          <w:p w14:paraId="43B08DCA"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14:paraId="673C6808"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esters, or ethers                            </w:t>
            </w:r>
          </w:p>
        </w:tc>
      </w:tr>
      <w:tr w:rsidR="006A59D9" w14:paraId="7C1D5666" w14:textId="77777777" w:rsidTr="006A59D9">
        <w:tc>
          <w:tcPr>
            <w:tcW w:w="1548" w:type="dxa"/>
            <w:vAlign w:val="center"/>
          </w:tcPr>
          <w:p w14:paraId="44E82D8F"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654</w:t>
            </w:r>
          </w:p>
        </w:tc>
        <w:tc>
          <w:tcPr>
            <w:tcW w:w="2250" w:type="dxa"/>
            <w:vAlign w:val="center"/>
          </w:tcPr>
          <w:p w14:paraId="1A289780"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Out-of-plane bending        </w:t>
            </w:r>
          </w:p>
        </w:tc>
        <w:tc>
          <w:tcPr>
            <w:tcW w:w="2880" w:type="dxa"/>
            <w:vAlign w:val="center"/>
          </w:tcPr>
          <w:p w14:paraId="2248C718"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Bending</w:t>
            </w:r>
          </w:p>
        </w:tc>
        <w:tc>
          <w:tcPr>
            <w:tcW w:w="2898" w:type="dxa"/>
            <w:vAlign w:val="center"/>
          </w:tcPr>
          <w:p w14:paraId="5D0AA308" w14:textId="77777777"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C–H (substitution pattern) or halo compounds  </w:t>
            </w:r>
          </w:p>
        </w:tc>
      </w:tr>
    </w:tbl>
    <w:p w14:paraId="0C8887DC" w14:textId="77777777" w:rsidR="00B4797B" w:rsidRDefault="00B4797B" w:rsidP="009A2003">
      <w:pPr>
        <w:spacing w:line="360" w:lineRule="auto"/>
        <w:jc w:val="both"/>
        <w:rPr>
          <w:rFonts w:ascii="Times New Roman" w:hAnsi="Times New Roman" w:cs="Times New Roman"/>
          <w:sz w:val="24"/>
          <w:szCs w:val="24"/>
        </w:rPr>
      </w:pPr>
    </w:p>
    <w:p w14:paraId="6CD0BFB0" w14:textId="77777777" w:rsidR="009A2003" w:rsidRDefault="009A2003"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8E2240B" wp14:editId="168DADD7">
            <wp:extent cx="3657600" cy="2950845"/>
            <wp:effectExtent l="19050" t="0" r="0" b="0"/>
            <wp:docPr id="1" name="Picture 1" descr="E:\NITZA OFFICIAL\SERVICE REPORT\Neha Rai\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FTIR.JPG"/>
                    <pic:cNvPicPr>
                      <a:picLocks noChangeAspect="1" noChangeArrowheads="1"/>
                    </pic:cNvPicPr>
                  </pic:nvPicPr>
                  <pic:blipFill>
                    <a:blip r:embed="rId11" cstate="print"/>
                    <a:srcRect/>
                    <a:stretch>
                      <a:fillRect/>
                    </a:stretch>
                  </pic:blipFill>
                  <pic:spPr bwMode="auto">
                    <a:xfrm>
                      <a:off x="0" y="0"/>
                      <a:ext cx="3657600" cy="2950845"/>
                    </a:xfrm>
                    <a:prstGeom prst="rect">
                      <a:avLst/>
                    </a:prstGeom>
                    <a:noFill/>
                    <a:ln w="9525">
                      <a:noFill/>
                      <a:miter lim="800000"/>
                      <a:headEnd/>
                      <a:tailEnd/>
                    </a:ln>
                  </pic:spPr>
                </pic:pic>
              </a:graphicData>
            </a:graphic>
          </wp:inline>
        </w:drawing>
      </w:r>
    </w:p>
    <w:p w14:paraId="1F56A8B1" w14:textId="77777777" w:rsidR="006A59D9" w:rsidRPr="00575138" w:rsidRDefault="006A59D9"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6</w:t>
      </w:r>
      <w:proofErr w:type="gramStart"/>
      <w:r w:rsidR="001F1FD3">
        <w:rPr>
          <w:rFonts w:ascii="Times New Roman" w:hAnsi="Times New Roman" w:cs="Times New Roman"/>
          <w:sz w:val="24"/>
          <w:szCs w:val="24"/>
        </w:rPr>
        <w:t xml:space="preserve">- </w:t>
      </w:r>
      <w:r>
        <w:rPr>
          <w:rFonts w:ascii="Times New Roman" w:hAnsi="Times New Roman" w:cs="Times New Roman"/>
          <w:sz w:val="24"/>
          <w:szCs w:val="24"/>
        </w:rPr>
        <w:t xml:space="preserve"> FT</w:t>
      </w:r>
      <w:proofErr w:type="gramEnd"/>
      <w:r>
        <w:rPr>
          <w:rFonts w:ascii="Times New Roman" w:hAnsi="Times New Roman" w:cs="Times New Roman"/>
          <w:sz w:val="24"/>
          <w:szCs w:val="24"/>
        </w:rPr>
        <w:t>-IR Chromatogram of Acetone Extract.</w:t>
      </w:r>
    </w:p>
    <w:p w14:paraId="5A925B8D" w14:textId="77777777" w:rsidR="00575138" w:rsidRPr="00575138" w:rsidRDefault="00F417AF" w:rsidP="005751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GC-MS analysis </w:t>
      </w:r>
    </w:p>
    <w:p w14:paraId="3BCF147A" w14:textId="77777777" w:rsidR="00575138" w:rsidRDefault="00F34370" w:rsidP="00575138">
      <w:pPr>
        <w:spacing w:line="360" w:lineRule="auto"/>
        <w:jc w:val="both"/>
        <w:rPr>
          <w:rFonts w:ascii="Times New Roman" w:hAnsi="Times New Roman" w:cs="Times New Roman"/>
          <w:sz w:val="24"/>
          <w:szCs w:val="24"/>
        </w:rPr>
      </w:pPr>
      <w:r>
        <w:rPr>
          <w:rFonts w:ascii="Times New Roman" w:hAnsi="Times New Roman" w:cs="Times New Roman"/>
          <w:sz w:val="24"/>
          <w:szCs w:val="24"/>
        </w:rPr>
        <w:t>Acetone</w:t>
      </w:r>
      <w:r w:rsidR="00575138" w:rsidRPr="00575138">
        <w:rPr>
          <w:rFonts w:ascii="Times New Roman" w:hAnsi="Times New Roman" w:cs="Times New Roman"/>
          <w:sz w:val="24"/>
          <w:szCs w:val="24"/>
        </w:rPr>
        <w:t xml:space="preserve"> extract was </w:t>
      </w:r>
      <w:r w:rsidRPr="00575138">
        <w:rPr>
          <w:rFonts w:ascii="Times New Roman" w:hAnsi="Times New Roman" w:cs="Times New Roman"/>
          <w:sz w:val="24"/>
          <w:szCs w:val="24"/>
        </w:rPr>
        <w:t>analyzed</w:t>
      </w:r>
      <w:r>
        <w:rPr>
          <w:rFonts w:ascii="Times New Roman" w:hAnsi="Times New Roman" w:cs="Times New Roman"/>
          <w:sz w:val="24"/>
          <w:szCs w:val="24"/>
        </w:rPr>
        <w:t xml:space="preserve"> by GC-</w:t>
      </w:r>
      <w:r w:rsidR="00575138" w:rsidRPr="00575138">
        <w:rPr>
          <w:rFonts w:ascii="Times New Roman" w:hAnsi="Times New Roman" w:cs="Times New Roman"/>
          <w:sz w:val="24"/>
          <w:szCs w:val="24"/>
        </w:rPr>
        <w:t>MS and chemo profiling st</w:t>
      </w:r>
      <w:r w:rsidR="00125D58">
        <w:rPr>
          <w:rFonts w:ascii="Times New Roman" w:hAnsi="Times New Roman" w:cs="Times New Roman"/>
          <w:sz w:val="24"/>
          <w:szCs w:val="24"/>
        </w:rPr>
        <w:t>udy revealed 09</w:t>
      </w:r>
      <w:r w:rsidR="00575138" w:rsidRPr="00575138">
        <w:rPr>
          <w:rFonts w:ascii="Times New Roman" w:hAnsi="Times New Roman" w:cs="Times New Roman"/>
          <w:sz w:val="24"/>
          <w:szCs w:val="24"/>
        </w:rPr>
        <w:t xml:space="preserve"> compounds (Fig. </w:t>
      </w:r>
      <w:r w:rsidR="00125D58">
        <w:rPr>
          <w:rFonts w:ascii="Times New Roman" w:hAnsi="Times New Roman" w:cs="Times New Roman"/>
          <w:sz w:val="24"/>
          <w:szCs w:val="24"/>
        </w:rPr>
        <w:t>7</w:t>
      </w:r>
      <w:r w:rsidR="00575138" w:rsidRPr="00575138">
        <w:rPr>
          <w:rFonts w:ascii="Times New Roman" w:hAnsi="Times New Roman" w:cs="Times New Roman"/>
          <w:sz w:val="24"/>
          <w:szCs w:val="24"/>
        </w:rPr>
        <w:t xml:space="preserve">). These compounds were identified using the NIST mass spectral library database. </w:t>
      </w:r>
      <w:r w:rsidR="00125D58" w:rsidRPr="00125D58">
        <w:rPr>
          <w:rFonts w:ascii="Times New Roman" w:hAnsi="Times New Roman" w:cs="Times New Roman"/>
          <w:sz w:val="24"/>
          <w:szCs w:val="24"/>
        </w:rPr>
        <w:t>Each peak represents a different chemical compound separated by the GC and identified by MS.</w:t>
      </w:r>
      <w:r w:rsidR="00125D58">
        <w:rPr>
          <w:rFonts w:ascii="Times New Roman" w:hAnsi="Times New Roman" w:cs="Times New Roman"/>
          <w:sz w:val="24"/>
          <w:szCs w:val="24"/>
        </w:rPr>
        <w:t xml:space="preserve"> </w:t>
      </w:r>
      <w:r w:rsidR="00125D58" w:rsidRPr="00125D58">
        <w:rPr>
          <w:rFonts w:ascii="Times New Roman" w:hAnsi="Times New Roman" w:cs="Times New Roman"/>
          <w:sz w:val="24"/>
          <w:szCs w:val="24"/>
        </w:rPr>
        <w:t>The largest peak at 10.0 minutes is likely the major component in the sample.</w:t>
      </w:r>
      <w:r w:rsidR="00125D58">
        <w:rPr>
          <w:rFonts w:ascii="Times New Roman" w:hAnsi="Times New Roman" w:cs="Times New Roman"/>
          <w:sz w:val="24"/>
          <w:szCs w:val="24"/>
        </w:rPr>
        <w:t xml:space="preserve"> </w:t>
      </w:r>
      <w:r w:rsidR="00125D58" w:rsidRPr="00125D58">
        <w:rPr>
          <w:rFonts w:ascii="Times New Roman" w:hAnsi="Times New Roman" w:cs="Times New Roman"/>
          <w:sz w:val="24"/>
          <w:szCs w:val="24"/>
        </w:rPr>
        <w:t>Smaller peaks at 3.71, 6.35, 6.71, 15.36, 25.77, 25.36, 19.82, 19.72, and 20.49 minutes indicate minor constituents.</w:t>
      </w:r>
      <w:r w:rsidR="001F1FD3" w:rsidRPr="001F1FD3">
        <w:rPr>
          <w:rFonts w:ascii="Times New Roman" w:hAnsi="Times New Roman" w:cs="Times New Roman"/>
          <w:sz w:val="24"/>
          <w:szCs w:val="24"/>
        </w:rPr>
        <w:t xml:space="preserve"> The initial broad peak observed near 0 minutes may be attributed to the solvent front or highly volatile substances. The overall baseline remains relatively stable after the early elution phase, indicating go</w:t>
      </w:r>
      <w:r w:rsidR="001F1FD3">
        <w:rPr>
          <w:rFonts w:ascii="Times New Roman" w:hAnsi="Times New Roman" w:cs="Times New Roman"/>
          <w:sz w:val="24"/>
          <w:szCs w:val="24"/>
        </w:rPr>
        <w:t xml:space="preserve">od chromatographic performance </w:t>
      </w:r>
      <w:r w:rsidR="00575138" w:rsidRPr="00575138">
        <w:rPr>
          <w:rFonts w:ascii="Times New Roman" w:hAnsi="Times New Roman" w:cs="Times New Roman"/>
          <w:sz w:val="24"/>
          <w:szCs w:val="24"/>
        </w:rPr>
        <w:t>(Table </w:t>
      </w:r>
      <w:r w:rsidR="00575138" w:rsidRPr="00125D58">
        <w:rPr>
          <w:rFonts w:ascii="Times New Roman" w:hAnsi="Times New Roman" w:cs="Times New Roman"/>
          <w:sz w:val="24"/>
          <w:szCs w:val="24"/>
        </w:rPr>
        <w:t>2</w:t>
      </w:r>
      <w:r w:rsidR="00575138" w:rsidRPr="00575138">
        <w:rPr>
          <w:rFonts w:ascii="Times New Roman" w:hAnsi="Times New Roman" w:cs="Times New Roman"/>
          <w:sz w:val="24"/>
          <w:szCs w:val="24"/>
        </w:rPr>
        <w:t>).</w:t>
      </w:r>
    </w:p>
    <w:p w14:paraId="12516783" w14:textId="77777777" w:rsidR="009619A6" w:rsidRDefault="009619A6" w:rsidP="009619A6">
      <w:pPr>
        <w:spacing w:line="360" w:lineRule="auto"/>
        <w:jc w:val="center"/>
        <w:rPr>
          <w:rFonts w:ascii="Times New Roman" w:hAnsi="Times New Roman" w:cs="Times New Roman"/>
          <w:sz w:val="24"/>
          <w:szCs w:val="24"/>
        </w:rPr>
      </w:pPr>
      <w:r>
        <w:rPr>
          <w:rFonts w:ascii="Times New Roman" w:hAnsi="Times New Roman" w:cs="Times New Roman"/>
          <w:sz w:val="24"/>
          <w:szCs w:val="24"/>
        </w:rPr>
        <w:t>Table</w:t>
      </w:r>
      <w:r w:rsidR="001F1FD3">
        <w:rPr>
          <w:rFonts w:ascii="Times New Roman" w:hAnsi="Times New Roman" w:cs="Times New Roman"/>
          <w:sz w:val="24"/>
          <w:szCs w:val="24"/>
        </w:rPr>
        <w:t xml:space="preserve"> 2</w:t>
      </w:r>
      <w:r>
        <w:rPr>
          <w:rFonts w:ascii="Times New Roman" w:hAnsi="Times New Roman" w:cs="Times New Roman"/>
          <w:sz w:val="24"/>
          <w:szCs w:val="24"/>
        </w:rPr>
        <w:t xml:space="preserve"> – Compounds analysis of acetone extract using GC-MS.</w:t>
      </w:r>
    </w:p>
    <w:tbl>
      <w:tblPr>
        <w:tblStyle w:val="TableGrid"/>
        <w:tblW w:w="0" w:type="auto"/>
        <w:jc w:val="center"/>
        <w:tblLook w:val="04A0" w:firstRow="1" w:lastRow="0" w:firstColumn="1" w:lastColumn="0" w:noHBand="0" w:noVBand="1"/>
      </w:tblPr>
      <w:tblGrid>
        <w:gridCol w:w="1980"/>
        <w:gridCol w:w="1170"/>
        <w:gridCol w:w="4635"/>
      </w:tblGrid>
      <w:tr w:rsidR="00F14AFF" w14:paraId="7DD259CF" w14:textId="77777777" w:rsidTr="004A4855">
        <w:trPr>
          <w:jc w:val="center"/>
        </w:trPr>
        <w:tc>
          <w:tcPr>
            <w:tcW w:w="1980" w:type="dxa"/>
            <w:vAlign w:val="center"/>
          </w:tcPr>
          <w:p w14:paraId="57FCC23D" w14:textId="77777777" w:rsidR="00F14AFF" w:rsidRPr="009619A6" w:rsidRDefault="00F14AFF" w:rsidP="009A3D97">
            <w:pPr>
              <w:spacing w:line="276" w:lineRule="auto"/>
              <w:jc w:val="center"/>
              <w:rPr>
                <w:rFonts w:ascii="Times New Roman" w:hAnsi="Times New Roman" w:cs="Times New Roman"/>
                <w:b/>
                <w:sz w:val="24"/>
                <w:szCs w:val="24"/>
              </w:rPr>
            </w:pPr>
            <w:r w:rsidRPr="009619A6">
              <w:rPr>
                <w:rFonts w:ascii="Times New Roman" w:hAnsi="Times New Roman" w:cs="Times New Roman"/>
                <w:b/>
                <w:bCs/>
                <w:sz w:val="24"/>
                <w:szCs w:val="24"/>
              </w:rPr>
              <w:t>Retention Time (min)</w:t>
            </w:r>
          </w:p>
        </w:tc>
        <w:tc>
          <w:tcPr>
            <w:tcW w:w="1170" w:type="dxa"/>
            <w:vAlign w:val="center"/>
          </w:tcPr>
          <w:p w14:paraId="16B47A1A" w14:textId="77777777"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bCs/>
                <w:sz w:val="24"/>
                <w:szCs w:val="24"/>
              </w:rPr>
              <w:t>Area %</w:t>
            </w:r>
          </w:p>
        </w:tc>
        <w:tc>
          <w:tcPr>
            <w:tcW w:w="4635" w:type="dxa"/>
            <w:vAlign w:val="center"/>
          </w:tcPr>
          <w:p w14:paraId="24BCE60D" w14:textId="77777777"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Compound Name</w:t>
            </w:r>
          </w:p>
        </w:tc>
      </w:tr>
      <w:tr w:rsidR="009619A6" w14:paraId="5337C4B8" w14:textId="77777777" w:rsidTr="009A3D97">
        <w:trPr>
          <w:trHeight w:val="368"/>
          <w:jc w:val="center"/>
        </w:trPr>
        <w:tc>
          <w:tcPr>
            <w:tcW w:w="1980" w:type="dxa"/>
            <w:vAlign w:val="center"/>
          </w:tcPr>
          <w:p w14:paraId="09CC5948" w14:textId="77777777" w:rsidR="009619A6" w:rsidRDefault="003B4C7A" w:rsidP="009A3D97">
            <w:pPr>
              <w:spacing w:line="276" w:lineRule="auto"/>
              <w:rPr>
                <w:rFonts w:ascii="Times New Roman" w:hAnsi="Times New Roman" w:cs="Times New Roman"/>
                <w:sz w:val="24"/>
                <w:szCs w:val="24"/>
              </w:rPr>
            </w:pPr>
            <w:r w:rsidRPr="003B4C7A">
              <w:rPr>
                <w:rFonts w:ascii="Times New Roman" w:hAnsi="Times New Roman" w:cs="Times New Roman"/>
                <w:sz w:val="24"/>
                <w:szCs w:val="24"/>
              </w:rPr>
              <w:t>4.657</w:t>
            </w:r>
          </w:p>
        </w:tc>
        <w:tc>
          <w:tcPr>
            <w:tcW w:w="1170" w:type="dxa"/>
            <w:vAlign w:val="center"/>
          </w:tcPr>
          <w:p w14:paraId="7F89D507" w14:textId="77777777" w:rsidR="009619A6" w:rsidRPr="00F14AFF" w:rsidRDefault="003B4C7A"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15.57</w:t>
            </w:r>
          </w:p>
        </w:tc>
        <w:tc>
          <w:tcPr>
            <w:tcW w:w="4635" w:type="dxa"/>
            <w:vAlign w:val="center"/>
          </w:tcPr>
          <w:p w14:paraId="65BE5E62" w14:textId="77777777" w:rsidR="009619A6" w:rsidRPr="00F14AFF" w:rsidRDefault="003B4C7A" w:rsidP="009A3D97">
            <w:pPr>
              <w:spacing w:line="276" w:lineRule="auto"/>
              <w:jc w:val="both"/>
              <w:rPr>
                <w:rFonts w:ascii="Times New Roman" w:hAnsi="Times New Roman" w:cs="Times New Roman"/>
                <w:sz w:val="24"/>
                <w:szCs w:val="24"/>
              </w:rPr>
            </w:pPr>
            <w:r w:rsidRPr="003B4C7A">
              <w:rPr>
                <w:rFonts w:ascii="Times New Roman" w:hAnsi="Times New Roman" w:cs="Times New Roman"/>
                <w:sz w:val="24"/>
                <w:szCs w:val="24"/>
              </w:rPr>
              <w:t>4-Phenylbut-3-ene-1-yne</w:t>
            </w:r>
          </w:p>
        </w:tc>
      </w:tr>
      <w:tr w:rsidR="009619A6" w14:paraId="116FEDC0" w14:textId="77777777" w:rsidTr="004A4855">
        <w:trPr>
          <w:jc w:val="center"/>
        </w:trPr>
        <w:tc>
          <w:tcPr>
            <w:tcW w:w="1980" w:type="dxa"/>
            <w:vAlign w:val="center"/>
          </w:tcPr>
          <w:p w14:paraId="1D82AEFF"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7.971</w:t>
            </w:r>
          </w:p>
        </w:tc>
        <w:tc>
          <w:tcPr>
            <w:tcW w:w="1170" w:type="dxa"/>
            <w:vAlign w:val="center"/>
          </w:tcPr>
          <w:p w14:paraId="3980328C" w14:textId="77777777"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1.93</w:t>
            </w:r>
          </w:p>
        </w:tc>
        <w:tc>
          <w:tcPr>
            <w:tcW w:w="4635" w:type="dxa"/>
            <w:vAlign w:val="center"/>
          </w:tcPr>
          <w:p w14:paraId="061FEA66"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(1-methyldecyl)</w:t>
            </w:r>
          </w:p>
        </w:tc>
      </w:tr>
      <w:tr w:rsidR="009619A6" w14:paraId="746F6112" w14:textId="77777777" w:rsidTr="004A4855">
        <w:trPr>
          <w:jc w:val="center"/>
        </w:trPr>
        <w:tc>
          <w:tcPr>
            <w:tcW w:w="1980" w:type="dxa"/>
            <w:vAlign w:val="center"/>
          </w:tcPr>
          <w:p w14:paraId="0E00960D" w14:textId="77777777"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8.871</w:t>
            </w:r>
          </w:p>
        </w:tc>
        <w:tc>
          <w:tcPr>
            <w:tcW w:w="1170" w:type="dxa"/>
            <w:vAlign w:val="center"/>
          </w:tcPr>
          <w:p w14:paraId="47892625" w14:textId="77777777" w:rsidR="009619A6" w:rsidRPr="009619A6"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4635" w:type="dxa"/>
            <w:vAlign w:val="center"/>
          </w:tcPr>
          <w:p w14:paraId="738946D5" w14:textId="77777777"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(1-methylundecyl)</w:t>
            </w:r>
          </w:p>
        </w:tc>
      </w:tr>
      <w:tr w:rsidR="009619A6" w14:paraId="79D11F34" w14:textId="77777777" w:rsidTr="009A3D97">
        <w:trPr>
          <w:trHeight w:val="323"/>
          <w:jc w:val="center"/>
        </w:trPr>
        <w:tc>
          <w:tcPr>
            <w:tcW w:w="1980" w:type="dxa"/>
            <w:vAlign w:val="center"/>
          </w:tcPr>
          <w:p w14:paraId="6FEBEDF1"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10.489</w:t>
            </w:r>
          </w:p>
        </w:tc>
        <w:tc>
          <w:tcPr>
            <w:tcW w:w="1170" w:type="dxa"/>
            <w:vAlign w:val="center"/>
          </w:tcPr>
          <w:p w14:paraId="491420E0" w14:textId="77777777"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4635" w:type="dxa"/>
            <w:vAlign w:val="center"/>
          </w:tcPr>
          <w:p w14:paraId="243E01A0"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1-Nonadecene</w:t>
            </w:r>
          </w:p>
        </w:tc>
      </w:tr>
      <w:tr w:rsidR="009619A6" w14:paraId="4C8FB0CA" w14:textId="77777777" w:rsidTr="004A4855">
        <w:trPr>
          <w:jc w:val="center"/>
        </w:trPr>
        <w:tc>
          <w:tcPr>
            <w:tcW w:w="1980" w:type="dxa"/>
            <w:vAlign w:val="center"/>
          </w:tcPr>
          <w:p w14:paraId="66A7040D"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11.570</w:t>
            </w:r>
          </w:p>
        </w:tc>
        <w:tc>
          <w:tcPr>
            <w:tcW w:w="1170" w:type="dxa"/>
            <w:vAlign w:val="center"/>
          </w:tcPr>
          <w:p w14:paraId="305351CC" w14:textId="77777777"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4635" w:type="dxa"/>
            <w:vAlign w:val="center"/>
          </w:tcPr>
          <w:p w14:paraId="0775C83E"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Phytol</w:t>
            </w:r>
          </w:p>
        </w:tc>
      </w:tr>
      <w:tr w:rsidR="009619A6" w14:paraId="67DDF9D5" w14:textId="77777777" w:rsidTr="004A4855">
        <w:trPr>
          <w:jc w:val="center"/>
        </w:trPr>
        <w:tc>
          <w:tcPr>
            <w:tcW w:w="1980" w:type="dxa"/>
            <w:vAlign w:val="center"/>
          </w:tcPr>
          <w:p w14:paraId="3F7E0D0D"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lastRenderedPageBreak/>
              <w:t>17.262</w:t>
            </w:r>
          </w:p>
        </w:tc>
        <w:tc>
          <w:tcPr>
            <w:tcW w:w="1170" w:type="dxa"/>
            <w:vAlign w:val="center"/>
          </w:tcPr>
          <w:p w14:paraId="61C77321" w14:textId="77777777"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4635" w:type="dxa"/>
            <w:vAlign w:val="center"/>
          </w:tcPr>
          <w:p w14:paraId="3B9896CD" w14:textId="77777777" w:rsidR="009619A6" w:rsidRPr="00F14AFF" w:rsidRDefault="004A4855" w:rsidP="009A3D97">
            <w:pPr>
              <w:spacing w:line="276" w:lineRule="auto"/>
              <w:jc w:val="both"/>
              <w:rPr>
                <w:rFonts w:ascii="Times New Roman" w:hAnsi="Times New Roman" w:cs="Times New Roman"/>
                <w:sz w:val="24"/>
                <w:szCs w:val="24"/>
              </w:rPr>
            </w:pPr>
            <w:proofErr w:type="spellStart"/>
            <w:r w:rsidRPr="004A4855">
              <w:rPr>
                <w:rFonts w:ascii="Times New Roman" w:hAnsi="Times New Roman" w:cs="Times New Roman"/>
                <w:sz w:val="24"/>
                <w:szCs w:val="24"/>
              </w:rPr>
              <w:t>Decanedioic</w:t>
            </w:r>
            <w:proofErr w:type="spellEnd"/>
            <w:r w:rsidRPr="004A4855">
              <w:rPr>
                <w:rFonts w:ascii="Times New Roman" w:hAnsi="Times New Roman" w:cs="Times New Roman"/>
                <w:sz w:val="24"/>
                <w:szCs w:val="24"/>
              </w:rPr>
              <w:t xml:space="preserve"> acid, bis(2-ethylhexyl) ester</w:t>
            </w:r>
          </w:p>
        </w:tc>
      </w:tr>
      <w:tr w:rsidR="009619A6" w14:paraId="32B36D50" w14:textId="77777777" w:rsidTr="004A4855">
        <w:trPr>
          <w:jc w:val="center"/>
        </w:trPr>
        <w:tc>
          <w:tcPr>
            <w:tcW w:w="1980" w:type="dxa"/>
            <w:vAlign w:val="center"/>
          </w:tcPr>
          <w:p w14:paraId="49C64588"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18.003</w:t>
            </w:r>
          </w:p>
        </w:tc>
        <w:tc>
          <w:tcPr>
            <w:tcW w:w="1170" w:type="dxa"/>
            <w:vAlign w:val="center"/>
          </w:tcPr>
          <w:p w14:paraId="5666547D" w14:textId="77777777"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4635" w:type="dxa"/>
            <w:vAlign w:val="center"/>
          </w:tcPr>
          <w:p w14:paraId="2EC41056" w14:textId="77777777"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Pentatriacontane</w:t>
            </w:r>
          </w:p>
        </w:tc>
      </w:tr>
      <w:tr w:rsidR="004A4855" w14:paraId="6D693B63" w14:textId="77777777" w:rsidTr="004A4855">
        <w:trPr>
          <w:jc w:val="center"/>
        </w:trPr>
        <w:tc>
          <w:tcPr>
            <w:tcW w:w="1980" w:type="dxa"/>
            <w:vAlign w:val="center"/>
          </w:tcPr>
          <w:p w14:paraId="28756723" w14:textId="77777777"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20.080</w:t>
            </w:r>
          </w:p>
        </w:tc>
        <w:tc>
          <w:tcPr>
            <w:tcW w:w="1170" w:type="dxa"/>
            <w:vAlign w:val="center"/>
          </w:tcPr>
          <w:p w14:paraId="3B0271B9" w14:textId="77777777"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4635" w:type="dxa"/>
            <w:vAlign w:val="center"/>
          </w:tcPr>
          <w:p w14:paraId="67D18F09" w14:textId="77777777"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Vitamin E</w:t>
            </w:r>
          </w:p>
        </w:tc>
      </w:tr>
      <w:tr w:rsidR="004A4855" w14:paraId="6A005000" w14:textId="77777777" w:rsidTr="004A4855">
        <w:trPr>
          <w:jc w:val="center"/>
        </w:trPr>
        <w:tc>
          <w:tcPr>
            <w:tcW w:w="1980" w:type="dxa"/>
            <w:vAlign w:val="center"/>
          </w:tcPr>
          <w:p w14:paraId="79182D1D" w14:textId="77777777"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22.404</w:t>
            </w:r>
          </w:p>
        </w:tc>
        <w:tc>
          <w:tcPr>
            <w:tcW w:w="1170" w:type="dxa"/>
            <w:vAlign w:val="center"/>
          </w:tcPr>
          <w:p w14:paraId="2F879DF5" w14:textId="77777777"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4635" w:type="dxa"/>
            <w:vAlign w:val="center"/>
          </w:tcPr>
          <w:p w14:paraId="00C3938E" w14:textId="77777777"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Stigmasta-7,25-dien-3-ol, (</w:t>
            </w:r>
            <w:proofErr w:type="gramStart"/>
            <w:r w:rsidRPr="004A4855">
              <w:rPr>
                <w:rFonts w:ascii="Times New Roman" w:hAnsi="Times New Roman" w:cs="Times New Roman"/>
                <w:sz w:val="24"/>
                <w:szCs w:val="24"/>
              </w:rPr>
              <w:t>3.beta</w:t>
            </w:r>
            <w:proofErr w:type="gramEnd"/>
            <w:r w:rsidRPr="004A4855">
              <w:rPr>
                <w:rFonts w:ascii="Times New Roman" w:hAnsi="Times New Roman" w:cs="Times New Roman"/>
                <w:sz w:val="24"/>
                <w:szCs w:val="24"/>
              </w:rPr>
              <w:t>.,5.alpha.)</w:t>
            </w:r>
          </w:p>
        </w:tc>
      </w:tr>
    </w:tbl>
    <w:p w14:paraId="290A10A8" w14:textId="77777777" w:rsidR="00F14AFF" w:rsidRDefault="00F14AFF" w:rsidP="009619A6">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F14AFF" w:rsidRPr="00F14AFF" w14:paraId="46C3571B" w14:textId="77777777" w:rsidTr="00F14AFF">
        <w:trPr>
          <w:tblHeader/>
          <w:tblCellSpacing w:w="15" w:type="dxa"/>
        </w:trPr>
        <w:tc>
          <w:tcPr>
            <w:tcW w:w="0" w:type="auto"/>
            <w:vAlign w:val="center"/>
            <w:hideMark/>
          </w:tcPr>
          <w:p w14:paraId="022DB741" w14:textId="77777777" w:rsidR="00F14AFF" w:rsidRPr="00F14AFF" w:rsidRDefault="00F14AFF" w:rsidP="00F14AFF">
            <w:pPr>
              <w:spacing w:line="360" w:lineRule="auto"/>
              <w:jc w:val="both"/>
              <w:rPr>
                <w:rFonts w:ascii="Times New Roman" w:hAnsi="Times New Roman" w:cs="Times New Roman"/>
                <w:b/>
                <w:bCs/>
                <w:sz w:val="24"/>
                <w:szCs w:val="24"/>
              </w:rPr>
            </w:pPr>
          </w:p>
        </w:tc>
        <w:tc>
          <w:tcPr>
            <w:tcW w:w="0" w:type="auto"/>
            <w:vAlign w:val="center"/>
            <w:hideMark/>
          </w:tcPr>
          <w:p w14:paraId="2EDBF143" w14:textId="77777777" w:rsidR="00F14AFF" w:rsidRPr="00F14AFF" w:rsidRDefault="00F14AFF" w:rsidP="00F14AFF">
            <w:pPr>
              <w:spacing w:line="360" w:lineRule="auto"/>
              <w:jc w:val="both"/>
              <w:rPr>
                <w:rFonts w:ascii="Times New Roman" w:hAnsi="Times New Roman" w:cs="Times New Roman"/>
                <w:b/>
                <w:bCs/>
                <w:sz w:val="24"/>
                <w:szCs w:val="24"/>
              </w:rPr>
            </w:pPr>
          </w:p>
        </w:tc>
      </w:tr>
    </w:tbl>
    <w:p w14:paraId="4EF18764" w14:textId="77777777" w:rsidR="00F14AFF" w:rsidRPr="00F14AFF" w:rsidRDefault="00F14AFF" w:rsidP="00F14AFF">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
      </w:tblGrid>
      <w:tr w:rsidR="009619A6" w:rsidRPr="00F14AFF" w14:paraId="1C08575F" w14:textId="77777777" w:rsidTr="00F14AFF">
        <w:trPr>
          <w:tblCellSpacing w:w="15" w:type="dxa"/>
        </w:trPr>
        <w:tc>
          <w:tcPr>
            <w:tcW w:w="0" w:type="auto"/>
            <w:vAlign w:val="center"/>
            <w:hideMark/>
          </w:tcPr>
          <w:p w14:paraId="22E3E657" w14:textId="77777777" w:rsidR="009619A6" w:rsidRPr="00F14AFF" w:rsidRDefault="009619A6" w:rsidP="009619A6">
            <w:pPr>
              <w:spacing w:line="360" w:lineRule="auto"/>
              <w:jc w:val="both"/>
              <w:rPr>
                <w:rFonts w:ascii="Times New Roman" w:hAnsi="Times New Roman" w:cs="Times New Roman"/>
                <w:sz w:val="24"/>
                <w:szCs w:val="24"/>
              </w:rPr>
            </w:pPr>
            <w:r w:rsidRPr="00F14AFF">
              <w:rPr>
                <w:rFonts w:ascii="Times New Roman" w:hAnsi="Times New Roman" w:cs="Times New Roman"/>
                <w:sz w:val="24"/>
                <w:szCs w:val="24"/>
              </w:rPr>
              <w:t>~</w:t>
            </w:r>
          </w:p>
        </w:tc>
      </w:tr>
    </w:tbl>
    <w:p w14:paraId="070CA118" w14:textId="77777777" w:rsidR="00F14AFF" w:rsidRPr="00F14AFF" w:rsidRDefault="00F14AFF" w:rsidP="00F14AFF">
      <w:pPr>
        <w:spacing w:line="360" w:lineRule="auto"/>
        <w:jc w:val="both"/>
        <w:rPr>
          <w:rFonts w:ascii="Times New Roman" w:hAnsi="Times New Roman" w:cs="Times New Roman"/>
          <w:vanish/>
          <w:sz w:val="24"/>
          <w:szCs w:val="24"/>
        </w:rPr>
      </w:pPr>
    </w:p>
    <w:p w14:paraId="0A8CD76F" w14:textId="77777777" w:rsidR="00F14AFF" w:rsidRPr="00F14AFF" w:rsidRDefault="00F14AFF" w:rsidP="00F14AFF">
      <w:pPr>
        <w:spacing w:line="360" w:lineRule="auto"/>
        <w:jc w:val="both"/>
        <w:rPr>
          <w:rFonts w:ascii="Times New Roman" w:hAnsi="Times New Roman" w:cs="Times New Roman"/>
          <w:vanish/>
          <w:sz w:val="24"/>
          <w:szCs w:val="24"/>
        </w:rPr>
      </w:pPr>
    </w:p>
    <w:p w14:paraId="58317C43" w14:textId="77777777" w:rsidR="00F14AFF" w:rsidRPr="00F14AFF" w:rsidRDefault="00F14AFF" w:rsidP="00F14AFF">
      <w:pPr>
        <w:spacing w:line="360" w:lineRule="auto"/>
        <w:jc w:val="both"/>
        <w:rPr>
          <w:rFonts w:ascii="Times New Roman" w:hAnsi="Times New Roman" w:cs="Times New Roman"/>
          <w:vanish/>
          <w:sz w:val="24"/>
          <w:szCs w:val="24"/>
        </w:rPr>
      </w:pPr>
    </w:p>
    <w:p w14:paraId="7D79065B" w14:textId="77777777" w:rsidR="00F14AFF" w:rsidRPr="00F14AFF" w:rsidRDefault="00F14AFF" w:rsidP="00F14AFF">
      <w:pPr>
        <w:spacing w:line="360" w:lineRule="auto"/>
        <w:jc w:val="both"/>
        <w:rPr>
          <w:rFonts w:ascii="Times New Roman" w:hAnsi="Times New Roman" w:cs="Times New Roman"/>
          <w:vanish/>
          <w:sz w:val="24"/>
          <w:szCs w:val="24"/>
        </w:rPr>
      </w:pPr>
    </w:p>
    <w:p w14:paraId="26F5C01B" w14:textId="77777777" w:rsidR="00F14AFF" w:rsidRPr="00F14AFF" w:rsidRDefault="00F14AFF" w:rsidP="00F14AFF">
      <w:pPr>
        <w:spacing w:line="360" w:lineRule="auto"/>
        <w:jc w:val="both"/>
        <w:rPr>
          <w:rFonts w:ascii="Times New Roman" w:hAnsi="Times New Roman" w:cs="Times New Roman"/>
          <w:vanish/>
          <w:sz w:val="24"/>
          <w:szCs w:val="24"/>
        </w:rPr>
      </w:pPr>
    </w:p>
    <w:p w14:paraId="3CD786C7" w14:textId="77777777" w:rsidR="00F14AFF" w:rsidRPr="00F14AFF" w:rsidRDefault="00F14AFF" w:rsidP="00F14AFF">
      <w:pPr>
        <w:spacing w:line="360" w:lineRule="auto"/>
        <w:jc w:val="both"/>
        <w:rPr>
          <w:rFonts w:ascii="Times New Roman" w:hAnsi="Times New Roman" w:cs="Times New Roman"/>
          <w:vanish/>
          <w:sz w:val="24"/>
          <w:szCs w:val="24"/>
        </w:rPr>
      </w:pPr>
    </w:p>
    <w:p w14:paraId="335A5843" w14:textId="77777777" w:rsidR="00F14AFF" w:rsidRPr="00575138" w:rsidRDefault="00F14AFF" w:rsidP="00575138">
      <w:pPr>
        <w:spacing w:line="360" w:lineRule="auto"/>
        <w:jc w:val="both"/>
        <w:rPr>
          <w:rFonts w:ascii="Times New Roman" w:hAnsi="Times New Roman" w:cs="Times New Roman"/>
          <w:sz w:val="24"/>
          <w:szCs w:val="24"/>
        </w:rPr>
      </w:pPr>
    </w:p>
    <w:p w14:paraId="2BF8BF42" w14:textId="77777777" w:rsidR="008515E4" w:rsidRDefault="006D18FC"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452BDB0" wp14:editId="0543E5B4">
            <wp:extent cx="5195570" cy="3295650"/>
            <wp:effectExtent l="19050" t="0" r="5080" b="0"/>
            <wp:docPr id="8" name="Picture 1" descr="E:\NITZA OFFICIAL\SERVICE REPORT\Neha Rai\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GC-MS.JPG"/>
                    <pic:cNvPicPr>
                      <a:picLocks noChangeAspect="1" noChangeArrowheads="1"/>
                    </pic:cNvPicPr>
                  </pic:nvPicPr>
                  <pic:blipFill>
                    <a:blip r:embed="rId12" cstate="print"/>
                    <a:srcRect/>
                    <a:stretch>
                      <a:fillRect/>
                    </a:stretch>
                  </pic:blipFill>
                  <pic:spPr bwMode="auto">
                    <a:xfrm>
                      <a:off x="0" y="0"/>
                      <a:ext cx="5195570" cy="3295650"/>
                    </a:xfrm>
                    <a:prstGeom prst="rect">
                      <a:avLst/>
                    </a:prstGeom>
                    <a:noFill/>
                    <a:ln w="9525">
                      <a:noFill/>
                      <a:miter lim="800000"/>
                      <a:headEnd/>
                      <a:tailEnd/>
                    </a:ln>
                  </pic:spPr>
                </pic:pic>
              </a:graphicData>
            </a:graphic>
          </wp:inline>
        </w:drawing>
      </w:r>
    </w:p>
    <w:p w14:paraId="00CE144F" w14:textId="77777777" w:rsidR="009619A6" w:rsidRDefault="009619A6"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1F1FD3">
        <w:rPr>
          <w:rFonts w:ascii="Times New Roman" w:hAnsi="Times New Roman" w:cs="Times New Roman"/>
          <w:sz w:val="24"/>
          <w:szCs w:val="24"/>
        </w:rPr>
        <w:t xml:space="preserve">7- </w:t>
      </w:r>
      <w:r>
        <w:rPr>
          <w:rFonts w:ascii="Times New Roman" w:hAnsi="Times New Roman" w:cs="Times New Roman"/>
          <w:sz w:val="24"/>
          <w:szCs w:val="24"/>
        </w:rPr>
        <w:t>GC-MS chromatogram of acetone extract.</w:t>
      </w:r>
    </w:p>
    <w:p w14:paraId="7CEDB931" w14:textId="77777777" w:rsidR="00B83EE1" w:rsidRPr="00F77DFD" w:rsidRDefault="00F77DFD" w:rsidP="0009653F">
      <w:pPr>
        <w:jc w:val="both"/>
        <w:rPr>
          <w:rFonts w:ascii="Times New Roman" w:hAnsi="Times New Roman" w:cs="Times New Roman"/>
          <w:b/>
          <w:sz w:val="24"/>
          <w:szCs w:val="24"/>
        </w:rPr>
      </w:pPr>
      <w:r w:rsidRPr="00F77DFD">
        <w:rPr>
          <w:rFonts w:ascii="Times New Roman" w:hAnsi="Times New Roman" w:cs="Times New Roman"/>
          <w:b/>
          <w:sz w:val="24"/>
          <w:szCs w:val="24"/>
        </w:rPr>
        <w:t>CONCLUSION</w:t>
      </w:r>
    </w:p>
    <w:p w14:paraId="46E68A3B" w14:textId="77777777" w:rsidR="00B83EE1" w:rsidRDefault="00B83EE1" w:rsidP="0009653F">
      <w:pPr>
        <w:jc w:val="both"/>
        <w:rPr>
          <w:rFonts w:ascii="Times New Roman" w:hAnsi="Times New Roman" w:cs="Times New Roman"/>
          <w:sz w:val="24"/>
          <w:szCs w:val="24"/>
        </w:rPr>
      </w:pPr>
      <w:r w:rsidRPr="00B83EE1">
        <w:rPr>
          <w:rFonts w:ascii="Times New Roman" w:hAnsi="Times New Roman" w:cs="Times New Roman"/>
          <w:sz w:val="24"/>
          <w:szCs w:val="24"/>
        </w:rPr>
        <w:t xml:space="preserve">This study presents a comprehensive qualitative and molecular characterization of the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mushroom, offering valuable insights into its taxonomy, morphology, and genetic identity. Macroscopic and microscopic observations confirmed distinct phenotypic traits, while molecular analyses, particularly ITS region sequencing, provided accurate species-level identification. Phylogenetic analysis revealed close genetic relationships with other edible and medicinal fungi, reinforcing its potential for nutritional and pharmacological applications. The integration of morphological and molecular approaches proved essential for resolving taxonomic ambiguities and ensuring reliable identification. Furthermore, the findings highlight the importance of preserving indigenous mushroom species like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which hold ecological, cultural, and economic significance. This research lays the groundwork for future studies on the bioactive </w:t>
      </w:r>
      <w:r w:rsidRPr="00B83EE1">
        <w:rPr>
          <w:rFonts w:ascii="Times New Roman" w:hAnsi="Times New Roman" w:cs="Times New Roman"/>
          <w:sz w:val="24"/>
          <w:szCs w:val="24"/>
        </w:rPr>
        <w:lastRenderedPageBreak/>
        <w:t xml:space="preserve">compounds, cultivation methods, and biotechnological applications of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Overall, this characterization contributes to the expanding knowledge base on wild mushrooms and supports their sustainable utilization in food, medicine, and environmental management.</w:t>
      </w:r>
    </w:p>
    <w:p w14:paraId="1551E15D" w14:textId="77777777" w:rsidR="0009653F" w:rsidRPr="00F77DFD" w:rsidRDefault="0009653F" w:rsidP="0009653F">
      <w:pPr>
        <w:jc w:val="both"/>
        <w:rPr>
          <w:rFonts w:ascii="Times New Roman" w:hAnsi="Times New Roman" w:cs="Times New Roman"/>
          <w:b/>
          <w:sz w:val="24"/>
          <w:szCs w:val="24"/>
        </w:rPr>
      </w:pPr>
      <w:r w:rsidRPr="00F77DFD">
        <w:rPr>
          <w:rFonts w:ascii="Times New Roman" w:hAnsi="Times New Roman" w:cs="Times New Roman"/>
          <w:b/>
          <w:sz w:val="24"/>
          <w:szCs w:val="24"/>
        </w:rPr>
        <w:t>REFERENCE</w:t>
      </w:r>
    </w:p>
    <w:p w14:paraId="013F5DCB" w14:textId="77777777" w:rsidR="008D58DE" w:rsidRDefault="008D58DE" w:rsidP="0009653F">
      <w:pPr>
        <w:jc w:val="both"/>
        <w:rPr>
          <w:rFonts w:ascii="Times New Roman" w:hAnsi="Times New Roman" w:cs="Times New Roman"/>
          <w:sz w:val="24"/>
          <w:szCs w:val="24"/>
        </w:rPr>
      </w:pPr>
      <w:r w:rsidRPr="008D58DE">
        <w:rPr>
          <w:rFonts w:ascii="Times New Roman" w:hAnsi="Times New Roman" w:cs="Times New Roman"/>
          <w:sz w:val="24"/>
          <w:szCs w:val="24"/>
        </w:rPr>
        <w:t>Ashok</w:t>
      </w:r>
      <w:r>
        <w:rPr>
          <w:rFonts w:ascii="Times New Roman" w:hAnsi="Times New Roman" w:cs="Times New Roman"/>
          <w:sz w:val="24"/>
          <w:szCs w:val="24"/>
        </w:rPr>
        <w:t xml:space="preserve"> </w:t>
      </w:r>
      <w:proofErr w:type="spellStart"/>
      <w:r w:rsidRPr="008D58DE">
        <w:rPr>
          <w:rFonts w:ascii="Times New Roman" w:hAnsi="Times New Roman" w:cs="Times New Roman"/>
          <w:sz w:val="24"/>
          <w:szCs w:val="24"/>
        </w:rPr>
        <w:t>kumar</w:t>
      </w:r>
      <w:proofErr w:type="spellEnd"/>
      <w:r w:rsidRPr="008D58DE">
        <w:rPr>
          <w:rFonts w:ascii="Times New Roman" w:hAnsi="Times New Roman" w:cs="Times New Roman"/>
          <w:sz w:val="24"/>
          <w:szCs w:val="24"/>
        </w:rPr>
        <w:t xml:space="preserve">, R. &amp; Ramaswamy, M. </w:t>
      </w:r>
      <w:r>
        <w:rPr>
          <w:rFonts w:ascii="Times New Roman" w:hAnsi="Times New Roman" w:cs="Times New Roman"/>
          <w:sz w:val="24"/>
          <w:szCs w:val="24"/>
        </w:rPr>
        <w:t xml:space="preserve">(2014) </w:t>
      </w:r>
      <w:r w:rsidRPr="008D58DE">
        <w:rPr>
          <w:rFonts w:ascii="Times New Roman" w:hAnsi="Times New Roman" w:cs="Times New Roman"/>
          <w:sz w:val="24"/>
          <w:szCs w:val="24"/>
        </w:rPr>
        <w:t>Phytochemical screening by FTIR spectroscopic analysis of leaf extracts of selected Indian medicinal plants. </w:t>
      </w:r>
      <w:r w:rsidRPr="008D58DE">
        <w:rPr>
          <w:rFonts w:ascii="Times New Roman" w:hAnsi="Times New Roman" w:cs="Times New Roman"/>
          <w:i/>
          <w:iCs/>
          <w:sz w:val="24"/>
          <w:szCs w:val="24"/>
        </w:rPr>
        <w:t>IJCMAS</w:t>
      </w:r>
      <w:r w:rsidRPr="008D58DE">
        <w:rPr>
          <w:rFonts w:ascii="Times New Roman" w:hAnsi="Times New Roman" w:cs="Times New Roman"/>
          <w:sz w:val="24"/>
          <w:szCs w:val="24"/>
        </w:rPr>
        <w:t> </w:t>
      </w:r>
      <w:r w:rsidRPr="008D58DE">
        <w:rPr>
          <w:rFonts w:ascii="Times New Roman" w:hAnsi="Times New Roman" w:cs="Times New Roman"/>
          <w:b/>
          <w:bCs/>
          <w:sz w:val="24"/>
          <w:szCs w:val="24"/>
        </w:rPr>
        <w:t>3</w:t>
      </w:r>
      <w:r>
        <w:rPr>
          <w:rFonts w:ascii="Times New Roman" w:hAnsi="Times New Roman" w:cs="Times New Roman"/>
          <w:sz w:val="24"/>
          <w:szCs w:val="24"/>
        </w:rPr>
        <w:t> (1), 395–406</w:t>
      </w:r>
      <w:r w:rsidRPr="008D58DE">
        <w:rPr>
          <w:rFonts w:ascii="Times New Roman" w:hAnsi="Times New Roman" w:cs="Times New Roman"/>
          <w:sz w:val="24"/>
          <w:szCs w:val="24"/>
        </w:rPr>
        <w:t>.</w:t>
      </w:r>
    </w:p>
    <w:p w14:paraId="76FDE047" w14:textId="77777777" w:rsidR="00867983" w:rsidRDefault="00867983" w:rsidP="0009653F">
      <w:pPr>
        <w:jc w:val="both"/>
        <w:rPr>
          <w:rFonts w:ascii="Times New Roman" w:hAnsi="Times New Roman" w:cs="Times New Roman"/>
          <w:sz w:val="24"/>
          <w:szCs w:val="24"/>
        </w:rPr>
      </w:pPr>
      <w:r w:rsidRPr="00867983">
        <w:rPr>
          <w:rFonts w:ascii="Times New Roman" w:hAnsi="Times New Roman" w:cs="Times New Roman"/>
          <w:sz w:val="24"/>
          <w:szCs w:val="24"/>
        </w:rPr>
        <w:t>Doyle J., Doyle J. (1987). A rapid DNA isolation procedure for small quantities of fresh leaf tissue. Phytochemistry Bulletin. 19: 11-15.</w:t>
      </w:r>
    </w:p>
    <w:p w14:paraId="0491F218" w14:textId="77777777"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Ghosh S., </w:t>
      </w:r>
      <w:proofErr w:type="spellStart"/>
      <w:r w:rsidRPr="006D3B1C">
        <w:rPr>
          <w:rFonts w:ascii="Times New Roman" w:hAnsi="Times New Roman" w:cs="Times New Roman"/>
          <w:sz w:val="24"/>
          <w:szCs w:val="24"/>
        </w:rPr>
        <w:t>Bera</w:t>
      </w:r>
      <w:proofErr w:type="spellEnd"/>
      <w:r w:rsidRPr="006D3B1C">
        <w:rPr>
          <w:rFonts w:ascii="Times New Roman" w:hAnsi="Times New Roman" w:cs="Times New Roman"/>
          <w:sz w:val="24"/>
          <w:szCs w:val="24"/>
        </w:rPr>
        <w:t xml:space="preserve"> T., Pal S. (2020a). Antiproliferative, apoptotic, and antimigration property of ethyl acetate extract of </w:t>
      </w:r>
      <w:proofErr w:type="spellStart"/>
      <w:r w:rsidRPr="006D3B1C">
        <w:rPr>
          <w:rFonts w:ascii="Times New Roman" w:hAnsi="Times New Roman" w:cs="Times New Roman"/>
          <w:sz w:val="24"/>
          <w:szCs w:val="24"/>
        </w:rPr>
        <w:t>Calocybe</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indica</w:t>
      </w:r>
      <w:proofErr w:type="spellEnd"/>
      <w:r w:rsidRPr="006D3B1C">
        <w:rPr>
          <w:rFonts w:ascii="Times New Roman" w:hAnsi="Times New Roman" w:cs="Times New Roman"/>
          <w:sz w:val="24"/>
          <w:szCs w:val="24"/>
        </w:rPr>
        <w:t xml:space="preserve"> against HeLa and </w:t>
      </w:r>
      <w:proofErr w:type="spellStart"/>
      <w:r w:rsidRPr="006D3B1C">
        <w:rPr>
          <w:rFonts w:ascii="Times New Roman" w:hAnsi="Times New Roman" w:cs="Times New Roman"/>
          <w:sz w:val="24"/>
          <w:szCs w:val="24"/>
        </w:rPr>
        <w:t>CaSki</w:t>
      </w:r>
      <w:proofErr w:type="spellEnd"/>
      <w:r w:rsidRPr="006D3B1C">
        <w:rPr>
          <w:rFonts w:ascii="Times New Roman" w:hAnsi="Times New Roman" w:cs="Times New Roman"/>
          <w:sz w:val="24"/>
          <w:szCs w:val="24"/>
        </w:rPr>
        <w:t xml:space="preserve"> cell lines of cervical cancer, and its antioxidant and </w:t>
      </w:r>
      <w:proofErr w:type="spellStart"/>
      <w:r w:rsidRPr="006D3B1C">
        <w:rPr>
          <w:rFonts w:ascii="Times New Roman" w:hAnsi="Times New Roman" w:cs="Times New Roman"/>
          <w:sz w:val="24"/>
          <w:szCs w:val="24"/>
        </w:rPr>
        <w:t>mycochemistry</w:t>
      </w:r>
      <w:proofErr w:type="spellEnd"/>
      <w:r w:rsidRPr="006D3B1C">
        <w:rPr>
          <w:rFonts w:ascii="Times New Roman" w:hAnsi="Times New Roman" w:cs="Times New Roman"/>
          <w:sz w:val="24"/>
          <w:szCs w:val="24"/>
        </w:rPr>
        <w:t xml:space="preserve"> analysis. Middle East Journal of Cancer. 11 (4): 454-468.</w:t>
      </w:r>
    </w:p>
    <w:p w14:paraId="6E0129C1" w14:textId="77777777" w:rsidR="00646CD4" w:rsidRDefault="00646CD4" w:rsidP="0009653F">
      <w:pPr>
        <w:jc w:val="both"/>
        <w:rPr>
          <w:rFonts w:ascii="Times New Roman" w:hAnsi="Times New Roman" w:cs="Times New Roman"/>
          <w:sz w:val="24"/>
          <w:szCs w:val="24"/>
        </w:rPr>
      </w:pPr>
      <w:r w:rsidRPr="00646CD4">
        <w:rPr>
          <w:rFonts w:ascii="Times New Roman" w:hAnsi="Times New Roman" w:cs="Times New Roman"/>
          <w:sz w:val="24"/>
          <w:szCs w:val="24"/>
        </w:rPr>
        <w:t>Ghosh, S.K., Pandey, K., Ghosh, M. </w:t>
      </w:r>
      <w:r w:rsidRPr="00646CD4">
        <w:rPr>
          <w:rFonts w:ascii="Times New Roman" w:hAnsi="Times New Roman" w:cs="Times New Roman"/>
          <w:iCs/>
          <w:sz w:val="24"/>
          <w:szCs w:val="24"/>
        </w:rPr>
        <w:t>(2025)</w:t>
      </w:r>
      <w:r w:rsidRPr="00646CD4">
        <w:rPr>
          <w:rFonts w:ascii="Times New Roman" w:hAnsi="Times New Roman" w:cs="Times New Roman"/>
          <w:i/>
          <w:iCs/>
          <w:sz w:val="24"/>
          <w:szCs w:val="24"/>
        </w:rPr>
        <w:t>.</w:t>
      </w:r>
      <w:r w:rsidRPr="00646CD4">
        <w:rPr>
          <w:rFonts w:ascii="Times New Roman" w:hAnsi="Times New Roman" w:cs="Times New Roman"/>
          <w:sz w:val="24"/>
          <w:szCs w:val="24"/>
        </w:rPr>
        <w:t> </w:t>
      </w:r>
      <w:proofErr w:type="spellStart"/>
      <w:r w:rsidRPr="00646CD4">
        <w:rPr>
          <w:rFonts w:ascii="Times New Roman" w:hAnsi="Times New Roman" w:cs="Times New Roman"/>
          <w:sz w:val="24"/>
          <w:szCs w:val="24"/>
        </w:rPr>
        <w:t>Mycochemistry</w:t>
      </w:r>
      <w:proofErr w:type="spellEnd"/>
      <w:r w:rsidRPr="00646CD4">
        <w:rPr>
          <w:rFonts w:ascii="Times New Roman" w:hAnsi="Times New Roman" w:cs="Times New Roman"/>
          <w:sz w:val="24"/>
          <w:szCs w:val="24"/>
        </w:rPr>
        <w:t>, antioxidant, anticancer activity, and molecular docking of compounds of F12 of ethyl acetate extract of </w:t>
      </w:r>
      <w:r w:rsidRPr="00646CD4">
        <w:rPr>
          <w:rFonts w:ascii="Times New Roman" w:hAnsi="Times New Roman" w:cs="Times New Roman"/>
          <w:i/>
          <w:iCs/>
          <w:sz w:val="24"/>
          <w:szCs w:val="24"/>
        </w:rPr>
        <w:t xml:space="preserve">Astraeus </w:t>
      </w:r>
      <w:proofErr w:type="spellStart"/>
      <w:r w:rsidRPr="00646CD4">
        <w:rPr>
          <w:rFonts w:ascii="Times New Roman" w:hAnsi="Times New Roman" w:cs="Times New Roman"/>
          <w:i/>
          <w:iCs/>
          <w:sz w:val="24"/>
          <w:szCs w:val="24"/>
        </w:rPr>
        <w:t>asiaticus</w:t>
      </w:r>
      <w:proofErr w:type="spellEnd"/>
      <w:r w:rsidRPr="00646CD4">
        <w:rPr>
          <w:rFonts w:ascii="Times New Roman" w:hAnsi="Times New Roman" w:cs="Times New Roman"/>
          <w:sz w:val="24"/>
          <w:szCs w:val="24"/>
        </w:rPr>
        <w:t> with BcL2 and Caspase 3. </w:t>
      </w:r>
      <w:r w:rsidRPr="00646CD4">
        <w:rPr>
          <w:rFonts w:ascii="Times New Roman" w:hAnsi="Times New Roman" w:cs="Times New Roman"/>
          <w:i/>
          <w:iCs/>
          <w:sz w:val="24"/>
          <w:szCs w:val="24"/>
        </w:rPr>
        <w:t>Sci Rep</w:t>
      </w:r>
      <w:r w:rsidRPr="00646CD4">
        <w:rPr>
          <w:rFonts w:ascii="Times New Roman" w:hAnsi="Times New Roman" w:cs="Times New Roman"/>
          <w:sz w:val="24"/>
          <w:szCs w:val="24"/>
        </w:rPr>
        <w:t> </w:t>
      </w:r>
      <w:r w:rsidRPr="00646CD4">
        <w:rPr>
          <w:rFonts w:ascii="Times New Roman" w:hAnsi="Times New Roman" w:cs="Times New Roman"/>
          <w:b/>
          <w:bCs/>
          <w:sz w:val="24"/>
          <w:szCs w:val="24"/>
        </w:rPr>
        <w:t>15</w:t>
      </w:r>
      <w:r>
        <w:rPr>
          <w:rFonts w:ascii="Times New Roman" w:hAnsi="Times New Roman" w:cs="Times New Roman"/>
          <w:sz w:val="24"/>
          <w:szCs w:val="24"/>
        </w:rPr>
        <w:t>, 4313</w:t>
      </w:r>
      <w:r w:rsidRPr="00646CD4">
        <w:rPr>
          <w:rFonts w:ascii="Times New Roman" w:hAnsi="Times New Roman" w:cs="Times New Roman"/>
          <w:sz w:val="24"/>
          <w:szCs w:val="24"/>
        </w:rPr>
        <w:t>. https://doi.org/10.1038/s41598-025-87775-1</w:t>
      </w:r>
    </w:p>
    <w:p w14:paraId="3DABC34E" w14:textId="77777777"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Gardes</w:t>
      </w:r>
      <w:proofErr w:type="spellEnd"/>
      <w:r w:rsidRPr="00867983">
        <w:rPr>
          <w:rFonts w:ascii="Times New Roman" w:hAnsi="Times New Roman" w:cs="Times New Roman"/>
          <w:sz w:val="24"/>
          <w:szCs w:val="24"/>
        </w:rPr>
        <w:t xml:space="preserve"> M., Bruns T. (1993). ITS primers with enhanced specificity for Basidiomycetes-application to the identification of mycorrhizae and rusts. Molecular Ecology. 2: 113-118.</w:t>
      </w:r>
    </w:p>
    <w:p w14:paraId="01705A49" w14:textId="77777777"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Khaund</w:t>
      </w:r>
      <w:proofErr w:type="spellEnd"/>
      <w:r w:rsidR="00EA2A41">
        <w:rPr>
          <w:rFonts w:ascii="Times New Roman" w:hAnsi="Times New Roman" w:cs="Times New Roman"/>
          <w:sz w:val="24"/>
          <w:szCs w:val="24"/>
        </w:rPr>
        <w:t>,</w:t>
      </w:r>
      <w:r w:rsidRPr="00867983">
        <w:rPr>
          <w:rFonts w:ascii="Times New Roman" w:hAnsi="Times New Roman" w:cs="Times New Roman"/>
          <w:sz w:val="24"/>
          <w:szCs w:val="24"/>
        </w:rPr>
        <w:t xml:space="preserve"> P., Joshi</w:t>
      </w:r>
      <w:r w:rsidR="00EA2A41">
        <w:rPr>
          <w:rFonts w:ascii="Times New Roman" w:hAnsi="Times New Roman" w:cs="Times New Roman"/>
          <w:sz w:val="24"/>
          <w:szCs w:val="24"/>
        </w:rPr>
        <w:t>,</w:t>
      </w:r>
      <w:r w:rsidRPr="00867983">
        <w:rPr>
          <w:rFonts w:ascii="Times New Roman" w:hAnsi="Times New Roman" w:cs="Times New Roman"/>
          <w:sz w:val="24"/>
          <w:szCs w:val="24"/>
        </w:rPr>
        <w:t xml:space="preserve"> S. (2014). Micromorphological characterization of wild edible mushroom spores using scanning electron microscopy. National Academy Science Letters. 37 (6): 521-527.</w:t>
      </w:r>
    </w:p>
    <w:p w14:paraId="4E4458EB" w14:textId="77777777" w:rsidR="0009653F" w:rsidRDefault="0009653F" w:rsidP="0009653F">
      <w:pPr>
        <w:jc w:val="both"/>
        <w:rPr>
          <w:rFonts w:ascii="Times New Roman" w:hAnsi="Times New Roman" w:cs="Times New Roman"/>
          <w:sz w:val="24"/>
          <w:szCs w:val="24"/>
        </w:rPr>
      </w:pPr>
      <w:proofErr w:type="spellStart"/>
      <w:r w:rsidRPr="0009653F">
        <w:rPr>
          <w:rFonts w:ascii="Times New Roman" w:hAnsi="Times New Roman" w:cs="Times New Roman"/>
          <w:sz w:val="24"/>
          <w:szCs w:val="24"/>
        </w:rPr>
        <w:t>Landı́nez-Torres</w:t>
      </w:r>
      <w:proofErr w:type="spellEnd"/>
      <w:r w:rsidRPr="0009653F">
        <w:rPr>
          <w:rFonts w:ascii="Times New Roman" w:hAnsi="Times New Roman" w:cs="Times New Roman"/>
          <w:sz w:val="24"/>
          <w:szCs w:val="24"/>
        </w:rPr>
        <w:t xml:space="preserve"> A., </w:t>
      </w:r>
      <w:proofErr w:type="spellStart"/>
      <w:r w:rsidRPr="0009653F">
        <w:rPr>
          <w:rFonts w:ascii="Times New Roman" w:hAnsi="Times New Roman" w:cs="Times New Roman"/>
          <w:sz w:val="24"/>
          <w:szCs w:val="24"/>
        </w:rPr>
        <w:t>Fagua</w:t>
      </w:r>
      <w:proofErr w:type="spellEnd"/>
      <w:r w:rsidRPr="0009653F">
        <w:rPr>
          <w:rFonts w:ascii="Times New Roman" w:hAnsi="Times New Roman" w:cs="Times New Roman"/>
          <w:sz w:val="24"/>
          <w:szCs w:val="24"/>
        </w:rPr>
        <w:t xml:space="preserve"> C., López A., </w:t>
      </w:r>
      <w:proofErr w:type="spellStart"/>
      <w:r w:rsidRPr="0009653F">
        <w:rPr>
          <w:rFonts w:ascii="Times New Roman" w:hAnsi="Times New Roman" w:cs="Times New Roman"/>
          <w:sz w:val="24"/>
          <w:szCs w:val="24"/>
        </w:rPr>
        <w:t>Oyola</w:t>
      </w:r>
      <w:proofErr w:type="spellEnd"/>
      <w:r w:rsidRPr="0009653F">
        <w:rPr>
          <w:rFonts w:ascii="Times New Roman" w:hAnsi="Times New Roman" w:cs="Times New Roman"/>
          <w:sz w:val="24"/>
          <w:szCs w:val="24"/>
        </w:rPr>
        <w:t xml:space="preserve"> Y., </w:t>
      </w:r>
      <w:proofErr w:type="spellStart"/>
      <w:r w:rsidRPr="0009653F">
        <w:rPr>
          <w:rFonts w:ascii="Times New Roman" w:hAnsi="Times New Roman" w:cs="Times New Roman"/>
          <w:sz w:val="24"/>
          <w:szCs w:val="24"/>
        </w:rPr>
        <w:t>Girometta</w:t>
      </w:r>
      <w:proofErr w:type="spellEnd"/>
      <w:r w:rsidRPr="0009653F">
        <w:rPr>
          <w:rFonts w:ascii="Times New Roman" w:hAnsi="Times New Roman" w:cs="Times New Roman"/>
          <w:sz w:val="24"/>
          <w:szCs w:val="24"/>
        </w:rPr>
        <w:t xml:space="preserve"> C. (2021). Pruning wastes from fruit trees as a substrate for </w:t>
      </w:r>
      <w:proofErr w:type="spellStart"/>
      <w:r w:rsidRPr="0009653F">
        <w:rPr>
          <w:rFonts w:ascii="Times New Roman" w:hAnsi="Times New Roman" w:cs="Times New Roman"/>
          <w:sz w:val="24"/>
          <w:szCs w:val="24"/>
        </w:rPr>
        <w:t>Pleurotus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ostreatus</w:t>
      </w:r>
      <w:proofErr w:type="spellEnd"/>
      <w:r w:rsidRPr="0009653F">
        <w:rPr>
          <w:rFonts w:ascii="Times New Roman" w:hAnsi="Times New Roman" w:cs="Times New Roman"/>
          <w:sz w:val="24"/>
          <w:szCs w:val="24"/>
        </w:rPr>
        <w:t xml:space="preserve">. Acta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56: 1-13.</w:t>
      </w:r>
    </w:p>
    <w:p w14:paraId="2F140444" w14:textId="77777777"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t>Mwangi R., Macharia J., </w:t>
      </w:r>
      <w:proofErr w:type="spellStart"/>
      <w:r w:rsidRPr="0009653F">
        <w:rPr>
          <w:rFonts w:ascii="Times New Roman" w:hAnsi="Times New Roman" w:cs="Times New Roman"/>
          <w:sz w:val="24"/>
          <w:szCs w:val="24"/>
        </w:rPr>
        <w:t>Wagara</w:t>
      </w:r>
      <w:proofErr w:type="spellEnd"/>
      <w:r w:rsidRPr="0009653F">
        <w:rPr>
          <w:rFonts w:ascii="Times New Roman" w:hAnsi="Times New Roman" w:cs="Times New Roman"/>
          <w:sz w:val="24"/>
          <w:szCs w:val="24"/>
        </w:rPr>
        <w:t xml:space="preserve"> I., Bence R. (2022). The antioxidant potential of different edible and medicinal mushrooms. Biomedicine &amp; Pharmacotherapy. 147.</w:t>
      </w:r>
    </w:p>
    <w:p w14:paraId="2DF4824A" w14:textId="77777777"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Meena B., Sivakumar V., </w:t>
      </w:r>
      <w:proofErr w:type="spellStart"/>
      <w:r w:rsidRPr="006D3B1C">
        <w:rPr>
          <w:rFonts w:ascii="Times New Roman" w:hAnsi="Times New Roman" w:cs="Times New Roman"/>
          <w:sz w:val="24"/>
          <w:szCs w:val="24"/>
        </w:rPr>
        <w:t>Praneetha</w:t>
      </w:r>
      <w:proofErr w:type="spellEnd"/>
      <w:r w:rsidRPr="006D3B1C">
        <w:rPr>
          <w:rFonts w:ascii="Times New Roman" w:hAnsi="Times New Roman" w:cs="Times New Roman"/>
          <w:sz w:val="24"/>
          <w:szCs w:val="24"/>
        </w:rPr>
        <w:t xml:space="preserve"> S. (2020). Prospects of biodiversity and distribution of mushroom fungi in India. GSC Biological and Pharmaceutical Sciences. 13 (01): 078-085.</w:t>
      </w:r>
    </w:p>
    <w:p w14:paraId="183725B4" w14:textId="77777777" w:rsidR="006D3B1C" w:rsidRDefault="006D3B1C" w:rsidP="0009653F">
      <w:pPr>
        <w:jc w:val="both"/>
        <w:rPr>
          <w:rFonts w:ascii="Times New Roman" w:hAnsi="Times New Roman" w:cs="Times New Roman"/>
          <w:sz w:val="24"/>
          <w:szCs w:val="24"/>
        </w:rPr>
      </w:pPr>
      <w:proofErr w:type="spellStart"/>
      <w:r w:rsidRPr="006D3B1C">
        <w:rPr>
          <w:rFonts w:ascii="Times New Roman" w:hAnsi="Times New Roman" w:cs="Times New Roman"/>
          <w:sz w:val="24"/>
          <w:szCs w:val="24"/>
        </w:rPr>
        <w:t>Manimaran</w:t>
      </w:r>
      <w:proofErr w:type="spellEnd"/>
      <w:r w:rsidRPr="006D3B1C">
        <w:rPr>
          <w:rFonts w:ascii="Times New Roman" w:hAnsi="Times New Roman" w:cs="Times New Roman"/>
          <w:sz w:val="24"/>
          <w:szCs w:val="24"/>
        </w:rPr>
        <w:t xml:space="preserve"> K., </w:t>
      </w:r>
      <w:proofErr w:type="spellStart"/>
      <w:r w:rsidRPr="006D3B1C">
        <w:rPr>
          <w:rFonts w:ascii="Times New Roman" w:hAnsi="Times New Roman" w:cs="Times New Roman"/>
          <w:sz w:val="24"/>
          <w:szCs w:val="24"/>
        </w:rPr>
        <w:t>Balasubramani</w:t>
      </w:r>
      <w:proofErr w:type="spellEnd"/>
      <w:r w:rsidRPr="006D3B1C">
        <w:rPr>
          <w:rFonts w:ascii="Times New Roman" w:hAnsi="Times New Roman" w:cs="Times New Roman"/>
          <w:sz w:val="24"/>
          <w:szCs w:val="24"/>
        </w:rPr>
        <w:t xml:space="preserve"> G., </w:t>
      </w:r>
      <w:proofErr w:type="spellStart"/>
      <w:r w:rsidRPr="006D3B1C">
        <w:rPr>
          <w:rFonts w:ascii="Times New Roman" w:hAnsi="Times New Roman" w:cs="Times New Roman"/>
          <w:sz w:val="24"/>
          <w:szCs w:val="24"/>
        </w:rPr>
        <w:t>Ragavendran</w:t>
      </w:r>
      <w:proofErr w:type="spellEnd"/>
      <w:r w:rsidRPr="006D3B1C">
        <w:rPr>
          <w:rFonts w:ascii="Times New Roman" w:hAnsi="Times New Roman" w:cs="Times New Roman"/>
          <w:sz w:val="24"/>
          <w:szCs w:val="24"/>
        </w:rPr>
        <w:t xml:space="preserve"> C., Natarajan D., Murugesan S. (2021). Biological applications of synthesized </w:t>
      </w:r>
      <w:proofErr w:type="spellStart"/>
      <w:r w:rsidRPr="006D3B1C">
        <w:rPr>
          <w:rFonts w:ascii="Times New Roman" w:hAnsi="Times New Roman" w:cs="Times New Roman"/>
          <w:sz w:val="24"/>
          <w:szCs w:val="24"/>
        </w:rPr>
        <w:t>ZnO</w:t>
      </w:r>
      <w:proofErr w:type="spellEnd"/>
      <w:r w:rsidRPr="006D3B1C">
        <w:rPr>
          <w:rFonts w:ascii="Times New Roman" w:hAnsi="Times New Roman" w:cs="Times New Roman"/>
          <w:sz w:val="24"/>
          <w:szCs w:val="24"/>
        </w:rPr>
        <w:t xml:space="preserve"> nanoparticles using </w:t>
      </w:r>
      <w:proofErr w:type="spellStart"/>
      <w:r w:rsidRPr="006D3B1C">
        <w:rPr>
          <w:rFonts w:ascii="Times New Roman" w:hAnsi="Times New Roman" w:cs="Times New Roman"/>
          <w:sz w:val="24"/>
          <w:szCs w:val="24"/>
        </w:rPr>
        <w:t>Pleurotus</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djamor</w:t>
      </w:r>
      <w:proofErr w:type="spellEnd"/>
      <w:r w:rsidRPr="006D3B1C">
        <w:rPr>
          <w:rFonts w:ascii="Times New Roman" w:hAnsi="Times New Roman" w:cs="Times New Roman"/>
          <w:sz w:val="24"/>
          <w:szCs w:val="24"/>
        </w:rPr>
        <w:t> against mosquito larvicidal, histopathology, antibacterial, antioxidant and anticancer effect. Journal of Cluster Science. 32 (6): 1635-1647.</w:t>
      </w:r>
    </w:p>
    <w:p w14:paraId="16AE358C" w14:textId="77777777"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t xml:space="preserve">Pandey, K., Ghosh, S. K. (2023). Biodiversity of Astraeus </w:t>
      </w:r>
      <w:proofErr w:type="spellStart"/>
      <w:r w:rsidRPr="0009653F">
        <w:rPr>
          <w:rFonts w:ascii="Times New Roman" w:hAnsi="Times New Roman" w:cs="Times New Roman"/>
          <w:sz w:val="24"/>
          <w:szCs w:val="24"/>
        </w:rPr>
        <w:t>asiaticus</w:t>
      </w:r>
      <w:proofErr w:type="spellEnd"/>
      <w:r w:rsidRPr="0009653F">
        <w:rPr>
          <w:rFonts w:ascii="Times New Roman" w:hAnsi="Times New Roman" w:cs="Times New Roman"/>
          <w:sz w:val="24"/>
          <w:szCs w:val="24"/>
        </w:rPr>
        <w:t xml:space="preserve">, a wild indigenous edible mushroom, in the forests of Bankura district, West Bengal and its antioxidant property. Acta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xml:space="preserve">, 58, 1-19. </w:t>
      </w:r>
      <w:hyperlink r:id="rId13" w:history="1">
        <w:r w:rsidR="006D3B1C" w:rsidRPr="00C13D72">
          <w:rPr>
            <w:rStyle w:val="Hyperlink"/>
            <w:rFonts w:ascii="Times New Roman" w:hAnsi="Times New Roman" w:cs="Times New Roman"/>
            <w:sz w:val="24"/>
            <w:szCs w:val="24"/>
          </w:rPr>
          <w:t>https://doi.org/10.5586/am.575</w:t>
        </w:r>
      </w:hyperlink>
    </w:p>
    <w:p w14:paraId="3448F674" w14:textId="77777777" w:rsidR="00E968D3" w:rsidRDefault="00E968D3" w:rsidP="0009653F">
      <w:pPr>
        <w:jc w:val="both"/>
        <w:rPr>
          <w:rFonts w:ascii="Times New Roman" w:hAnsi="Times New Roman" w:cs="Times New Roman"/>
          <w:sz w:val="24"/>
          <w:szCs w:val="24"/>
        </w:rPr>
      </w:pPr>
      <w:proofErr w:type="spellStart"/>
      <w:r w:rsidRPr="00E968D3">
        <w:rPr>
          <w:rFonts w:ascii="Times New Roman" w:hAnsi="Times New Roman" w:cs="Times New Roman"/>
          <w:sz w:val="24"/>
          <w:szCs w:val="24"/>
        </w:rPr>
        <w:lastRenderedPageBreak/>
        <w:t>Phosri</w:t>
      </w:r>
      <w:proofErr w:type="spellEnd"/>
      <w:r w:rsidRPr="00E968D3">
        <w:rPr>
          <w:rFonts w:ascii="Times New Roman" w:hAnsi="Times New Roman" w:cs="Times New Roman"/>
          <w:sz w:val="24"/>
          <w:szCs w:val="24"/>
        </w:rPr>
        <w:t xml:space="preserve"> C., </w:t>
      </w:r>
      <w:proofErr w:type="spellStart"/>
      <w:r w:rsidRPr="00E968D3">
        <w:rPr>
          <w:rFonts w:ascii="Times New Roman" w:hAnsi="Times New Roman" w:cs="Times New Roman"/>
          <w:sz w:val="24"/>
          <w:szCs w:val="24"/>
        </w:rPr>
        <w:t>Martı́n</w:t>
      </w:r>
      <w:proofErr w:type="spellEnd"/>
      <w:r w:rsidRPr="00E968D3">
        <w:rPr>
          <w:rFonts w:ascii="Times New Roman" w:hAnsi="Times New Roman" w:cs="Times New Roman"/>
          <w:sz w:val="24"/>
          <w:szCs w:val="24"/>
        </w:rPr>
        <w:t xml:space="preserve"> M., </w:t>
      </w:r>
      <w:proofErr w:type="spellStart"/>
      <w:r w:rsidRPr="00E968D3">
        <w:rPr>
          <w:rFonts w:ascii="Times New Roman" w:hAnsi="Times New Roman" w:cs="Times New Roman"/>
          <w:sz w:val="24"/>
          <w:szCs w:val="24"/>
        </w:rPr>
        <w:t>Sihanonth</w:t>
      </w:r>
      <w:proofErr w:type="spellEnd"/>
      <w:r w:rsidRPr="00E968D3">
        <w:rPr>
          <w:rFonts w:ascii="Times New Roman" w:hAnsi="Times New Roman" w:cs="Times New Roman"/>
          <w:sz w:val="24"/>
          <w:szCs w:val="24"/>
        </w:rPr>
        <w:t xml:space="preserve"> P., Whalley A., Watling R. (2007). Molecular study of the genus Astraeus. Mycological Research. 111 (3): 275-286.</w:t>
      </w:r>
    </w:p>
    <w:p w14:paraId="6E239BA0" w14:textId="77777777" w:rsidR="006D3B1C" w:rsidRDefault="006D3B1C" w:rsidP="0009653F">
      <w:pPr>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6D3B1C">
        <w:rPr>
          <w:rFonts w:ascii="Times New Roman" w:hAnsi="Times New Roman" w:cs="Times New Roman"/>
          <w:sz w:val="24"/>
          <w:szCs w:val="24"/>
        </w:rPr>
        <w:t>hadannok</w:t>
      </w:r>
      <w:proofErr w:type="spellEnd"/>
      <w:r w:rsidRPr="006D3B1C">
        <w:rPr>
          <w:rFonts w:ascii="Times New Roman" w:hAnsi="Times New Roman" w:cs="Times New Roman"/>
          <w:sz w:val="24"/>
          <w:szCs w:val="24"/>
        </w:rPr>
        <w:t xml:space="preserve"> P., </w:t>
      </w:r>
      <w:proofErr w:type="spellStart"/>
      <w:r w:rsidRPr="006D3B1C">
        <w:rPr>
          <w:rFonts w:ascii="Times New Roman" w:hAnsi="Times New Roman" w:cs="Times New Roman"/>
          <w:sz w:val="24"/>
          <w:szCs w:val="24"/>
        </w:rPr>
        <w:t>Naladta</w:t>
      </w:r>
      <w:proofErr w:type="spellEnd"/>
      <w:r w:rsidRPr="006D3B1C">
        <w:rPr>
          <w:rFonts w:ascii="Times New Roman" w:hAnsi="Times New Roman" w:cs="Times New Roman"/>
          <w:sz w:val="24"/>
          <w:szCs w:val="24"/>
        </w:rPr>
        <w:t xml:space="preserve"> A., </w:t>
      </w:r>
      <w:proofErr w:type="spellStart"/>
      <w:r w:rsidRPr="006D3B1C">
        <w:rPr>
          <w:rFonts w:ascii="Times New Roman" w:hAnsi="Times New Roman" w:cs="Times New Roman"/>
          <w:sz w:val="24"/>
          <w:szCs w:val="24"/>
        </w:rPr>
        <w:t>Noipha</w:t>
      </w:r>
      <w:proofErr w:type="spellEnd"/>
      <w:r w:rsidRPr="006D3B1C">
        <w:rPr>
          <w:rFonts w:ascii="Times New Roman" w:hAnsi="Times New Roman" w:cs="Times New Roman"/>
          <w:sz w:val="24"/>
          <w:szCs w:val="24"/>
        </w:rPr>
        <w:t xml:space="preserve"> K., </w:t>
      </w:r>
      <w:proofErr w:type="spellStart"/>
      <w:r w:rsidRPr="006D3B1C">
        <w:rPr>
          <w:rFonts w:ascii="Times New Roman" w:hAnsi="Times New Roman" w:cs="Times New Roman"/>
          <w:sz w:val="24"/>
          <w:szCs w:val="24"/>
        </w:rPr>
        <w:t>Nualkaew</w:t>
      </w:r>
      <w:proofErr w:type="spellEnd"/>
      <w:r w:rsidRPr="006D3B1C">
        <w:rPr>
          <w:rFonts w:ascii="Times New Roman" w:hAnsi="Times New Roman" w:cs="Times New Roman"/>
          <w:sz w:val="24"/>
          <w:szCs w:val="24"/>
        </w:rPr>
        <w:t xml:space="preserve"> N. (2020). Enhancing glucose uptake by Astraeus </w:t>
      </w:r>
      <w:proofErr w:type="spellStart"/>
      <w:r w:rsidRPr="006D3B1C">
        <w:rPr>
          <w:rFonts w:ascii="Times New Roman" w:hAnsi="Times New Roman" w:cs="Times New Roman"/>
          <w:sz w:val="24"/>
          <w:szCs w:val="24"/>
        </w:rPr>
        <w:t>odoratus</w:t>
      </w:r>
      <w:proofErr w:type="spellEnd"/>
      <w:r w:rsidRPr="006D3B1C">
        <w:rPr>
          <w:rFonts w:ascii="Times New Roman" w:hAnsi="Times New Roman" w:cs="Times New Roman"/>
          <w:sz w:val="24"/>
          <w:szCs w:val="24"/>
        </w:rPr>
        <w:t xml:space="preserve"> and Astraeus </w:t>
      </w:r>
      <w:proofErr w:type="spellStart"/>
      <w:r w:rsidRPr="006D3B1C">
        <w:rPr>
          <w:rFonts w:ascii="Times New Roman" w:hAnsi="Times New Roman" w:cs="Times New Roman"/>
          <w:sz w:val="24"/>
          <w:szCs w:val="24"/>
        </w:rPr>
        <w:t>asiaticus</w:t>
      </w:r>
      <w:proofErr w:type="spellEnd"/>
      <w:r w:rsidRPr="006D3B1C">
        <w:rPr>
          <w:rFonts w:ascii="Times New Roman" w:hAnsi="Times New Roman" w:cs="Times New Roman"/>
          <w:sz w:val="24"/>
          <w:szCs w:val="24"/>
        </w:rPr>
        <w:t> extracts in L6 myotubes. Pharmacognosy Magazine. 16 (67): 3-42.</w:t>
      </w:r>
    </w:p>
    <w:p w14:paraId="67164102" w14:textId="77777777" w:rsidR="00B75396" w:rsidRDefault="00B75396" w:rsidP="0009653F">
      <w:pPr>
        <w:jc w:val="both"/>
        <w:rPr>
          <w:rFonts w:ascii="Times New Roman" w:hAnsi="Times New Roman" w:cs="Times New Roman"/>
          <w:sz w:val="24"/>
          <w:szCs w:val="24"/>
        </w:rPr>
      </w:pPr>
      <w:proofErr w:type="spellStart"/>
      <w:r w:rsidRPr="00B75396">
        <w:rPr>
          <w:rFonts w:ascii="Times New Roman" w:hAnsi="Times New Roman" w:cs="Times New Roman"/>
          <w:sz w:val="24"/>
          <w:szCs w:val="24"/>
        </w:rPr>
        <w:t>Sanyal</w:t>
      </w:r>
      <w:proofErr w:type="spellEnd"/>
      <w:r w:rsidRPr="00B75396">
        <w:rPr>
          <w:rFonts w:ascii="Times New Roman" w:hAnsi="Times New Roman" w:cs="Times New Roman"/>
          <w:sz w:val="24"/>
          <w:szCs w:val="24"/>
        </w:rPr>
        <w:t xml:space="preserve">, T. &amp; Ghosh, S. K. </w:t>
      </w:r>
      <w:r>
        <w:rPr>
          <w:rFonts w:ascii="Times New Roman" w:hAnsi="Times New Roman" w:cs="Times New Roman"/>
          <w:sz w:val="24"/>
          <w:szCs w:val="24"/>
        </w:rPr>
        <w:t xml:space="preserve">(2019) </w:t>
      </w:r>
      <w:r w:rsidRPr="00B75396">
        <w:rPr>
          <w:rFonts w:ascii="Times New Roman" w:hAnsi="Times New Roman" w:cs="Times New Roman"/>
          <w:sz w:val="24"/>
          <w:szCs w:val="24"/>
        </w:rPr>
        <w:t xml:space="preserve">Anti-cancer property of </w:t>
      </w:r>
      <w:proofErr w:type="spellStart"/>
      <w:r w:rsidRPr="00B75396">
        <w:rPr>
          <w:rFonts w:ascii="Times New Roman" w:hAnsi="Times New Roman" w:cs="Times New Roman"/>
          <w:sz w:val="24"/>
          <w:szCs w:val="24"/>
        </w:rPr>
        <w:t>Lenzites</w:t>
      </w:r>
      <w:proofErr w:type="spellEnd"/>
      <w:r w:rsidRPr="00B75396">
        <w:rPr>
          <w:rFonts w:ascii="Times New Roman" w:hAnsi="Times New Roman" w:cs="Times New Roman"/>
          <w:sz w:val="24"/>
          <w:szCs w:val="24"/>
        </w:rPr>
        <w:t xml:space="preserve"> </w:t>
      </w:r>
      <w:proofErr w:type="spellStart"/>
      <w:r w:rsidRPr="00B75396">
        <w:rPr>
          <w:rFonts w:ascii="Times New Roman" w:hAnsi="Times New Roman" w:cs="Times New Roman"/>
          <w:sz w:val="24"/>
          <w:szCs w:val="24"/>
        </w:rPr>
        <w:t>betulina</w:t>
      </w:r>
      <w:proofErr w:type="spellEnd"/>
      <w:r w:rsidRPr="00B75396">
        <w:rPr>
          <w:rFonts w:ascii="Times New Roman" w:hAnsi="Times New Roman" w:cs="Times New Roman"/>
          <w:sz w:val="24"/>
          <w:szCs w:val="24"/>
        </w:rPr>
        <w:t xml:space="preserve"> (L) Fr. on cervical cancer cell lines and its anti-tumor effect on HeLa-implanted mice. </w:t>
      </w:r>
      <w:proofErr w:type="spellStart"/>
      <w:r w:rsidRPr="00B75396">
        <w:rPr>
          <w:rFonts w:ascii="Times New Roman" w:hAnsi="Times New Roman" w:cs="Times New Roman"/>
          <w:i/>
          <w:iCs/>
          <w:sz w:val="24"/>
          <w:szCs w:val="24"/>
        </w:rPr>
        <w:t>BioRxiv</w:t>
      </w:r>
      <w:proofErr w:type="spellEnd"/>
      <w:r>
        <w:rPr>
          <w:rFonts w:ascii="Times New Roman" w:hAnsi="Times New Roman" w:cs="Times New Roman"/>
          <w:sz w:val="24"/>
          <w:szCs w:val="24"/>
        </w:rPr>
        <w:t> 540567</w:t>
      </w:r>
      <w:r w:rsidRPr="00B75396">
        <w:rPr>
          <w:rFonts w:ascii="Times New Roman" w:hAnsi="Times New Roman" w:cs="Times New Roman"/>
          <w:sz w:val="24"/>
          <w:szCs w:val="24"/>
        </w:rPr>
        <w:t>.</w:t>
      </w:r>
    </w:p>
    <w:p w14:paraId="5BC8DB8B" w14:textId="77777777" w:rsidR="006D3B1C" w:rsidRPr="0009653F"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World Bank. (2022). https://www.worldbank.org/en/topic/biodiversity.</w:t>
      </w:r>
    </w:p>
    <w:sectPr w:rsidR="006D3B1C" w:rsidRPr="0009653F" w:rsidSect="00CC60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B50AC" w14:textId="77777777" w:rsidR="004768FA" w:rsidRDefault="004768FA" w:rsidP="00CE5F7C">
      <w:pPr>
        <w:spacing w:after="0" w:line="240" w:lineRule="auto"/>
      </w:pPr>
      <w:r>
        <w:separator/>
      </w:r>
    </w:p>
  </w:endnote>
  <w:endnote w:type="continuationSeparator" w:id="0">
    <w:p w14:paraId="4B4D2FDE" w14:textId="77777777" w:rsidR="004768FA" w:rsidRDefault="004768FA" w:rsidP="00CE5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Bol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6EBF" w14:textId="77777777" w:rsidR="00CE5F7C" w:rsidRDefault="00CE5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85C69" w14:textId="77777777" w:rsidR="00CE5F7C" w:rsidRDefault="00CE5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6F0F" w14:textId="77777777" w:rsidR="00CE5F7C" w:rsidRDefault="00CE5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E9CE8" w14:textId="77777777" w:rsidR="004768FA" w:rsidRDefault="004768FA" w:rsidP="00CE5F7C">
      <w:pPr>
        <w:spacing w:after="0" w:line="240" w:lineRule="auto"/>
      </w:pPr>
      <w:r>
        <w:separator/>
      </w:r>
    </w:p>
  </w:footnote>
  <w:footnote w:type="continuationSeparator" w:id="0">
    <w:p w14:paraId="4475138F" w14:textId="77777777" w:rsidR="004768FA" w:rsidRDefault="004768FA" w:rsidP="00CE5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3139" w14:textId="6F8B0D48" w:rsidR="00CE5F7C" w:rsidRDefault="00CE5F7C">
    <w:pPr>
      <w:pStyle w:val="Header"/>
    </w:pPr>
    <w:r>
      <w:rPr>
        <w:noProof/>
      </w:rPr>
      <w:pict w14:anchorId="0510C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C3E4" w14:textId="748C1A18" w:rsidR="00CE5F7C" w:rsidRDefault="00CE5F7C">
    <w:pPr>
      <w:pStyle w:val="Header"/>
    </w:pPr>
    <w:r>
      <w:rPr>
        <w:noProof/>
      </w:rPr>
      <w:pict w14:anchorId="6C4A2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D0B1C" w14:textId="567F22B7" w:rsidR="00CE5F7C" w:rsidRDefault="00CE5F7C">
    <w:pPr>
      <w:pStyle w:val="Header"/>
    </w:pPr>
    <w:r>
      <w:rPr>
        <w:noProof/>
      </w:rPr>
      <w:pict w14:anchorId="7F0AA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53F"/>
    <w:rsid w:val="00076FE9"/>
    <w:rsid w:val="00083E7B"/>
    <w:rsid w:val="0009653F"/>
    <w:rsid w:val="000C4A6B"/>
    <w:rsid w:val="000D13DC"/>
    <w:rsid w:val="00125D58"/>
    <w:rsid w:val="001862B1"/>
    <w:rsid w:val="001F1FD3"/>
    <w:rsid w:val="00241374"/>
    <w:rsid w:val="00243B4C"/>
    <w:rsid w:val="0024626C"/>
    <w:rsid w:val="002E2507"/>
    <w:rsid w:val="00336D1C"/>
    <w:rsid w:val="00390013"/>
    <w:rsid w:val="003B4C7A"/>
    <w:rsid w:val="004768FA"/>
    <w:rsid w:val="004A4855"/>
    <w:rsid w:val="00511216"/>
    <w:rsid w:val="005302AE"/>
    <w:rsid w:val="005418A8"/>
    <w:rsid w:val="00575138"/>
    <w:rsid w:val="00585189"/>
    <w:rsid w:val="005B4E91"/>
    <w:rsid w:val="005E1F37"/>
    <w:rsid w:val="006107B6"/>
    <w:rsid w:val="00646CD4"/>
    <w:rsid w:val="006A59D9"/>
    <w:rsid w:val="006D18FC"/>
    <w:rsid w:val="006D3B1C"/>
    <w:rsid w:val="00705A0C"/>
    <w:rsid w:val="007C52B4"/>
    <w:rsid w:val="00802B31"/>
    <w:rsid w:val="00816EB1"/>
    <w:rsid w:val="008515E4"/>
    <w:rsid w:val="00867983"/>
    <w:rsid w:val="00867E26"/>
    <w:rsid w:val="008D58DE"/>
    <w:rsid w:val="009170DE"/>
    <w:rsid w:val="00930CA2"/>
    <w:rsid w:val="00954A74"/>
    <w:rsid w:val="009619A6"/>
    <w:rsid w:val="00997338"/>
    <w:rsid w:val="009A2003"/>
    <w:rsid w:val="009A3D97"/>
    <w:rsid w:val="009D13EA"/>
    <w:rsid w:val="00A80209"/>
    <w:rsid w:val="00AD6461"/>
    <w:rsid w:val="00B33492"/>
    <w:rsid w:val="00B4797B"/>
    <w:rsid w:val="00B670AD"/>
    <w:rsid w:val="00B75269"/>
    <w:rsid w:val="00B75396"/>
    <w:rsid w:val="00B83EE1"/>
    <w:rsid w:val="00C84C3C"/>
    <w:rsid w:val="00CA0EC6"/>
    <w:rsid w:val="00CC6025"/>
    <w:rsid w:val="00CE5F7C"/>
    <w:rsid w:val="00D21788"/>
    <w:rsid w:val="00D72696"/>
    <w:rsid w:val="00D83AC8"/>
    <w:rsid w:val="00DA46CA"/>
    <w:rsid w:val="00E035C8"/>
    <w:rsid w:val="00E968D3"/>
    <w:rsid w:val="00EA2A41"/>
    <w:rsid w:val="00EC0C3E"/>
    <w:rsid w:val="00EC163F"/>
    <w:rsid w:val="00F01CAE"/>
    <w:rsid w:val="00F14AFF"/>
    <w:rsid w:val="00F31CB3"/>
    <w:rsid w:val="00F338C1"/>
    <w:rsid w:val="00F34370"/>
    <w:rsid w:val="00F417AF"/>
    <w:rsid w:val="00F7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DF53A1"/>
  <w15:docId w15:val="{CE6B0263-A160-443B-85D2-B0FA273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25"/>
  </w:style>
  <w:style w:type="paragraph" w:styleId="Heading4">
    <w:name w:val="heading 4"/>
    <w:basedOn w:val="Normal"/>
    <w:link w:val="Heading4Char"/>
    <w:uiPriority w:val="9"/>
    <w:qFormat/>
    <w:rsid w:val="00336D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53F"/>
    <w:rPr>
      <w:color w:val="0000FF" w:themeColor="hyperlink"/>
      <w:u w:val="single"/>
    </w:rPr>
  </w:style>
  <w:style w:type="character" w:customStyle="1" w:styleId="Heading4Char">
    <w:name w:val="Heading 4 Char"/>
    <w:basedOn w:val="DefaultParagraphFont"/>
    <w:link w:val="Heading4"/>
    <w:uiPriority w:val="9"/>
    <w:rsid w:val="00336D1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3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92"/>
    <w:rPr>
      <w:rFonts w:ascii="Tahoma" w:hAnsi="Tahoma" w:cs="Tahoma"/>
      <w:sz w:val="16"/>
      <w:szCs w:val="16"/>
    </w:rPr>
  </w:style>
  <w:style w:type="table" w:styleId="TableGrid">
    <w:name w:val="Table Grid"/>
    <w:basedOn w:val="TableNormal"/>
    <w:uiPriority w:val="59"/>
    <w:rsid w:val="00B3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A200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43B4C"/>
    <w:rPr>
      <w:color w:val="605E5C"/>
      <w:shd w:val="clear" w:color="auto" w:fill="E1DFDD"/>
    </w:rPr>
  </w:style>
  <w:style w:type="paragraph" w:styleId="Header">
    <w:name w:val="header"/>
    <w:basedOn w:val="Normal"/>
    <w:link w:val="HeaderChar"/>
    <w:uiPriority w:val="99"/>
    <w:unhideWhenUsed/>
    <w:rsid w:val="00CE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7C"/>
  </w:style>
  <w:style w:type="paragraph" w:styleId="Footer">
    <w:name w:val="footer"/>
    <w:basedOn w:val="Normal"/>
    <w:link w:val="FooterChar"/>
    <w:uiPriority w:val="99"/>
    <w:unhideWhenUsed/>
    <w:rsid w:val="00CE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7335">
      <w:bodyDiv w:val="1"/>
      <w:marLeft w:val="0"/>
      <w:marRight w:val="0"/>
      <w:marTop w:val="0"/>
      <w:marBottom w:val="0"/>
      <w:divBdr>
        <w:top w:val="none" w:sz="0" w:space="0" w:color="auto"/>
        <w:left w:val="none" w:sz="0" w:space="0" w:color="auto"/>
        <w:bottom w:val="none" w:sz="0" w:space="0" w:color="auto"/>
        <w:right w:val="none" w:sz="0" w:space="0" w:color="auto"/>
      </w:divBdr>
    </w:div>
    <w:div w:id="209070710">
      <w:bodyDiv w:val="1"/>
      <w:marLeft w:val="0"/>
      <w:marRight w:val="0"/>
      <w:marTop w:val="0"/>
      <w:marBottom w:val="0"/>
      <w:divBdr>
        <w:top w:val="none" w:sz="0" w:space="0" w:color="auto"/>
        <w:left w:val="none" w:sz="0" w:space="0" w:color="auto"/>
        <w:bottom w:val="none" w:sz="0" w:space="0" w:color="auto"/>
        <w:right w:val="none" w:sz="0" w:space="0" w:color="auto"/>
      </w:divBdr>
    </w:div>
    <w:div w:id="238291901">
      <w:bodyDiv w:val="1"/>
      <w:marLeft w:val="0"/>
      <w:marRight w:val="0"/>
      <w:marTop w:val="0"/>
      <w:marBottom w:val="0"/>
      <w:divBdr>
        <w:top w:val="none" w:sz="0" w:space="0" w:color="auto"/>
        <w:left w:val="none" w:sz="0" w:space="0" w:color="auto"/>
        <w:bottom w:val="none" w:sz="0" w:space="0" w:color="auto"/>
        <w:right w:val="none" w:sz="0" w:space="0" w:color="auto"/>
      </w:divBdr>
    </w:div>
    <w:div w:id="275992831">
      <w:bodyDiv w:val="1"/>
      <w:marLeft w:val="0"/>
      <w:marRight w:val="0"/>
      <w:marTop w:val="0"/>
      <w:marBottom w:val="0"/>
      <w:divBdr>
        <w:top w:val="none" w:sz="0" w:space="0" w:color="auto"/>
        <w:left w:val="none" w:sz="0" w:space="0" w:color="auto"/>
        <w:bottom w:val="none" w:sz="0" w:space="0" w:color="auto"/>
        <w:right w:val="none" w:sz="0" w:space="0" w:color="auto"/>
      </w:divBdr>
    </w:div>
    <w:div w:id="291906284">
      <w:bodyDiv w:val="1"/>
      <w:marLeft w:val="0"/>
      <w:marRight w:val="0"/>
      <w:marTop w:val="0"/>
      <w:marBottom w:val="0"/>
      <w:divBdr>
        <w:top w:val="none" w:sz="0" w:space="0" w:color="auto"/>
        <w:left w:val="none" w:sz="0" w:space="0" w:color="auto"/>
        <w:bottom w:val="none" w:sz="0" w:space="0" w:color="auto"/>
        <w:right w:val="none" w:sz="0" w:space="0" w:color="auto"/>
      </w:divBdr>
    </w:div>
    <w:div w:id="441651257">
      <w:bodyDiv w:val="1"/>
      <w:marLeft w:val="0"/>
      <w:marRight w:val="0"/>
      <w:marTop w:val="0"/>
      <w:marBottom w:val="0"/>
      <w:divBdr>
        <w:top w:val="none" w:sz="0" w:space="0" w:color="auto"/>
        <w:left w:val="none" w:sz="0" w:space="0" w:color="auto"/>
        <w:bottom w:val="none" w:sz="0" w:space="0" w:color="auto"/>
        <w:right w:val="none" w:sz="0" w:space="0" w:color="auto"/>
      </w:divBdr>
    </w:div>
    <w:div w:id="447772619">
      <w:bodyDiv w:val="1"/>
      <w:marLeft w:val="0"/>
      <w:marRight w:val="0"/>
      <w:marTop w:val="0"/>
      <w:marBottom w:val="0"/>
      <w:divBdr>
        <w:top w:val="none" w:sz="0" w:space="0" w:color="auto"/>
        <w:left w:val="none" w:sz="0" w:space="0" w:color="auto"/>
        <w:bottom w:val="none" w:sz="0" w:space="0" w:color="auto"/>
        <w:right w:val="none" w:sz="0" w:space="0" w:color="auto"/>
      </w:divBdr>
    </w:div>
    <w:div w:id="466976463">
      <w:bodyDiv w:val="1"/>
      <w:marLeft w:val="0"/>
      <w:marRight w:val="0"/>
      <w:marTop w:val="0"/>
      <w:marBottom w:val="0"/>
      <w:divBdr>
        <w:top w:val="none" w:sz="0" w:space="0" w:color="auto"/>
        <w:left w:val="none" w:sz="0" w:space="0" w:color="auto"/>
        <w:bottom w:val="none" w:sz="0" w:space="0" w:color="auto"/>
        <w:right w:val="none" w:sz="0" w:space="0" w:color="auto"/>
      </w:divBdr>
    </w:div>
    <w:div w:id="753207212">
      <w:bodyDiv w:val="1"/>
      <w:marLeft w:val="0"/>
      <w:marRight w:val="0"/>
      <w:marTop w:val="0"/>
      <w:marBottom w:val="0"/>
      <w:divBdr>
        <w:top w:val="none" w:sz="0" w:space="0" w:color="auto"/>
        <w:left w:val="none" w:sz="0" w:space="0" w:color="auto"/>
        <w:bottom w:val="none" w:sz="0" w:space="0" w:color="auto"/>
        <w:right w:val="none" w:sz="0" w:space="0" w:color="auto"/>
      </w:divBdr>
    </w:div>
    <w:div w:id="812989904">
      <w:bodyDiv w:val="1"/>
      <w:marLeft w:val="0"/>
      <w:marRight w:val="0"/>
      <w:marTop w:val="0"/>
      <w:marBottom w:val="0"/>
      <w:divBdr>
        <w:top w:val="none" w:sz="0" w:space="0" w:color="auto"/>
        <w:left w:val="none" w:sz="0" w:space="0" w:color="auto"/>
        <w:bottom w:val="none" w:sz="0" w:space="0" w:color="auto"/>
        <w:right w:val="none" w:sz="0" w:space="0" w:color="auto"/>
      </w:divBdr>
    </w:div>
    <w:div w:id="828637472">
      <w:bodyDiv w:val="1"/>
      <w:marLeft w:val="0"/>
      <w:marRight w:val="0"/>
      <w:marTop w:val="0"/>
      <w:marBottom w:val="0"/>
      <w:divBdr>
        <w:top w:val="none" w:sz="0" w:space="0" w:color="auto"/>
        <w:left w:val="none" w:sz="0" w:space="0" w:color="auto"/>
        <w:bottom w:val="none" w:sz="0" w:space="0" w:color="auto"/>
        <w:right w:val="none" w:sz="0" w:space="0" w:color="auto"/>
      </w:divBdr>
    </w:div>
    <w:div w:id="877279617">
      <w:bodyDiv w:val="1"/>
      <w:marLeft w:val="0"/>
      <w:marRight w:val="0"/>
      <w:marTop w:val="0"/>
      <w:marBottom w:val="0"/>
      <w:divBdr>
        <w:top w:val="none" w:sz="0" w:space="0" w:color="auto"/>
        <w:left w:val="none" w:sz="0" w:space="0" w:color="auto"/>
        <w:bottom w:val="none" w:sz="0" w:space="0" w:color="auto"/>
        <w:right w:val="none" w:sz="0" w:space="0" w:color="auto"/>
      </w:divBdr>
    </w:div>
    <w:div w:id="895510483">
      <w:bodyDiv w:val="1"/>
      <w:marLeft w:val="0"/>
      <w:marRight w:val="0"/>
      <w:marTop w:val="0"/>
      <w:marBottom w:val="0"/>
      <w:divBdr>
        <w:top w:val="none" w:sz="0" w:space="0" w:color="auto"/>
        <w:left w:val="none" w:sz="0" w:space="0" w:color="auto"/>
        <w:bottom w:val="none" w:sz="0" w:space="0" w:color="auto"/>
        <w:right w:val="none" w:sz="0" w:space="0" w:color="auto"/>
      </w:divBdr>
    </w:div>
    <w:div w:id="914431854">
      <w:bodyDiv w:val="1"/>
      <w:marLeft w:val="0"/>
      <w:marRight w:val="0"/>
      <w:marTop w:val="0"/>
      <w:marBottom w:val="0"/>
      <w:divBdr>
        <w:top w:val="none" w:sz="0" w:space="0" w:color="auto"/>
        <w:left w:val="none" w:sz="0" w:space="0" w:color="auto"/>
        <w:bottom w:val="none" w:sz="0" w:space="0" w:color="auto"/>
        <w:right w:val="none" w:sz="0" w:space="0" w:color="auto"/>
      </w:divBdr>
    </w:div>
    <w:div w:id="949551307">
      <w:bodyDiv w:val="1"/>
      <w:marLeft w:val="0"/>
      <w:marRight w:val="0"/>
      <w:marTop w:val="0"/>
      <w:marBottom w:val="0"/>
      <w:divBdr>
        <w:top w:val="none" w:sz="0" w:space="0" w:color="auto"/>
        <w:left w:val="none" w:sz="0" w:space="0" w:color="auto"/>
        <w:bottom w:val="none" w:sz="0" w:space="0" w:color="auto"/>
        <w:right w:val="none" w:sz="0" w:space="0" w:color="auto"/>
      </w:divBdr>
    </w:div>
    <w:div w:id="1172722730">
      <w:bodyDiv w:val="1"/>
      <w:marLeft w:val="0"/>
      <w:marRight w:val="0"/>
      <w:marTop w:val="0"/>
      <w:marBottom w:val="0"/>
      <w:divBdr>
        <w:top w:val="none" w:sz="0" w:space="0" w:color="auto"/>
        <w:left w:val="none" w:sz="0" w:space="0" w:color="auto"/>
        <w:bottom w:val="none" w:sz="0" w:space="0" w:color="auto"/>
        <w:right w:val="none" w:sz="0" w:space="0" w:color="auto"/>
      </w:divBdr>
    </w:div>
    <w:div w:id="1227378860">
      <w:bodyDiv w:val="1"/>
      <w:marLeft w:val="0"/>
      <w:marRight w:val="0"/>
      <w:marTop w:val="0"/>
      <w:marBottom w:val="0"/>
      <w:divBdr>
        <w:top w:val="none" w:sz="0" w:space="0" w:color="auto"/>
        <w:left w:val="none" w:sz="0" w:space="0" w:color="auto"/>
        <w:bottom w:val="none" w:sz="0" w:space="0" w:color="auto"/>
        <w:right w:val="none" w:sz="0" w:space="0" w:color="auto"/>
      </w:divBdr>
    </w:div>
    <w:div w:id="1512794721">
      <w:bodyDiv w:val="1"/>
      <w:marLeft w:val="0"/>
      <w:marRight w:val="0"/>
      <w:marTop w:val="0"/>
      <w:marBottom w:val="0"/>
      <w:divBdr>
        <w:top w:val="none" w:sz="0" w:space="0" w:color="auto"/>
        <w:left w:val="none" w:sz="0" w:space="0" w:color="auto"/>
        <w:bottom w:val="none" w:sz="0" w:space="0" w:color="auto"/>
        <w:right w:val="none" w:sz="0" w:space="0" w:color="auto"/>
      </w:divBdr>
    </w:div>
    <w:div w:id="1525905144">
      <w:bodyDiv w:val="1"/>
      <w:marLeft w:val="0"/>
      <w:marRight w:val="0"/>
      <w:marTop w:val="0"/>
      <w:marBottom w:val="0"/>
      <w:divBdr>
        <w:top w:val="none" w:sz="0" w:space="0" w:color="auto"/>
        <w:left w:val="none" w:sz="0" w:space="0" w:color="auto"/>
        <w:bottom w:val="none" w:sz="0" w:space="0" w:color="auto"/>
        <w:right w:val="none" w:sz="0" w:space="0" w:color="auto"/>
      </w:divBdr>
    </w:div>
    <w:div w:id="1530529164">
      <w:bodyDiv w:val="1"/>
      <w:marLeft w:val="0"/>
      <w:marRight w:val="0"/>
      <w:marTop w:val="0"/>
      <w:marBottom w:val="0"/>
      <w:divBdr>
        <w:top w:val="none" w:sz="0" w:space="0" w:color="auto"/>
        <w:left w:val="none" w:sz="0" w:space="0" w:color="auto"/>
        <w:bottom w:val="none" w:sz="0" w:space="0" w:color="auto"/>
        <w:right w:val="none" w:sz="0" w:space="0" w:color="auto"/>
      </w:divBdr>
    </w:div>
    <w:div w:id="1842232491">
      <w:bodyDiv w:val="1"/>
      <w:marLeft w:val="0"/>
      <w:marRight w:val="0"/>
      <w:marTop w:val="0"/>
      <w:marBottom w:val="0"/>
      <w:divBdr>
        <w:top w:val="none" w:sz="0" w:space="0" w:color="auto"/>
        <w:left w:val="none" w:sz="0" w:space="0" w:color="auto"/>
        <w:bottom w:val="none" w:sz="0" w:space="0" w:color="auto"/>
        <w:right w:val="none" w:sz="0" w:space="0" w:color="auto"/>
      </w:divBdr>
    </w:div>
    <w:div w:id="1870996428">
      <w:bodyDiv w:val="1"/>
      <w:marLeft w:val="0"/>
      <w:marRight w:val="0"/>
      <w:marTop w:val="0"/>
      <w:marBottom w:val="0"/>
      <w:divBdr>
        <w:top w:val="none" w:sz="0" w:space="0" w:color="auto"/>
        <w:left w:val="none" w:sz="0" w:space="0" w:color="auto"/>
        <w:bottom w:val="none" w:sz="0" w:space="0" w:color="auto"/>
        <w:right w:val="none" w:sz="0" w:space="0" w:color="auto"/>
      </w:divBdr>
    </w:div>
    <w:div w:id="1892619490">
      <w:bodyDiv w:val="1"/>
      <w:marLeft w:val="0"/>
      <w:marRight w:val="0"/>
      <w:marTop w:val="0"/>
      <w:marBottom w:val="0"/>
      <w:divBdr>
        <w:top w:val="none" w:sz="0" w:space="0" w:color="auto"/>
        <w:left w:val="none" w:sz="0" w:space="0" w:color="auto"/>
        <w:bottom w:val="none" w:sz="0" w:space="0" w:color="auto"/>
        <w:right w:val="none" w:sz="0" w:space="0" w:color="auto"/>
      </w:divBdr>
    </w:div>
    <w:div w:id="1912886945">
      <w:bodyDiv w:val="1"/>
      <w:marLeft w:val="0"/>
      <w:marRight w:val="0"/>
      <w:marTop w:val="0"/>
      <w:marBottom w:val="0"/>
      <w:divBdr>
        <w:top w:val="none" w:sz="0" w:space="0" w:color="auto"/>
        <w:left w:val="none" w:sz="0" w:space="0" w:color="auto"/>
        <w:bottom w:val="none" w:sz="0" w:space="0" w:color="auto"/>
        <w:right w:val="none" w:sz="0" w:space="0" w:color="auto"/>
      </w:divBdr>
    </w:div>
    <w:div w:id="1920945162">
      <w:bodyDiv w:val="1"/>
      <w:marLeft w:val="0"/>
      <w:marRight w:val="0"/>
      <w:marTop w:val="0"/>
      <w:marBottom w:val="0"/>
      <w:divBdr>
        <w:top w:val="none" w:sz="0" w:space="0" w:color="auto"/>
        <w:left w:val="none" w:sz="0" w:space="0" w:color="auto"/>
        <w:bottom w:val="none" w:sz="0" w:space="0" w:color="auto"/>
        <w:right w:val="none" w:sz="0" w:space="0" w:color="auto"/>
      </w:divBdr>
    </w:div>
    <w:div w:id="1947106318">
      <w:bodyDiv w:val="1"/>
      <w:marLeft w:val="0"/>
      <w:marRight w:val="0"/>
      <w:marTop w:val="0"/>
      <w:marBottom w:val="0"/>
      <w:divBdr>
        <w:top w:val="none" w:sz="0" w:space="0" w:color="auto"/>
        <w:left w:val="none" w:sz="0" w:space="0" w:color="auto"/>
        <w:bottom w:val="none" w:sz="0" w:space="0" w:color="auto"/>
        <w:right w:val="none" w:sz="0" w:space="0" w:color="auto"/>
      </w:divBdr>
    </w:div>
    <w:div w:id="1954048751">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5586/am.575"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VIHAAN</dc:creator>
  <cp:lastModifiedBy>SDI 1084</cp:lastModifiedBy>
  <cp:revision>4</cp:revision>
  <cp:lastPrinted>2025-07-18T14:04:00Z</cp:lastPrinted>
  <dcterms:created xsi:type="dcterms:W3CDTF">2025-07-27T15:43:00Z</dcterms:created>
  <dcterms:modified xsi:type="dcterms:W3CDTF">2025-07-29T06:19:00Z</dcterms:modified>
</cp:coreProperties>
</file>