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572EB" w14:textId="77777777" w:rsidR="003F7D47" w:rsidRPr="003F7D47" w:rsidRDefault="003F7D47" w:rsidP="003F7D47">
      <w:pPr>
        <w:pStyle w:val="Author"/>
        <w:rPr>
          <w:rFonts w:ascii="Arial" w:hAnsi="Arial" w:cs="Arial"/>
          <w:bCs/>
          <w:i/>
          <w:iCs/>
          <w:kern w:val="28"/>
          <w:sz w:val="18"/>
          <w:szCs w:val="18"/>
          <w:u w:val="single"/>
        </w:rPr>
      </w:pPr>
      <w:r w:rsidRPr="003F7D47">
        <w:rPr>
          <w:rFonts w:ascii="Arial" w:hAnsi="Arial" w:cs="Arial"/>
          <w:bCs/>
          <w:i/>
          <w:iCs/>
          <w:kern w:val="28"/>
          <w:sz w:val="18"/>
          <w:szCs w:val="18"/>
          <w:u w:val="single"/>
        </w:rPr>
        <w:t>Original Research Article</w:t>
      </w:r>
    </w:p>
    <w:p w14:paraId="44B4432C" w14:textId="77777777" w:rsidR="003F7D47" w:rsidRPr="003F7D47" w:rsidRDefault="003F7D47" w:rsidP="003F7D47">
      <w:pPr>
        <w:pStyle w:val="Author"/>
        <w:rPr>
          <w:rFonts w:ascii="Arial" w:hAnsi="Arial" w:cs="Arial"/>
          <w:bCs/>
          <w:i/>
          <w:iCs/>
          <w:kern w:val="28"/>
          <w:sz w:val="36"/>
          <w:u w:val="single"/>
        </w:rPr>
      </w:pPr>
    </w:p>
    <w:p w14:paraId="33B7DC49" w14:textId="47B872BA" w:rsidR="00163BC4" w:rsidRPr="00163BC4" w:rsidRDefault="008979A0" w:rsidP="00441B6F">
      <w:pPr>
        <w:pStyle w:val="Author"/>
        <w:spacing w:line="240" w:lineRule="auto"/>
        <w:rPr>
          <w:rFonts w:ascii="Arial" w:hAnsi="Arial" w:cs="Arial"/>
          <w:bCs/>
          <w:iCs/>
          <w:kern w:val="28"/>
          <w:sz w:val="36"/>
        </w:rPr>
      </w:pPr>
      <w:r w:rsidRPr="008979A0">
        <w:rPr>
          <w:rFonts w:ascii="Arial" w:hAnsi="Arial" w:cs="Arial"/>
          <w:bCs/>
          <w:iCs/>
          <w:kern w:val="28"/>
          <w:sz w:val="36"/>
        </w:rPr>
        <w:t xml:space="preserve">Diagnostic Role </w:t>
      </w:r>
      <w:r>
        <w:rPr>
          <w:rFonts w:ascii="Arial" w:hAnsi="Arial" w:cs="Arial"/>
          <w:bCs/>
          <w:iCs/>
          <w:kern w:val="28"/>
          <w:sz w:val="36"/>
        </w:rPr>
        <w:t>o</w:t>
      </w:r>
      <w:r w:rsidRPr="008979A0">
        <w:rPr>
          <w:rFonts w:ascii="Arial" w:hAnsi="Arial" w:cs="Arial"/>
          <w:bCs/>
          <w:iCs/>
          <w:kern w:val="28"/>
          <w:sz w:val="36"/>
        </w:rPr>
        <w:t xml:space="preserve">f Triphasic Computed Tomography </w:t>
      </w:r>
      <w:r w:rsidR="00C86655">
        <w:rPr>
          <w:rFonts w:ascii="Arial" w:hAnsi="Arial" w:cs="Arial"/>
          <w:bCs/>
          <w:iCs/>
          <w:kern w:val="28"/>
          <w:sz w:val="36"/>
        </w:rPr>
        <w:t>i</w:t>
      </w:r>
      <w:r w:rsidRPr="008979A0">
        <w:rPr>
          <w:rFonts w:ascii="Arial" w:hAnsi="Arial" w:cs="Arial"/>
          <w:bCs/>
          <w:iCs/>
          <w:kern w:val="28"/>
          <w:sz w:val="36"/>
        </w:rPr>
        <w:t xml:space="preserve">n Characterization </w:t>
      </w:r>
      <w:r>
        <w:rPr>
          <w:rFonts w:ascii="Arial" w:hAnsi="Arial" w:cs="Arial"/>
          <w:bCs/>
          <w:iCs/>
          <w:kern w:val="28"/>
          <w:sz w:val="36"/>
        </w:rPr>
        <w:t>o</w:t>
      </w:r>
      <w:r w:rsidRPr="008979A0">
        <w:rPr>
          <w:rFonts w:ascii="Arial" w:hAnsi="Arial" w:cs="Arial"/>
          <w:bCs/>
          <w:iCs/>
          <w:kern w:val="28"/>
          <w:sz w:val="36"/>
        </w:rPr>
        <w:t>f Focal Liver Lesions: A Prospective Observational Study</w:t>
      </w:r>
      <w:r w:rsidR="00231920">
        <w:rPr>
          <w:rFonts w:ascii="Arial" w:hAnsi="Arial" w:cs="Arial"/>
          <w:bCs/>
          <w:iCs/>
          <w:kern w:val="28"/>
          <w:sz w:val="36"/>
        </w:rPr>
        <w:t xml:space="preserve"> </w:t>
      </w:r>
    </w:p>
    <w:p w14:paraId="2F8AA068" w14:textId="77777777" w:rsidR="00A258C3" w:rsidRPr="00790ADA" w:rsidRDefault="00A258C3" w:rsidP="00441B6F">
      <w:pPr>
        <w:pStyle w:val="Author"/>
        <w:spacing w:line="240" w:lineRule="auto"/>
        <w:jc w:val="both"/>
        <w:rPr>
          <w:rFonts w:ascii="Arial" w:hAnsi="Arial" w:cs="Arial"/>
          <w:sz w:val="36"/>
        </w:rPr>
      </w:pPr>
    </w:p>
    <w:p w14:paraId="52AF92A9" w14:textId="77777777" w:rsidR="00BF55CD" w:rsidRDefault="00BF55CD" w:rsidP="00741D53">
      <w:pPr>
        <w:pStyle w:val="Affiliation"/>
        <w:spacing w:after="0" w:line="240" w:lineRule="auto"/>
        <w:rPr>
          <w:rFonts w:ascii="Arial" w:hAnsi="Arial" w:cs="Arial"/>
          <w:i/>
        </w:rPr>
      </w:pPr>
    </w:p>
    <w:p w14:paraId="0C66B1EE" w14:textId="77777777" w:rsidR="00B01FCD" w:rsidRPr="00FB3A86" w:rsidRDefault="00B82541" w:rsidP="00441B6F">
      <w:pPr>
        <w:pStyle w:val="Copyright"/>
        <w:spacing w:after="0" w:line="240" w:lineRule="auto"/>
        <w:jc w:val="both"/>
        <w:rPr>
          <w:rFonts w:ascii="Arial" w:hAnsi="Arial" w:cs="Arial"/>
        </w:rPr>
        <w:sectPr w:rsidR="00B01FCD" w:rsidRPr="00FB3A86" w:rsidSect="00935E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640C1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AC4A70A" w14:textId="6D90A6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911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6921B3" w14:textId="77777777" w:rsidTr="001E44FE">
        <w:tc>
          <w:tcPr>
            <w:tcW w:w="9576" w:type="dxa"/>
            <w:shd w:val="clear" w:color="auto" w:fill="F2F2F2"/>
          </w:tcPr>
          <w:p w14:paraId="25A32318" w14:textId="1F20E5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43CB0" w:rsidRPr="00BD758E">
              <w:rPr>
                <w:rFonts w:ascii="Arial" w:eastAsia="Calibri" w:hAnsi="Arial" w:cs="Arial"/>
                <w:bCs/>
                <w:szCs w:val="22"/>
              </w:rPr>
              <w:t>To</w:t>
            </w:r>
            <w:r w:rsidR="00643CB0" w:rsidRPr="00643CB0">
              <w:rPr>
                <w:rFonts w:ascii="Arial" w:eastAsia="Calibri" w:hAnsi="Arial" w:cs="Arial"/>
                <w:szCs w:val="22"/>
              </w:rPr>
              <w:t xml:space="preserve"> </w:t>
            </w:r>
            <w:r w:rsidR="00D00323" w:rsidRPr="00D00323">
              <w:rPr>
                <w:rFonts w:ascii="Arial" w:eastAsia="Calibri" w:hAnsi="Arial" w:cs="Arial"/>
                <w:szCs w:val="22"/>
              </w:rPr>
              <w:t>evaluate the diagnostic role of the enhancement pattern of focal liver lesions on triphasic CT in the arterial, portal venous, and delayed phases at our tertiary care centre</w:t>
            </w:r>
            <w:r w:rsidRPr="00BA1B01">
              <w:rPr>
                <w:rFonts w:ascii="Arial" w:eastAsia="Calibri" w:hAnsi="Arial" w:cs="Arial"/>
                <w:szCs w:val="22"/>
              </w:rPr>
              <w:t>.</w:t>
            </w:r>
          </w:p>
          <w:p w14:paraId="41BC2780" w14:textId="77777777" w:rsidR="00D00323" w:rsidRDefault="00D00323" w:rsidP="00441B6F">
            <w:pPr>
              <w:pStyle w:val="Body"/>
              <w:spacing w:after="0"/>
              <w:rPr>
                <w:rFonts w:ascii="Arial" w:eastAsia="Calibri" w:hAnsi="Arial" w:cs="Arial"/>
                <w:b/>
                <w:szCs w:val="22"/>
              </w:rPr>
            </w:pPr>
          </w:p>
          <w:p w14:paraId="7E8617DF" w14:textId="4AE1566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43CB0">
              <w:rPr>
                <w:rFonts w:ascii="Arial" w:eastAsia="Calibri" w:hAnsi="Arial" w:cs="Arial"/>
                <w:szCs w:val="22"/>
              </w:rPr>
              <w:t>Prospective observational study</w:t>
            </w:r>
            <w:r w:rsidRPr="00BA1B01">
              <w:rPr>
                <w:rFonts w:ascii="Arial" w:eastAsia="Calibri" w:hAnsi="Arial" w:cs="Arial"/>
                <w:szCs w:val="22"/>
              </w:rPr>
              <w:t>.</w:t>
            </w:r>
          </w:p>
          <w:p w14:paraId="5BDEA163" w14:textId="77777777" w:rsidR="00D00323" w:rsidRDefault="00D00323" w:rsidP="00441B6F">
            <w:pPr>
              <w:pStyle w:val="Body"/>
              <w:spacing w:after="0"/>
              <w:rPr>
                <w:rFonts w:ascii="Arial" w:eastAsia="Calibri" w:hAnsi="Arial" w:cs="Arial"/>
                <w:b/>
                <w:szCs w:val="22"/>
              </w:rPr>
            </w:pPr>
          </w:p>
          <w:p w14:paraId="794EC324" w14:textId="64BA586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43CB0" w:rsidRPr="00643CB0">
              <w:rPr>
                <w:rFonts w:ascii="Arial" w:eastAsia="Calibri" w:hAnsi="Arial" w:cs="Arial"/>
                <w:szCs w:val="22"/>
              </w:rPr>
              <w:t xml:space="preserve">Department of </w:t>
            </w:r>
            <w:r w:rsidR="00D00323">
              <w:rPr>
                <w:rFonts w:ascii="Arial" w:eastAsia="Calibri" w:hAnsi="Arial" w:cs="Arial"/>
                <w:szCs w:val="22"/>
              </w:rPr>
              <w:t xml:space="preserve">Radiodiagnosis </w:t>
            </w:r>
            <w:r w:rsidR="00643CB0" w:rsidRPr="00643CB0">
              <w:rPr>
                <w:rFonts w:ascii="Arial" w:eastAsia="Calibri" w:hAnsi="Arial" w:cs="Arial"/>
                <w:szCs w:val="22"/>
              </w:rPr>
              <w:t>at our tertiary care centre</w:t>
            </w:r>
            <w:r w:rsidRPr="00BA1B01">
              <w:rPr>
                <w:rFonts w:ascii="Arial" w:eastAsia="Calibri" w:hAnsi="Arial" w:cs="Arial"/>
                <w:szCs w:val="22"/>
              </w:rPr>
              <w:t>.</w:t>
            </w:r>
          </w:p>
          <w:p w14:paraId="3E510710" w14:textId="77777777" w:rsidR="00D00323" w:rsidRDefault="00D00323" w:rsidP="00441B6F">
            <w:pPr>
              <w:pStyle w:val="Body"/>
              <w:spacing w:after="0"/>
              <w:rPr>
                <w:rFonts w:ascii="Arial" w:eastAsia="Calibri" w:hAnsi="Arial" w:cs="Arial"/>
                <w:b/>
                <w:bCs/>
                <w:szCs w:val="22"/>
              </w:rPr>
            </w:pPr>
          </w:p>
          <w:p w14:paraId="5DA1231A" w14:textId="7B59C7C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00323" w:rsidRPr="00D00323">
              <w:rPr>
                <w:rFonts w:ascii="Arial" w:eastAsia="Calibri" w:hAnsi="Arial" w:cs="Arial"/>
                <w:szCs w:val="22"/>
              </w:rPr>
              <w:t xml:space="preserve">50 patients </w:t>
            </w:r>
            <w:r w:rsidR="00D00323">
              <w:rPr>
                <w:rFonts w:ascii="Arial" w:eastAsia="Calibri" w:hAnsi="Arial" w:cs="Arial"/>
                <w:szCs w:val="22"/>
              </w:rPr>
              <w:t xml:space="preserve">(Age range: 41-60years) </w:t>
            </w:r>
            <w:r w:rsidR="00D00323" w:rsidRPr="00D00323">
              <w:rPr>
                <w:rFonts w:ascii="Arial" w:eastAsia="Calibri" w:hAnsi="Arial" w:cs="Arial"/>
                <w:szCs w:val="22"/>
              </w:rPr>
              <w:t>presenting with suspected liver disease referred for triphasic CT scan</w:t>
            </w:r>
            <w:r w:rsidR="00643CB0">
              <w:rPr>
                <w:rFonts w:ascii="Arial" w:eastAsia="Calibri" w:hAnsi="Arial" w:cs="Arial"/>
                <w:szCs w:val="22"/>
              </w:rPr>
              <w:t>.</w:t>
            </w:r>
            <w:r w:rsidR="00D00323">
              <w:rPr>
                <w:rFonts w:ascii="Arial" w:eastAsia="Calibri" w:hAnsi="Arial" w:cs="Arial"/>
                <w:szCs w:val="22"/>
              </w:rPr>
              <w:t xml:space="preserve"> </w:t>
            </w:r>
            <w:r w:rsidR="00643CB0">
              <w:rPr>
                <w:rFonts w:ascii="Arial" w:eastAsia="Calibri" w:hAnsi="Arial" w:cs="Arial"/>
                <w:szCs w:val="22"/>
              </w:rPr>
              <w:t xml:space="preserve"> </w:t>
            </w:r>
            <w:r w:rsidR="00D00323" w:rsidRPr="00D00323">
              <w:rPr>
                <w:rFonts w:ascii="Arial" w:eastAsia="Calibri" w:hAnsi="Arial" w:cs="Arial"/>
                <w:szCs w:val="22"/>
              </w:rPr>
              <w:t>A dynamic assessment of all reconstructed CT images was conducted. Initially, the unenhanced, hepatic arterial phase (HAP), and portal venous phase (PVP) images were evaluated to identify any focal liver lesions. Following this, each lesion's appearance across different phases (unenhanced, HAP, PVP, and delayed) was analyzed based on its enhancement characteristics and attenuation in comparison to the surrounding liver tissue in each phase. Lesions were broadly categorized as either hypervascular or hypovascular relative to the liver parenchyma. Each imaging phase was first assessed independently, followed by a combined interpretation of all phases</w:t>
            </w:r>
            <w:r w:rsidR="00D00323">
              <w:rPr>
                <w:rFonts w:ascii="Arial" w:eastAsia="Calibri" w:hAnsi="Arial" w:cs="Arial"/>
                <w:szCs w:val="22"/>
              </w:rPr>
              <w:t>.</w:t>
            </w:r>
          </w:p>
          <w:p w14:paraId="31517D7D" w14:textId="77777777" w:rsidR="00D00323" w:rsidRDefault="00D00323" w:rsidP="00441B6F">
            <w:pPr>
              <w:pStyle w:val="Body"/>
              <w:spacing w:after="0"/>
              <w:rPr>
                <w:rFonts w:ascii="Arial" w:eastAsia="Calibri" w:hAnsi="Arial" w:cs="Arial"/>
                <w:b/>
                <w:bCs/>
                <w:szCs w:val="22"/>
              </w:rPr>
            </w:pPr>
          </w:p>
          <w:p w14:paraId="09CC935C" w14:textId="4FD173B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00323" w:rsidRPr="00D00323">
              <w:rPr>
                <w:rFonts w:ascii="Arial" w:eastAsia="Calibri" w:hAnsi="Arial" w:cs="Arial"/>
                <w:szCs w:val="22"/>
              </w:rPr>
              <w:t>The top three ranked focal lesions of liver appeared in triphasic CT were found to be hydatid cyst (22%), hemangioma (20%), and hepatocellular carcinoma (18%). Contrast triphasic CT scan diagnostic work-ups showed appearance of enhanced and non-enhanced focal lesions of liver in 32 and 18 patients respectively. Majorly arterial/venous/delayed-hypo/hypo/hypo pattern constitutes lesions of simple cysts, hydatid cysts, and metastases in 4, 11, and 3 patients respectively. Majorly, the homogenous enhancement patterns were appeared on triphasic CT scan, and which are diagnosed with hepatocellular carcinoma, metastasis, and haemangioma in 3, 4, and 3 patients respectively</w:t>
            </w:r>
            <w:r w:rsidR="00643CB0" w:rsidRPr="00643CB0">
              <w:rPr>
                <w:rFonts w:ascii="Arial" w:eastAsia="Calibri" w:hAnsi="Arial" w:cs="Arial"/>
                <w:szCs w:val="22"/>
              </w:rPr>
              <w:t>.</w:t>
            </w:r>
          </w:p>
          <w:p w14:paraId="64EF3967" w14:textId="77777777" w:rsidR="00D00323" w:rsidRDefault="00D00323" w:rsidP="00552E1C">
            <w:pPr>
              <w:pStyle w:val="Body"/>
              <w:spacing w:after="0"/>
              <w:rPr>
                <w:rFonts w:ascii="Arial" w:eastAsia="Calibri" w:hAnsi="Arial" w:cs="Arial"/>
                <w:b/>
                <w:bCs/>
                <w:szCs w:val="22"/>
              </w:rPr>
            </w:pPr>
          </w:p>
          <w:p w14:paraId="4AE0CEC4" w14:textId="5BFF1C58" w:rsidR="00505F06" w:rsidRPr="00BA1B01" w:rsidRDefault="00BA1B01" w:rsidP="00552E1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00323" w:rsidRPr="00D00323">
              <w:rPr>
                <w:rFonts w:ascii="Arial" w:eastAsia="Calibri" w:hAnsi="Arial" w:cs="Arial"/>
                <w:szCs w:val="22"/>
              </w:rPr>
              <w:t>multidetector triphasic CT allows highly precise imaging during the arterial, venous, and delayed phases of hepatic enhancement. Optimal acquisition timing in combination with thinner collimation permits improved lesion detection and will also show improved characterization of lesions</w:t>
            </w:r>
            <w:r w:rsidRPr="00BA1B01">
              <w:rPr>
                <w:rFonts w:ascii="Arial" w:eastAsia="Calibri" w:hAnsi="Arial" w:cs="Arial"/>
                <w:szCs w:val="22"/>
              </w:rPr>
              <w:t>.</w:t>
            </w:r>
          </w:p>
        </w:tc>
      </w:tr>
    </w:tbl>
    <w:p w14:paraId="2C660C0E" w14:textId="77777777" w:rsidR="00E55E9D" w:rsidRDefault="00E55E9D" w:rsidP="00441B6F">
      <w:pPr>
        <w:pStyle w:val="Body"/>
        <w:spacing w:after="0"/>
        <w:rPr>
          <w:rFonts w:ascii="Arial" w:hAnsi="Arial" w:cs="Arial"/>
          <w:i/>
        </w:rPr>
      </w:pPr>
    </w:p>
    <w:p w14:paraId="401E7A49" w14:textId="1C14D611" w:rsidR="00A24E7E" w:rsidRDefault="00A24E7E" w:rsidP="00441B6F">
      <w:pPr>
        <w:pStyle w:val="Body"/>
        <w:spacing w:after="0"/>
        <w:rPr>
          <w:rFonts w:ascii="Arial" w:hAnsi="Arial" w:cs="Arial"/>
          <w:i/>
        </w:rPr>
      </w:pPr>
      <w:r>
        <w:rPr>
          <w:rFonts w:ascii="Arial" w:hAnsi="Arial" w:cs="Arial"/>
          <w:i/>
        </w:rPr>
        <w:t xml:space="preserve">Keywords: </w:t>
      </w:r>
      <w:r w:rsidR="00376F34" w:rsidRPr="00376F34">
        <w:rPr>
          <w:rFonts w:ascii="Arial" w:hAnsi="Arial" w:cs="Arial"/>
          <w:i/>
        </w:rPr>
        <w:t>Triphasic CT</w:t>
      </w:r>
      <w:r w:rsidR="00376F34">
        <w:rPr>
          <w:rFonts w:ascii="Arial" w:hAnsi="Arial" w:cs="Arial"/>
          <w:i/>
        </w:rPr>
        <w:t xml:space="preserve">; </w:t>
      </w:r>
      <w:r w:rsidR="00376F34" w:rsidRPr="00376F34">
        <w:rPr>
          <w:rFonts w:ascii="Arial" w:hAnsi="Arial" w:cs="Arial"/>
          <w:i/>
        </w:rPr>
        <w:t>liver</w:t>
      </w:r>
      <w:r w:rsidR="00376F34">
        <w:rPr>
          <w:rFonts w:ascii="Arial" w:hAnsi="Arial" w:cs="Arial"/>
          <w:i/>
        </w:rPr>
        <w:t>;</w:t>
      </w:r>
      <w:r w:rsidR="00376F34" w:rsidRPr="00376F34">
        <w:rPr>
          <w:rFonts w:ascii="Arial" w:hAnsi="Arial" w:cs="Arial"/>
          <w:i/>
        </w:rPr>
        <w:t xml:space="preserve"> </w:t>
      </w:r>
      <w:r w:rsidR="00376F34">
        <w:rPr>
          <w:rFonts w:ascii="Arial" w:hAnsi="Arial" w:cs="Arial"/>
          <w:i/>
        </w:rPr>
        <w:t>m</w:t>
      </w:r>
      <w:r w:rsidR="00376F34" w:rsidRPr="00376F34">
        <w:rPr>
          <w:rFonts w:ascii="Arial" w:hAnsi="Arial" w:cs="Arial"/>
          <w:i/>
        </w:rPr>
        <w:t>etastasis</w:t>
      </w:r>
      <w:r w:rsidR="00376F34">
        <w:rPr>
          <w:rFonts w:ascii="Arial" w:hAnsi="Arial" w:cs="Arial"/>
          <w:i/>
        </w:rPr>
        <w:t>; h</w:t>
      </w:r>
      <w:r w:rsidR="00376F34" w:rsidRPr="00376F34">
        <w:rPr>
          <w:rFonts w:ascii="Arial" w:hAnsi="Arial" w:cs="Arial"/>
          <w:i/>
        </w:rPr>
        <w:t>epatocellular carcinoma</w:t>
      </w:r>
      <w:r w:rsidR="00376F34">
        <w:rPr>
          <w:rFonts w:ascii="Arial" w:hAnsi="Arial" w:cs="Arial"/>
          <w:i/>
        </w:rPr>
        <w:t>; h</w:t>
      </w:r>
      <w:r w:rsidR="00376F34" w:rsidRPr="00376F34">
        <w:rPr>
          <w:rFonts w:ascii="Arial" w:hAnsi="Arial" w:cs="Arial"/>
          <w:i/>
        </w:rPr>
        <w:t>aemangioma</w:t>
      </w:r>
      <w:r w:rsidR="00552E1C">
        <w:rPr>
          <w:rFonts w:ascii="Arial" w:hAnsi="Arial" w:cs="Arial"/>
          <w:i/>
        </w:rPr>
        <w:t>.</w:t>
      </w:r>
    </w:p>
    <w:p w14:paraId="6C46214D" w14:textId="77777777" w:rsidR="00790ADA" w:rsidRDefault="00790ADA" w:rsidP="00441B6F">
      <w:pPr>
        <w:pStyle w:val="Body"/>
        <w:spacing w:after="0"/>
        <w:rPr>
          <w:rFonts w:ascii="Arial" w:hAnsi="Arial" w:cs="Arial"/>
          <w:i/>
        </w:rPr>
      </w:pPr>
    </w:p>
    <w:p w14:paraId="7F4BAF15" w14:textId="77777777" w:rsidR="00EE231C" w:rsidRDefault="00EE231C" w:rsidP="00441B6F">
      <w:pPr>
        <w:pStyle w:val="Body"/>
        <w:spacing w:after="0"/>
        <w:rPr>
          <w:rFonts w:ascii="Arial" w:hAnsi="Arial" w:cs="Arial"/>
          <w:i/>
        </w:rPr>
      </w:pPr>
    </w:p>
    <w:p w14:paraId="256C1C22" w14:textId="77777777" w:rsidR="00376F34" w:rsidRDefault="00376F34" w:rsidP="00441B6F">
      <w:pPr>
        <w:pStyle w:val="Body"/>
        <w:spacing w:after="0"/>
        <w:rPr>
          <w:rFonts w:ascii="Arial" w:hAnsi="Arial" w:cs="Arial"/>
          <w:i/>
        </w:rPr>
      </w:pPr>
    </w:p>
    <w:p w14:paraId="5968EB34" w14:textId="13153476" w:rsidR="007F7B32" w:rsidRDefault="00B52896" w:rsidP="006E0F55">
      <w:pPr>
        <w:pStyle w:val="Body"/>
        <w:spacing w:after="0"/>
        <w:rPr>
          <w:rFonts w:ascii="Arial" w:hAnsi="Arial" w:cs="Arial"/>
        </w:rPr>
      </w:pPr>
      <w:r w:rsidRPr="004539DB">
        <w:rPr>
          <w:rFonts w:ascii="Arial" w:hAnsi="Arial" w:cs="Arial"/>
          <w:i/>
          <w:sz w:val="18"/>
        </w:rPr>
        <w:t xml:space="preserve"> </w:t>
      </w:r>
      <w:r w:rsidR="00902823" w:rsidRPr="006E0F55">
        <w:rPr>
          <w:rFonts w:ascii="Arial" w:hAnsi="Arial" w:cs="Arial"/>
          <w:b/>
          <w:bCs/>
          <w:sz w:val="22"/>
          <w:szCs w:val="22"/>
        </w:rPr>
        <w:t xml:space="preserve">1. </w:t>
      </w:r>
      <w:r w:rsidR="00B01FCD" w:rsidRPr="006E0F55">
        <w:rPr>
          <w:rFonts w:ascii="Arial" w:hAnsi="Arial" w:cs="Arial"/>
          <w:b/>
          <w:bCs/>
          <w:sz w:val="22"/>
          <w:szCs w:val="22"/>
        </w:rPr>
        <w:t>INTRODUCTION</w:t>
      </w:r>
    </w:p>
    <w:p w14:paraId="29141A49" w14:textId="77777777" w:rsidR="00790ADA" w:rsidRPr="00FB3A86" w:rsidRDefault="00790ADA" w:rsidP="00441B6F">
      <w:pPr>
        <w:pStyle w:val="AbstHead"/>
        <w:spacing w:after="0"/>
        <w:jc w:val="both"/>
        <w:rPr>
          <w:rFonts w:ascii="Arial" w:hAnsi="Arial" w:cs="Arial"/>
        </w:rPr>
      </w:pPr>
    </w:p>
    <w:p w14:paraId="4D371274" w14:textId="4CF8C0F8"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 xml:space="preserve">The liver plays a critical role within the digestive system. Owing to its dual blood supply and essential metabolic activities, it is susceptible to a broad spectrum of disorders, from simple </w:t>
      </w:r>
      <w:r w:rsidRPr="00376F34">
        <w:rPr>
          <w:rFonts w:ascii="Arial" w:eastAsia="Calibri" w:hAnsi="Arial" w:cs="Arial"/>
          <w:szCs w:val="22"/>
        </w:rPr>
        <w:lastRenderedPageBreak/>
        <w:t>benign cysts to malignancies like hepatocellular carcinoma and metastases</w:t>
      </w:r>
      <w:r w:rsidR="00BD758E">
        <w:rPr>
          <w:rFonts w:ascii="Arial" w:eastAsia="Calibri" w:hAnsi="Arial" w:cs="Arial"/>
          <w:szCs w:val="22"/>
        </w:rPr>
        <w:t xml:space="preserve"> (Ahirwar et al., 2016)</w:t>
      </w:r>
      <w:r w:rsidRPr="00376F34">
        <w:rPr>
          <w:rFonts w:ascii="Arial" w:eastAsia="Calibri" w:hAnsi="Arial" w:cs="Arial"/>
          <w:szCs w:val="22"/>
        </w:rPr>
        <w:t>. Among the diverse hepatic conditions, liver masses hold particular clinical importance. Evidence suggests that liver lesions generally remain undetectable on standard radiographs unless calcification occurs</w:t>
      </w:r>
      <w:r w:rsidR="00BD758E">
        <w:rPr>
          <w:rFonts w:ascii="Arial" w:eastAsia="Calibri" w:hAnsi="Arial" w:cs="Arial"/>
          <w:szCs w:val="22"/>
        </w:rPr>
        <w:t xml:space="preserve"> (Rani &amp; Tripathi, 2018)</w:t>
      </w:r>
      <w:r w:rsidRPr="00376F34">
        <w:rPr>
          <w:rFonts w:ascii="Arial" w:eastAsia="Calibri" w:hAnsi="Arial" w:cs="Arial"/>
          <w:szCs w:val="22"/>
        </w:rPr>
        <w:t>. Focal liver lesions, which may be benign or malignant, show considerable variation in prevalence based on geographic and ethnic differences</w:t>
      </w:r>
      <w:r w:rsidR="00BD758E">
        <w:rPr>
          <w:rFonts w:ascii="Arial" w:eastAsia="Calibri" w:hAnsi="Arial" w:cs="Arial"/>
          <w:szCs w:val="22"/>
        </w:rPr>
        <w:t xml:space="preserve"> (Mendez-Sanchez et al., 2005)</w:t>
      </w:r>
      <w:r w:rsidRPr="00376F34">
        <w:rPr>
          <w:rFonts w:ascii="Arial" w:eastAsia="Calibri" w:hAnsi="Arial" w:cs="Arial"/>
          <w:szCs w:val="22"/>
        </w:rPr>
        <w:t>. Many such lesions are non-malignant and can be monitored through imaging, particularly in patients without a known history of malignancy or chronic liver disease</w:t>
      </w:r>
      <w:r w:rsidR="00BD758E">
        <w:rPr>
          <w:rFonts w:ascii="Arial" w:eastAsia="Calibri" w:hAnsi="Arial" w:cs="Arial"/>
          <w:szCs w:val="22"/>
        </w:rPr>
        <w:t xml:space="preserve"> (Schwartz et al., 1999)</w:t>
      </w:r>
      <w:r w:rsidRPr="00376F34">
        <w:rPr>
          <w:rFonts w:ascii="Arial" w:eastAsia="Calibri" w:hAnsi="Arial" w:cs="Arial"/>
          <w:szCs w:val="22"/>
        </w:rPr>
        <w:t>. Benign hepatic tumors have been observed in up to 52% of the general population, yet identifying and accurately characterizing focal liver lesions continues to pose a diagnostic challenge</w:t>
      </w:r>
      <w:r w:rsidR="00BD758E">
        <w:rPr>
          <w:rFonts w:ascii="Arial" w:eastAsia="Calibri" w:hAnsi="Arial" w:cs="Arial"/>
          <w:szCs w:val="22"/>
        </w:rPr>
        <w:t xml:space="preserve"> (Mittal &amp; Kumbhar, 2024)</w:t>
      </w:r>
      <w:r w:rsidRPr="00376F34">
        <w:rPr>
          <w:rFonts w:ascii="Arial" w:eastAsia="Calibri" w:hAnsi="Arial" w:cs="Arial"/>
          <w:szCs w:val="22"/>
        </w:rPr>
        <w:t>.</w:t>
      </w:r>
    </w:p>
    <w:p w14:paraId="54CBD27E" w14:textId="502F5BDD"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Focal liver lesions represent localized abnormalities within the liver parenchyma and are increasingly detected due to the widespread application of modern imaging techniques</w:t>
      </w:r>
      <w:r w:rsidR="00BD758E">
        <w:rPr>
          <w:rFonts w:ascii="Arial" w:eastAsia="Calibri" w:hAnsi="Arial" w:cs="Arial"/>
          <w:szCs w:val="22"/>
        </w:rPr>
        <w:t xml:space="preserve"> (Sadler, 2018)</w:t>
      </w:r>
      <w:r w:rsidRPr="00376F34">
        <w:rPr>
          <w:rFonts w:ascii="Arial" w:eastAsia="Calibri" w:hAnsi="Arial" w:cs="Arial"/>
          <w:szCs w:val="22"/>
        </w:rPr>
        <w:t>. Accurate classification of these lesions is vital for guiding therapeutic strategies. The diagnostic spectrum includes both malignant and benign entities, and the presence of common benign lesions such as cysts, hemangiomas, and focal nodular hyperplasia necessitates precise identification and evaluation. Often, clinicians are unaware of the specific liver lesion present when patients are referred for CT imaging</w:t>
      </w:r>
      <w:r w:rsidR="00BD758E">
        <w:rPr>
          <w:rFonts w:ascii="Arial" w:eastAsia="Calibri" w:hAnsi="Arial" w:cs="Arial"/>
          <w:szCs w:val="22"/>
        </w:rPr>
        <w:t xml:space="preserve"> (Moore &amp; Anne, 2007)</w:t>
      </w:r>
      <w:r w:rsidRPr="00376F34">
        <w:rPr>
          <w:rFonts w:ascii="Arial" w:eastAsia="Calibri" w:hAnsi="Arial" w:cs="Arial"/>
          <w:szCs w:val="22"/>
        </w:rPr>
        <w:t>. Therefore, an ideal imaging modality should provide high sensitivity and specificity for lesion detection and characterization, distinguishing those that require further intervention from those that do not</w:t>
      </w:r>
      <w:r w:rsidR="00BD758E">
        <w:rPr>
          <w:rFonts w:ascii="Arial" w:eastAsia="Calibri" w:hAnsi="Arial" w:cs="Arial"/>
          <w:szCs w:val="22"/>
        </w:rPr>
        <w:t xml:space="preserve"> (Reznik et al., 2004)</w:t>
      </w:r>
      <w:r w:rsidRPr="00376F34">
        <w:rPr>
          <w:rFonts w:ascii="Arial" w:eastAsia="Calibri" w:hAnsi="Arial" w:cs="Arial"/>
          <w:szCs w:val="22"/>
        </w:rPr>
        <w:t>.</w:t>
      </w:r>
    </w:p>
    <w:p w14:paraId="2A570A42" w14:textId="6B020B22"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Ultrasonography is frequently utilized as a first-line imaging tool, but its specificity is limited. Magnetic resonance imaging, although highly effective in lesion characterization is typically reserved for complex or uncertain cases due to limited accessibility</w:t>
      </w:r>
      <w:r w:rsidR="00BD758E">
        <w:rPr>
          <w:rFonts w:ascii="Arial" w:eastAsia="Calibri" w:hAnsi="Arial" w:cs="Arial"/>
          <w:szCs w:val="22"/>
        </w:rPr>
        <w:t xml:space="preserve"> (Van Leeuwen et al., 1996)</w:t>
      </w:r>
      <w:r w:rsidRPr="00376F34">
        <w:rPr>
          <w:rFonts w:ascii="Arial" w:eastAsia="Calibri" w:hAnsi="Arial" w:cs="Arial"/>
          <w:szCs w:val="22"/>
        </w:rPr>
        <w:t>. Triple-phase computed tomography (CT), which captures arterial, portal venous, and delayed phases has emerged as the preferred imaging method. This approach highlights specific enhancement patterns useful in distinguishing various lesions; for example, hypervascular tumors like hepatocellular carcinoma (HCC) demonstrate arterial phase enhancement followed by rapid washout, whereas benign hemangiomas often show peripheral nodular enhancement</w:t>
      </w:r>
      <w:r w:rsidR="00BD758E">
        <w:rPr>
          <w:rFonts w:ascii="Arial" w:eastAsia="Calibri" w:hAnsi="Arial" w:cs="Arial"/>
          <w:szCs w:val="22"/>
        </w:rPr>
        <w:t xml:space="preserve"> (Mishra et al., 2009; Oliver et al., 1996)</w:t>
      </w:r>
      <w:r w:rsidRPr="00376F34">
        <w:rPr>
          <w:rFonts w:ascii="Arial" w:eastAsia="Calibri" w:hAnsi="Arial" w:cs="Arial"/>
          <w:szCs w:val="22"/>
        </w:rPr>
        <w:t>. Triple-phase CT is particularly valuable in differentiating benign from malignant liver lesions, thus helping to avoid invasive procedures when unnecessary, such as in cases of hemangiomas</w:t>
      </w:r>
      <w:r w:rsidR="00BD758E">
        <w:rPr>
          <w:rFonts w:ascii="Arial" w:eastAsia="Calibri" w:hAnsi="Arial" w:cs="Arial"/>
          <w:szCs w:val="22"/>
        </w:rPr>
        <w:t xml:space="preserve"> (Oliver et al., 1996)</w:t>
      </w:r>
      <w:r w:rsidRPr="00376F34">
        <w:rPr>
          <w:rFonts w:ascii="Arial" w:eastAsia="Calibri" w:hAnsi="Arial" w:cs="Arial"/>
          <w:szCs w:val="22"/>
        </w:rPr>
        <w:t>.</w:t>
      </w:r>
    </w:p>
    <w:p w14:paraId="683161B0" w14:textId="1BE1C8F6"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Most primary and metastatic hepatic tumors derive their blood supply from the hepatic artery, altering the normal hepatic circulation in which approximately 70% of the blood comes from the portal vein, with the hepatic artery contributing the rest</w:t>
      </w:r>
      <w:r w:rsidR="00BD758E">
        <w:rPr>
          <w:rFonts w:ascii="Arial" w:eastAsia="Calibri" w:hAnsi="Arial" w:cs="Arial"/>
          <w:szCs w:val="22"/>
        </w:rPr>
        <w:t xml:space="preserve"> (Sinnatamby, 1999)</w:t>
      </w:r>
      <w:r w:rsidRPr="00376F34">
        <w:rPr>
          <w:rFonts w:ascii="Arial" w:eastAsia="Calibri" w:hAnsi="Arial" w:cs="Arial"/>
          <w:szCs w:val="22"/>
        </w:rPr>
        <w:t>. This alteration in vascular pattern underpins the principle of the triple-phase liver CT scan. The technique has significantly enhanced understanding of the radiologic features of both primary and metastatic liver tumors</w:t>
      </w:r>
      <w:r w:rsidR="00BD758E">
        <w:rPr>
          <w:rFonts w:ascii="Arial" w:eastAsia="Calibri" w:hAnsi="Arial" w:cs="Arial"/>
          <w:szCs w:val="22"/>
        </w:rPr>
        <w:t xml:space="preserve"> (Foley et al., 2000)</w:t>
      </w:r>
      <w:r w:rsidRPr="00376F34">
        <w:rPr>
          <w:rFonts w:ascii="Arial" w:eastAsia="Calibri" w:hAnsi="Arial" w:cs="Arial"/>
          <w:szCs w:val="22"/>
        </w:rPr>
        <w:t>.</w:t>
      </w:r>
    </w:p>
    <w:p w14:paraId="7E56B349" w14:textId="54799DB9" w:rsidR="00B01FCD" w:rsidRDefault="00376F34" w:rsidP="00376F34">
      <w:pPr>
        <w:pStyle w:val="Body"/>
        <w:spacing w:after="0"/>
        <w:rPr>
          <w:rFonts w:ascii="Arial" w:eastAsia="Calibri" w:hAnsi="Arial" w:cs="Arial"/>
          <w:szCs w:val="22"/>
        </w:rPr>
      </w:pPr>
      <w:r w:rsidRPr="00376F34">
        <w:rPr>
          <w:rFonts w:ascii="Arial" w:eastAsia="Calibri" w:hAnsi="Arial" w:cs="Arial"/>
          <w:szCs w:val="22"/>
        </w:rPr>
        <w:t>There are scarce of data on role of triphasic CT in characterization of focal liver lesions in our study setting. With this scenario, present study was conducted with the main objective to evaluate the diagnostic role of triphasic CT in detection of the enhancement pattern of focal liver lesions in the arterial, portal venous, and delayed phases at our tertiary care centre.</w:t>
      </w:r>
    </w:p>
    <w:p w14:paraId="36B27D86" w14:textId="77777777" w:rsidR="00376F34" w:rsidRDefault="00376F34" w:rsidP="00376F34">
      <w:pPr>
        <w:pStyle w:val="Body"/>
        <w:spacing w:after="0"/>
        <w:rPr>
          <w:rFonts w:ascii="Arial" w:eastAsia="Calibri" w:hAnsi="Arial" w:cs="Arial"/>
          <w:szCs w:val="22"/>
        </w:rPr>
      </w:pPr>
    </w:p>
    <w:p w14:paraId="71463792" w14:textId="77777777" w:rsidR="00376F34" w:rsidRDefault="00376F34" w:rsidP="00376F34">
      <w:pPr>
        <w:pStyle w:val="Body"/>
        <w:spacing w:after="0"/>
        <w:rPr>
          <w:rFonts w:ascii="Arial" w:hAnsi="Arial" w:cs="Arial"/>
        </w:rPr>
      </w:pPr>
    </w:p>
    <w:p w14:paraId="3F69E056" w14:textId="6BF378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BD0204D" w14:textId="77777777" w:rsidR="00790ADA" w:rsidRPr="00FB3A86" w:rsidRDefault="00790ADA" w:rsidP="00441B6F">
      <w:pPr>
        <w:pStyle w:val="AbstHead"/>
        <w:spacing w:after="0"/>
        <w:jc w:val="both"/>
        <w:rPr>
          <w:rFonts w:ascii="Arial" w:hAnsi="Arial" w:cs="Arial"/>
        </w:rPr>
      </w:pPr>
    </w:p>
    <w:p w14:paraId="2A79B9C2" w14:textId="3A7D28F7" w:rsidR="006E0F55" w:rsidRPr="006E0F55" w:rsidRDefault="006E0F55" w:rsidP="006E0F55">
      <w:pPr>
        <w:pStyle w:val="Body"/>
        <w:rPr>
          <w:rFonts w:ascii="Arial" w:hAnsi="Arial" w:cs="Arial"/>
          <w:b/>
          <w:bCs/>
          <w:sz w:val="22"/>
          <w:szCs w:val="22"/>
        </w:rPr>
      </w:pPr>
      <w:r>
        <w:rPr>
          <w:rFonts w:ascii="Arial" w:hAnsi="Arial" w:cs="Arial"/>
          <w:b/>
          <w:bCs/>
          <w:sz w:val="22"/>
          <w:szCs w:val="22"/>
        </w:rPr>
        <w:t xml:space="preserve">2.1 </w:t>
      </w:r>
      <w:r w:rsidRPr="006E0F55">
        <w:rPr>
          <w:rFonts w:ascii="Arial" w:hAnsi="Arial" w:cs="Arial"/>
          <w:b/>
          <w:bCs/>
          <w:sz w:val="22"/>
          <w:szCs w:val="22"/>
        </w:rPr>
        <w:t>Study design and patients</w:t>
      </w:r>
    </w:p>
    <w:p w14:paraId="0E4991BD" w14:textId="1ED73A76" w:rsidR="00741D53" w:rsidRDefault="00376F34" w:rsidP="006E0F55">
      <w:pPr>
        <w:pStyle w:val="Body"/>
        <w:rPr>
          <w:rFonts w:ascii="Arial" w:hAnsi="Arial" w:cs="Arial"/>
        </w:rPr>
      </w:pPr>
      <w:r w:rsidRPr="00376F34">
        <w:rPr>
          <w:rFonts w:ascii="Arial" w:hAnsi="Arial" w:cs="Arial"/>
        </w:rPr>
        <w:lastRenderedPageBreak/>
        <w:t>This is a prospective observational study conducted with total of 50 patients presenting with suspected liver disease referred for triphasic CT scan to Department of Radiodiagnosis at S. S. Institute of Medical Science and Research Centre (SSIMRC) Davangere, Karnataka. A written informed consent was taken from all the patients enrolled in to the study</w:t>
      </w:r>
      <w:r w:rsidR="006E0F55" w:rsidRPr="006E0F55">
        <w:rPr>
          <w:rFonts w:ascii="Arial" w:hAnsi="Arial" w:cs="Arial"/>
        </w:rPr>
        <w:t xml:space="preserve">. </w:t>
      </w:r>
    </w:p>
    <w:p w14:paraId="70B98FA3" w14:textId="52B7DEC2" w:rsidR="006E0F55" w:rsidRPr="006E0F55" w:rsidRDefault="006E0F55" w:rsidP="006E0F55">
      <w:pPr>
        <w:pStyle w:val="Body"/>
        <w:rPr>
          <w:rFonts w:ascii="Arial" w:hAnsi="Arial" w:cs="Arial"/>
          <w:b/>
          <w:bCs/>
          <w:sz w:val="22"/>
          <w:szCs w:val="22"/>
        </w:rPr>
      </w:pPr>
      <w:r>
        <w:rPr>
          <w:rFonts w:ascii="Arial" w:hAnsi="Arial" w:cs="Arial"/>
          <w:b/>
          <w:bCs/>
          <w:sz w:val="22"/>
          <w:szCs w:val="22"/>
        </w:rPr>
        <w:t xml:space="preserve">2.2 </w:t>
      </w:r>
      <w:r w:rsidRPr="006E0F55">
        <w:rPr>
          <w:rFonts w:ascii="Arial" w:hAnsi="Arial" w:cs="Arial"/>
          <w:b/>
          <w:bCs/>
          <w:sz w:val="22"/>
          <w:szCs w:val="22"/>
        </w:rPr>
        <w:t>Inclusion criteria</w:t>
      </w:r>
    </w:p>
    <w:p w14:paraId="68104EB1" w14:textId="77777777" w:rsidR="00376F34" w:rsidRPr="00376F34" w:rsidRDefault="00376F34" w:rsidP="00376F34">
      <w:pPr>
        <w:pStyle w:val="Body"/>
        <w:contextualSpacing/>
        <w:rPr>
          <w:rFonts w:ascii="Arial" w:hAnsi="Arial" w:cs="Arial"/>
        </w:rPr>
      </w:pPr>
      <w:r w:rsidRPr="00376F34">
        <w:rPr>
          <w:rFonts w:ascii="Arial" w:hAnsi="Arial" w:cs="Arial"/>
        </w:rPr>
        <w:t xml:space="preserve">Patients presenting with: </w:t>
      </w:r>
    </w:p>
    <w:p w14:paraId="54A7C114" w14:textId="77777777" w:rsidR="00376F34" w:rsidRPr="00376F34" w:rsidRDefault="00376F34" w:rsidP="00376F34">
      <w:pPr>
        <w:pStyle w:val="Body"/>
        <w:numPr>
          <w:ilvl w:val="0"/>
          <w:numId w:val="31"/>
        </w:numPr>
        <w:contextualSpacing/>
        <w:rPr>
          <w:rFonts w:ascii="Arial" w:hAnsi="Arial" w:cs="Arial"/>
        </w:rPr>
      </w:pPr>
      <w:r w:rsidRPr="00376F34">
        <w:rPr>
          <w:rFonts w:ascii="Arial" w:hAnsi="Arial" w:cs="Arial"/>
        </w:rPr>
        <w:t xml:space="preserve">Clinical suspicion of focal liver lesions </w:t>
      </w:r>
    </w:p>
    <w:p w14:paraId="42A701DE" w14:textId="77777777" w:rsidR="00376F34" w:rsidRPr="00376F34" w:rsidRDefault="00376F34" w:rsidP="00376F34">
      <w:pPr>
        <w:pStyle w:val="Body"/>
        <w:numPr>
          <w:ilvl w:val="0"/>
          <w:numId w:val="31"/>
        </w:numPr>
        <w:contextualSpacing/>
        <w:rPr>
          <w:rFonts w:ascii="Arial" w:hAnsi="Arial" w:cs="Arial"/>
        </w:rPr>
      </w:pPr>
      <w:r w:rsidRPr="00376F34">
        <w:rPr>
          <w:rFonts w:ascii="Arial" w:hAnsi="Arial" w:cs="Arial"/>
        </w:rPr>
        <w:t>Previous imaging studies depicted focal liver lesions</w:t>
      </w:r>
    </w:p>
    <w:p w14:paraId="058F4038" w14:textId="43639B87" w:rsidR="006E0F55" w:rsidRPr="00376F34" w:rsidRDefault="00376F34" w:rsidP="0011321E">
      <w:pPr>
        <w:pStyle w:val="Body"/>
        <w:numPr>
          <w:ilvl w:val="0"/>
          <w:numId w:val="31"/>
        </w:numPr>
        <w:spacing w:after="0"/>
        <w:ind w:left="714" w:hanging="357"/>
        <w:contextualSpacing/>
        <w:rPr>
          <w:rFonts w:ascii="Arial" w:hAnsi="Arial" w:cs="Arial"/>
        </w:rPr>
      </w:pPr>
      <w:r w:rsidRPr="00376F34">
        <w:rPr>
          <w:rFonts w:ascii="Arial" w:hAnsi="Arial" w:cs="Arial"/>
        </w:rPr>
        <w:t>Altered liver function tests</w:t>
      </w:r>
    </w:p>
    <w:p w14:paraId="34DFFEF7" w14:textId="77777777" w:rsidR="00376F34" w:rsidRPr="006E0F55" w:rsidRDefault="00376F34" w:rsidP="00376F34">
      <w:pPr>
        <w:pStyle w:val="Body"/>
        <w:spacing w:after="0"/>
        <w:contextualSpacing/>
        <w:rPr>
          <w:rFonts w:ascii="Arial" w:hAnsi="Arial" w:cs="Arial"/>
        </w:rPr>
      </w:pPr>
    </w:p>
    <w:p w14:paraId="639F5C17" w14:textId="553603E3" w:rsidR="006E0F55" w:rsidRPr="006E0F55" w:rsidRDefault="006E087A" w:rsidP="006E0F55">
      <w:pPr>
        <w:pStyle w:val="Body"/>
        <w:rPr>
          <w:rFonts w:ascii="Arial" w:hAnsi="Arial" w:cs="Arial"/>
          <w:b/>
          <w:bCs/>
          <w:sz w:val="22"/>
          <w:szCs w:val="22"/>
        </w:rPr>
      </w:pPr>
      <w:r>
        <w:rPr>
          <w:rFonts w:ascii="Arial" w:hAnsi="Arial" w:cs="Arial"/>
          <w:b/>
          <w:bCs/>
          <w:sz w:val="22"/>
          <w:szCs w:val="22"/>
        </w:rPr>
        <w:t xml:space="preserve">2.2 </w:t>
      </w:r>
      <w:r w:rsidR="006E0F55" w:rsidRPr="006E0F55">
        <w:rPr>
          <w:rFonts w:ascii="Arial" w:hAnsi="Arial" w:cs="Arial"/>
          <w:b/>
          <w:bCs/>
          <w:sz w:val="22"/>
          <w:szCs w:val="22"/>
        </w:rPr>
        <w:t>Exclusion criteria</w:t>
      </w:r>
    </w:p>
    <w:p w14:paraId="76DBBA75" w14:textId="77777777" w:rsidR="00376F34" w:rsidRPr="00376F34" w:rsidRDefault="00376F34" w:rsidP="00376F34">
      <w:pPr>
        <w:pStyle w:val="Body"/>
        <w:contextualSpacing/>
        <w:rPr>
          <w:rFonts w:ascii="Arial" w:hAnsi="Arial" w:cs="Arial"/>
        </w:rPr>
      </w:pPr>
      <w:r w:rsidRPr="00376F34">
        <w:rPr>
          <w:rFonts w:ascii="Arial" w:hAnsi="Arial" w:cs="Arial"/>
        </w:rPr>
        <w:t>Patients with:</w:t>
      </w:r>
    </w:p>
    <w:p w14:paraId="668D11A3"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History of trauma</w:t>
      </w:r>
    </w:p>
    <w:p w14:paraId="4CEA9339"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Allergic to contrast agents</w:t>
      </w:r>
    </w:p>
    <w:p w14:paraId="5E1ED8F5"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Chronic kidney disease</w:t>
      </w:r>
    </w:p>
    <w:p w14:paraId="60761461"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Pregnant women</w:t>
      </w:r>
    </w:p>
    <w:p w14:paraId="2CF8C43A"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Claustrophobic patients</w:t>
      </w:r>
    </w:p>
    <w:p w14:paraId="7AD7DFC8" w14:textId="4941D754" w:rsidR="006E0F55" w:rsidRPr="00AC50A3" w:rsidRDefault="00376F34" w:rsidP="000D3C71">
      <w:pPr>
        <w:pStyle w:val="Body"/>
        <w:numPr>
          <w:ilvl w:val="0"/>
          <w:numId w:val="32"/>
        </w:numPr>
        <w:spacing w:after="0"/>
        <w:ind w:left="714" w:hanging="357"/>
        <w:contextualSpacing/>
        <w:rPr>
          <w:rFonts w:ascii="Arial" w:hAnsi="Arial" w:cs="Arial"/>
        </w:rPr>
      </w:pPr>
      <w:r w:rsidRPr="00AC50A3">
        <w:rPr>
          <w:rFonts w:ascii="Arial" w:hAnsi="Arial" w:cs="Arial"/>
        </w:rPr>
        <w:t>Age: &lt;19years</w:t>
      </w:r>
    </w:p>
    <w:p w14:paraId="2DAFBF45" w14:textId="77777777" w:rsidR="00067D1B" w:rsidRDefault="00067D1B" w:rsidP="006E0F55">
      <w:pPr>
        <w:pStyle w:val="Body"/>
        <w:rPr>
          <w:rFonts w:ascii="Arial" w:hAnsi="Arial" w:cs="Arial"/>
          <w:b/>
          <w:bCs/>
          <w:sz w:val="22"/>
          <w:szCs w:val="22"/>
        </w:rPr>
      </w:pPr>
    </w:p>
    <w:p w14:paraId="46B0EDA0" w14:textId="1475C184" w:rsidR="006E0F55" w:rsidRPr="006E087A" w:rsidRDefault="006E087A" w:rsidP="006E0F55">
      <w:pPr>
        <w:pStyle w:val="Body"/>
        <w:rPr>
          <w:rFonts w:ascii="Arial" w:hAnsi="Arial" w:cs="Arial"/>
          <w:b/>
          <w:bCs/>
          <w:sz w:val="22"/>
          <w:szCs w:val="22"/>
        </w:rPr>
      </w:pPr>
      <w:r w:rsidRPr="006E087A">
        <w:rPr>
          <w:rFonts w:ascii="Arial" w:hAnsi="Arial" w:cs="Arial"/>
          <w:b/>
          <w:bCs/>
          <w:sz w:val="22"/>
          <w:szCs w:val="22"/>
        </w:rPr>
        <w:t xml:space="preserve">2.3 </w:t>
      </w:r>
      <w:r w:rsidR="00A22C73" w:rsidRPr="00A22C73">
        <w:rPr>
          <w:rFonts w:ascii="Arial" w:hAnsi="Arial" w:cs="Arial"/>
          <w:b/>
          <w:bCs/>
          <w:sz w:val="22"/>
          <w:szCs w:val="22"/>
        </w:rPr>
        <w:t>Triphasic CT imaging of liver</w:t>
      </w:r>
    </w:p>
    <w:p w14:paraId="0C98DCC8" w14:textId="3CE94E32" w:rsidR="006E0F55" w:rsidRDefault="00EC4582" w:rsidP="006E0F55">
      <w:pPr>
        <w:pStyle w:val="Body"/>
        <w:rPr>
          <w:rFonts w:ascii="Arial" w:hAnsi="Arial" w:cs="Arial"/>
        </w:rPr>
      </w:pPr>
      <w:r w:rsidRPr="00EC4582">
        <w:rPr>
          <w:rFonts w:ascii="Arial" w:hAnsi="Arial" w:cs="Arial"/>
        </w:rPr>
        <w:t>Patients are kept nil orally 4 hours before triphasic CT scan to avoid complications while administrating contrast medium. Risks of contrast administration were explained to the patient, and consent was obtained prior to the contrast study. Triple-phase helical CT images of the liver were obtained with General Electrical (GE) Bright Speed Elite 16 slices MDCT machine with 5mm collimation, 1.25m reconstruction interval, the gantry rotation speed of 0.98 seconds, the pitch of 1.675:1, 120 kV, and 220 mA. Once unenhanced helical CT was performed through the entire abdomen, 80 to 100 mL of Iohexol (Omnipaque 300) was injected intravenously through a 20gauge cannula at a rate of 3ml/sec with an automated power injector. For the arterial dominant phase, the delay between the start of contrast material administration and helical scanning was 20 seconds. The portal-dominant phase was obtained after 70 seconds and the delayed phase after 180 seconds.</w:t>
      </w:r>
    </w:p>
    <w:p w14:paraId="769B53C5" w14:textId="77777777" w:rsidR="00EC4582" w:rsidRDefault="00EC4582" w:rsidP="006E0F55">
      <w:pPr>
        <w:pStyle w:val="Body"/>
        <w:rPr>
          <w:rFonts w:ascii="Arial" w:hAnsi="Arial" w:cs="Arial"/>
        </w:rPr>
      </w:pPr>
    </w:p>
    <w:p w14:paraId="211BE751" w14:textId="06F1B599" w:rsidR="00EC4582" w:rsidRPr="006E087A" w:rsidRDefault="00EC4582" w:rsidP="00EC4582">
      <w:pPr>
        <w:pStyle w:val="Body"/>
        <w:rPr>
          <w:rFonts w:ascii="Arial" w:hAnsi="Arial" w:cs="Arial"/>
          <w:b/>
          <w:bCs/>
          <w:sz w:val="22"/>
          <w:szCs w:val="22"/>
        </w:rPr>
      </w:pPr>
      <w:r w:rsidRPr="006E087A">
        <w:rPr>
          <w:rFonts w:ascii="Arial" w:hAnsi="Arial" w:cs="Arial"/>
          <w:b/>
          <w:bCs/>
          <w:sz w:val="22"/>
          <w:szCs w:val="22"/>
        </w:rPr>
        <w:t xml:space="preserve">2.4 </w:t>
      </w:r>
      <w:r>
        <w:rPr>
          <w:rFonts w:ascii="Arial" w:hAnsi="Arial" w:cs="Arial"/>
          <w:b/>
          <w:bCs/>
          <w:sz w:val="22"/>
          <w:szCs w:val="22"/>
        </w:rPr>
        <w:t>Interpretations</w:t>
      </w:r>
    </w:p>
    <w:p w14:paraId="28E84F58" w14:textId="77777777" w:rsidR="00EC4582" w:rsidRPr="00EC4582" w:rsidRDefault="00EC4582" w:rsidP="00EC4582">
      <w:pPr>
        <w:pStyle w:val="Body"/>
        <w:rPr>
          <w:rFonts w:ascii="Arial" w:hAnsi="Arial" w:cs="Arial"/>
        </w:rPr>
      </w:pPr>
      <w:r w:rsidRPr="00EC4582">
        <w:rPr>
          <w:rFonts w:ascii="Arial" w:hAnsi="Arial" w:cs="Arial"/>
        </w:rPr>
        <w:t>A dynamic assessment of all reconstructed CT images was conducted. Initially, the unenhanced, hepatic arterial phase (HAP), and portal venous phase (PVP) images were evaluated to identify any focal liver lesions. Following this, each lesion's appearance across different phases (unenhanced, HAP, PVP, and delayed) was analyzed based on its enhancement characteristics and attenuation in comparison to the surrounding liver tissue in each phase. Lesions were broadly categorized as either hypervascular or hypovascular relative to the liver parenchyma. Each imaging phase was first assessed independently, followed by a combined interpretation of all phases.</w:t>
      </w:r>
    </w:p>
    <w:p w14:paraId="7338A919" w14:textId="1D15E139" w:rsidR="00EC4582" w:rsidRPr="00EC4582" w:rsidRDefault="00EC4582" w:rsidP="00EC4582">
      <w:pPr>
        <w:pStyle w:val="Body"/>
        <w:rPr>
          <w:rFonts w:ascii="Arial" w:hAnsi="Arial" w:cs="Arial"/>
        </w:rPr>
      </w:pPr>
      <w:r w:rsidRPr="00EC4582">
        <w:rPr>
          <w:rFonts w:ascii="Arial" w:hAnsi="Arial" w:cs="Arial"/>
        </w:rPr>
        <w:t xml:space="preserve">Lesion confirmation was done through biopsy, surgery, ultrasound (USG), or follow-up imaging depending on clinical need. In patients presenting with multiple lesions, biopsy was </w:t>
      </w:r>
      <w:r w:rsidRPr="00EC4582">
        <w:rPr>
          <w:rFonts w:ascii="Arial" w:hAnsi="Arial" w:cs="Arial"/>
        </w:rPr>
        <w:lastRenderedPageBreak/>
        <w:t>typically performed on up to two lesions, and others displaying similar CT characteristics were assumed to be of the same nature. If a lesion demonstrated no change in size over at least six months, it was considered benign.</w:t>
      </w:r>
    </w:p>
    <w:p w14:paraId="4685D7EE" w14:textId="64E522DA" w:rsidR="00EC4582" w:rsidRDefault="00EC4582" w:rsidP="00EC4582">
      <w:pPr>
        <w:pStyle w:val="Body"/>
        <w:spacing w:after="0"/>
        <w:rPr>
          <w:rFonts w:ascii="Arial" w:hAnsi="Arial" w:cs="Arial"/>
        </w:rPr>
      </w:pPr>
      <w:r w:rsidRPr="00EC4582">
        <w:rPr>
          <w:rFonts w:ascii="Arial" w:hAnsi="Arial" w:cs="Arial"/>
        </w:rPr>
        <w:t>For cases with more than ten lesions, a representative analysis was carried out on the ten most characteristic lesions using all imaging phases. Both the size and visibility (conspicuity) of lesions in each phase were recorded. Lesion conspicuity was rated on a scale as follows: 0 – Not Visualized, 1 – Visualized, and if visualized, further classified as 2 – Good or 3 – Excellent. Each lesion's appearance in a given phase was described based on its attenuation and homogeneity in comparison with the surrounding liver parenchyma, and categorized into one of five predefined states.</w:t>
      </w:r>
    </w:p>
    <w:p w14:paraId="382B9326" w14:textId="77777777" w:rsidR="00EC4582" w:rsidRDefault="00EC4582" w:rsidP="00EC4582">
      <w:pPr>
        <w:pStyle w:val="Body"/>
        <w:spacing w:after="0"/>
        <w:rPr>
          <w:rFonts w:ascii="Arial" w:hAnsi="Arial" w:cs="Arial"/>
        </w:rPr>
      </w:pPr>
    </w:p>
    <w:p w14:paraId="7034F537"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water attenuation, homogenous: </w:t>
      </w:r>
      <w:r w:rsidRPr="00EC4582">
        <w:rPr>
          <w:rFonts w:ascii="Arial" w:eastAsia="Calibri" w:hAnsi="Arial" w:cs="Arial"/>
          <w:i/>
          <w:iCs/>
          <w:kern w:val="2"/>
          <w:lang w:val="en-IN"/>
        </w:rPr>
        <w:t>hypo (cyst)</w:t>
      </w:r>
      <w:r w:rsidRPr="00EC4582">
        <w:rPr>
          <w:rFonts w:ascii="Arial" w:eastAsia="Calibri" w:hAnsi="Arial" w:cs="Arial"/>
          <w:kern w:val="2"/>
          <w:lang w:val="en-IN"/>
        </w:rPr>
        <w:t xml:space="preserve">  </w:t>
      </w:r>
    </w:p>
    <w:p w14:paraId="3AB0355E"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soft tissue attenuation, slightly in homogenous: </w:t>
      </w:r>
      <w:r w:rsidRPr="00EC4582">
        <w:rPr>
          <w:rFonts w:ascii="Arial" w:eastAsia="Calibri" w:hAnsi="Arial" w:cs="Arial"/>
          <w:i/>
          <w:iCs/>
          <w:kern w:val="2"/>
          <w:lang w:val="en-IN"/>
        </w:rPr>
        <w:t xml:space="preserve">hypo  </w:t>
      </w:r>
    </w:p>
    <w:p w14:paraId="14FC30B1"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mixed attenuation but hypo attenuation than the arterial system: </w:t>
      </w:r>
      <w:r w:rsidRPr="00EC4582">
        <w:rPr>
          <w:rFonts w:ascii="Arial" w:eastAsia="Calibri" w:hAnsi="Arial" w:cs="Arial"/>
          <w:i/>
          <w:iCs/>
          <w:kern w:val="2"/>
          <w:lang w:val="en-IN"/>
        </w:rPr>
        <w:t>mixed</w:t>
      </w:r>
      <w:r w:rsidRPr="00EC4582">
        <w:rPr>
          <w:rFonts w:ascii="Arial" w:eastAsia="Calibri" w:hAnsi="Arial" w:cs="Arial"/>
          <w:kern w:val="2"/>
          <w:lang w:val="en-IN"/>
        </w:rPr>
        <w:t xml:space="preserve">  </w:t>
      </w:r>
    </w:p>
    <w:p w14:paraId="29E4AC1A"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hyper attenuation but less than the arterial system: </w:t>
      </w:r>
      <w:r w:rsidRPr="00EC4582">
        <w:rPr>
          <w:rFonts w:ascii="Arial" w:eastAsia="Calibri" w:hAnsi="Arial" w:cs="Arial"/>
          <w:i/>
          <w:iCs/>
          <w:kern w:val="2"/>
          <w:lang w:val="en-IN"/>
        </w:rPr>
        <w:t>hyper</w:t>
      </w:r>
      <w:r w:rsidRPr="00EC4582">
        <w:rPr>
          <w:rFonts w:ascii="Arial" w:eastAsia="Calibri" w:hAnsi="Arial" w:cs="Arial"/>
          <w:kern w:val="2"/>
          <w:lang w:val="en-IN"/>
        </w:rPr>
        <w:t xml:space="preserve">  </w:t>
      </w:r>
    </w:p>
    <w:p w14:paraId="44AB24F5"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Isoattenuating compared to the arterial system: </w:t>
      </w:r>
      <w:r w:rsidRPr="00EC4582">
        <w:rPr>
          <w:rFonts w:ascii="Arial" w:eastAsia="Calibri" w:hAnsi="Arial" w:cs="Arial"/>
          <w:i/>
          <w:iCs/>
          <w:kern w:val="2"/>
          <w:lang w:val="en-IN"/>
        </w:rPr>
        <w:t>arterial or A</w:t>
      </w:r>
    </w:p>
    <w:p w14:paraId="27AD6D0B" w14:textId="77777777" w:rsidR="00EC4582" w:rsidRDefault="00EC4582" w:rsidP="00EC4582">
      <w:pPr>
        <w:pStyle w:val="Body"/>
        <w:spacing w:after="0"/>
        <w:rPr>
          <w:rFonts w:ascii="Arial" w:hAnsi="Arial" w:cs="Arial"/>
        </w:rPr>
      </w:pPr>
    </w:p>
    <w:p w14:paraId="17B9A692" w14:textId="43D9B420" w:rsidR="00EC4582" w:rsidRDefault="00EC4582" w:rsidP="00EC4582">
      <w:pPr>
        <w:pStyle w:val="Body"/>
        <w:spacing w:after="0"/>
        <w:rPr>
          <w:rFonts w:ascii="Arial" w:hAnsi="Arial" w:cs="Arial"/>
        </w:rPr>
      </w:pPr>
      <w:r w:rsidRPr="00EC4582">
        <w:rPr>
          <w:rFonts w:ascii="Arial" w:hAnsi="Arial" w:cs="Arial"/>
        </w:rPr>
        <w:t>The pattern of enhancement is a three-pattern name that includes appearance of lesion in each phase (e.g.; hypo/hypo/hypo). Additional patterns of subtype enhancement in arterial phase like peripheral puddles, variegated, continuous hyper attenuating rim, incomplete rim and cleft were also considered.</w:t>
      </w:r>
    </w:p>
    <w:p w14:paraId="5653CB25" w14:textId="77777777" w:rsidR="00EC4582" w:rsidRPr="006E0F55" w:rsidRDefault="00EC4582" w:rsidP="006E0F55">
      <w:pPr>
        <w:pStyle w:val="Body"/>
        <w:rPr>
          <w:rFonts w:ascii="Arial" w:hAnsi="Arial" w:cs="Arial"/>
        </w:rPr>
      </w:pPr>
    </w:p>
    <w:p w14:paraId="5F5AAD56" w14:textId="782A2D6A" w:rsidR="006E0F55" w:rsidRPr="006E087A" w:rsidRDefault="006E087A" w:rsidP="006E0F55">
      <w:pPr>
        <w:pStyle w:val="Body"/>
        <w:rPr>
          <w:rFonts w:ascii="Arial" w:hAnsi="Arial" w:cs="Arial"/>
          <w:b/>
          <w:bCs/>
          <w:sz w:val="22"/>
          <w:szCs w:val="22"/>
        </w:rPr>
      </w:pPr>
      <w:r w:rsidRPr="006E087A">
        <w:rPr>
          <w:rFonts w:ascii="Arial" w:hAnsi="Arial" w:cs="Arial"/>
          <w:b/>
          <w:bCs/>
          <w:sz w:val="22"/>
          <w:szCs w:val="22"/>
        </w:rPr>
        <w:t xml:space="preserve">2.4 </w:t>
      </w:r>
      <w:r w:rsidR="006E0F55" w:rsidRPr="006E087A">
        <w:rPr>
          <w:rFonts w:ascii="Arial" w:hAnsi="Arial" w:cs="Arial"/>
          <w:b/>
          <w:bCs/>
          <w:sz w:val="22"/>
          <w:szCs w:val="22"/>
        </w:rPr>
        <w:t>Statistical analysis</w:t>
      </w:r>
    </w:p>
    <w:p w14:paraId="3A16ADBB" w14:textId="37F4EFB0" w:rsidR="00502516" w:rsidRDefault="006E0F55" w:rsidP="006E0F55">
      <w:pPr>
        <w:pStyle w:val="Body"/>
        <w:spacing w:after="0"/>
        <w:rPr>
          <w:rFonts w:ascii="Arial" w:hAnsi="Arial" w:cs="Arial"/>
        </w:rPr>
      </w:pPr>
      <w:r w:rsidRPr="006E0F55">
        <w:rPr>
          <w:rFonts w:ascii="Arial" w:hAnsi="Arial" w:cs="Arial"/>
        </w:rPr>
        <w:t>Data were entered in Microsoft Excel 2021 and statistical analysis was done using IBM Statistical Software for Social Sciences (SPSS) version 22. Categorical variables were represented in the form of frequency, and percentage. Continuous variables were presented as descriptive statistics (Mean and Standard deviation).</w:t>
      </w:r>
    </w:p>
    <w:p w14:paraId="1313ACB6" w14:textId="77777777" w:rsidR="002E0D56" w:rsidRDefault="002E0D56" w:rsidP="00441B6F">
      <w:pPr>
        <w:pStyle w:val="Body"/>
        <w:spacing w:after="0"/>
        <w:rPr>
          <w:rFonts w:ascii="Arial" w:hAnsi="Arial" w:cs="Arial"/>
        </w:rPr>
      </w:pPr>
    </w:p>
    <w:p w14:paraId="352DAD99" w14:textId="6CEBB87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4699110" w14:textId="77777777" w:rsidR="00790ADA" w:rsidRPr="00FB3A86" w:rsidRDefault="00790ADA" w:rsidP="00441B6F">
      <w:pPr>
        <w:pStyle w:val="Head1"/>
        <w:spacing w:after="0"/>
        <w:jc w:val="both"/>
        <w:rPr>
          <w:rFonts w:ascii="Arial" w:hAnsi="Arial" w:cs="Arial"/>
        </w:rPr>
      </w:pPr>
    </w:p>
    <w:p w14:paraId="6323D73A" w14:textId="77777777" w:rsidR="00306C12" w:rsidRDefault="00306C12" w:rsidP="00441B6F">
      <w:pPr>
        <w:pStyle w:val="Body"/>
        <w:spacing w:after="0"/>
        <w:rPr>
          <w:rFonts w:ascii="Arial" w:hAnsi="Arial" w:cs="Arial"/>
        </w:rPr>
      </w:pPr>
      <w:r w:rsidRPr="00306C12">
        <w:rPr>
          <w:rFonts w:ascii="Arial" w:hAnsi="Arial" w:cs="Arial"/>
        </w:rPr>
        <w:t>Major proportion of study subjects were belonged to age group of 41-50 years and 51-60 years (28%) with male predominance (68%) as compared to females (Table 1).</w:t>
      </w:r>
    </w:p>
    <w:p w14:paraId="1824DB1A" w14:textId="77777777" w:rsidR="00306C12" w:rsidRDefault="00306C12" w:rsidP="00441B6F">
      <w:pPr>
        <w:pStyle w:val="Body"/>
        <w:spacing w:after="0"/>
        <w:rPr>
          <w:rFonts w:ascii="Arial" w:hAnsi="Arial" w:cs="Arial"/>
        </w:rPr>
      </w:pPr>
    </w:p>
    <w:p w14:paraId="41BCDF3D" w14:textId="77777777" w:rsidR="00306C12" w:rsidRDefault="00306C12" w:rsidP="00441B6F">
      <w:pPr>
        <w:pStyle w:val="Body"/>
        <w:spacing w:after="0"/>
        <w:rPr>
          <w:rFonts w:ascii="Arial" w:hAnsi="Arial" w:cs="Arial"/>
        </w:rPr>
      </w:pPr>
    </w:p>
    <w:p w14:paraId="0FCF4A9D" w14:textId="77777777" w:rsidR="00306C12" w:rsidRDefault="00306C12" w:rsidP="00441B6F">
      <w:pPr>
        <w:pStyle w:val="Body"/>
        <w:spacing w:after="0"/>
        <w:rPr>
          <w:rFonts w:ascii="Arial" w:hAnsi="Arial" w:cs="Arial"/>
        </w:rPr>
      </w:pPr>
    </w:p>
    <w:p w14:paraId="2E908A70" w14:textId="77777777" w:rsidR="00306C12" w:rsidRDefault="00306C12" w:rsidP="00441B6F">
      <w:pPr>
        <w:pStyle w:val="Body"/>
        <w:spacing w:after="0"/>
        <w:rPr>
          <w:rFonts w:ascii="Arial" w:hAnsi="Arial" w:cs="Arial"/>
        </w:rPr>
      </w:pPr>
    </w:p>
    <w:p w14:paraId="5706E23C" w14:textId="77777777" w:rsidR="00306C12" w:rsidRDefault="00306C12" w:rsidP="00441B6F">
      <w:pPr>
        <w:pStyle w:val="Body"/>
        <w:spacing w:after="0"/>
        <w:rPr>
          <w:rFonts w:ascii="Arial" w:hAnsi="Arial" w:cs="Arial"/>
        </w:rPr>
      </w:pPr>
    </w:p>
    <w:p w14:paraId="4EA4BFA0" w14:textId="77777777" w:rsidR="00306C12" w:rsidRDefault="00306C12" w:rsidP="00441B6F">
      <w:pPr>
        <w:pStyle w:val="Body"/>
        <w:spacing w:after="0"/>
        <w:rPr>
          <w:rFonts w:ascii="Arial" w:hAnsi="Arial" w:cs="Arial"/>
        </w:rPr>
      </w:pPr>
    </w:p>
    <w:p w14:paraId="22EE075A" w14:textId="77777777" w:rsidR="00306C12" w:rsidRDefault="00306C12" w:rsidP="00441B6F">
      <w:pPr>
        <w:pStyle w:val="Body"/>
        <w:spacing w:after="0"/>
        <w:rPr>
          <w:rFonts w:ascii="Arial" w:hAnsi="Arial" w:cs="Arial"/>
        </w:rPr>
      </w:pPr>
    </w:p>
    <w:p w14:paraId="2C6671AB" w14:textId="77777777" w:rsidR="00306C12" w:rsidRDefault="00306C12" w:rsidP="00441B6F">
      <w:pPr>
        <w:pStyle w:val="Body"/>
        <w:spacing w:after="0"/>
        <w:rPr>
          <w:rFonts w:ascii="Arial" w:hAnsi="Arial" w:cs="Arial"/>
        </w:rPr>
      </w:pPr>
    </w:p>
    <w:p w14:paraId="1661D5F4" w14:textId="77777777" w:rsidR="00306C12" w:rsidRDefault="00306C12" w:rsidP="00441B6F">
      <w:pPr>
        <w:pStyle w:val="Body"/>
        <w:spacing w:after="0"/>
        <w:rPr>
          <w:rFonts w:ascii="Arial" w:hAnsi="Arial" w:cs="Arial"/>
        </w:rPr>
      </w:pPr>
    </w:p>
    <w:p w14:paraId="5E40F471" w14:textId="77777777" w:rsidR="00306C12" w:rsidRDefault="00306C12" w:rsidP="00441B6F">
      <w:pPr>
        <w:pStyle w:val="Body"/>
        <w:spacing w:after="0"/>
        <w:rPr>
          <w:rFonts w:ascii="Arial" w:hAnsi="Arial" w:cs="Arial"/>
        </w:rPr>
      </w:pPr>
    </w:p>
    <w:p w14:paraId="06798425" w14:textId="51C71A18" w:rsidR="00502516" w:rsidRDefault="00502516" w:rsidP="00441B6F">
      <w:pPr>
        <w:pStyle w:val="Body"/>
        <w:spacing w:after="0"/>
        <w:rPr>
          <w:rFonts w:ascii="Arial" w:hAnsi="Arial" w:cs="Arial"/>
        </w:rPr>
      </w:pPr>
      <w:r w:rsidRPr="00502516">
        <w:rPr>
          <w:rFonts w:ascii="Arial" w:hAnsi="Arial" w:cs="Arial"/>
        </w:rPr>
        <w:t xml:space="preserve"> </w:t>
      </w:r>
    </w:p>
    <w:p w14:paraId="7ECF444C" w14:textId="77777777" w:rsidR="00790ADA" w:rsidRPr="00502516" w:rsidRDefault="00790ADA" w:rsidP="00441B6F">
      <w:pPr>
        <w:pStyle w:val="Body"/>
        <w:spacing w:after="0"/>
        <w:rPr>
          <w:rFonts w:ascii="Arial" w:hAnsi="Arial" w:cs="Arial"/>
        </w:rPr>
      </w:pPr>
    </w:p>
    <w:p w14:paraId="2FD395DE" w14:textId="77777777" w:rsidR="00306C12" w:rsidRDefault="00306C12" w:rsidP="006E087A">
      <w:pPr>
        <w:jc w:val="both"/>
        <w:rPr>
          <w:rFonts w:ascii="Arial" w:hAnsi="Arial" w:cs="Arial"/>
          <w:b/>
          <w:bCs/>
        </w:rPr>
      </w:pPr>
    </w:p>
    <w:p w14:paraId="1A7C5402" w14:textId="608A2C55" w:rsidR="006E087A" w:rsidRPr="006E087A" w:rsidRDefault="006E087A" w:rsidP="006E087A">
      <w:pPr>
        <w:jc w:val="both"/>
        <w:rPr>
          <w:rFonts w:ascii="Arial" w:hAnsi="Arial" w:cs="Arial"/>
          <w:b/>
          <w:bCs/>
        </w:rPr>
      </w:pPr>
      <w:r w:rsidRPr="006E087A">
        <w:rPr>
          <w:rFonts w:ascii="Arial" w:hAnsi="Arial" w:cs="Arial"/>
          <w:b/>
          <w:bCs/>
        </w:rPr>
        <w:t xml:space="preserve">Table 1: </w:t>
      </w:r>
      <w:bookmarkStart w:id="1" w:name="_Hlk204100909"/>
      <w:r w:rsidR="00306C12">
        <w:rPr>
          <w:rFonts w:ascii="Arial" w:hAnsi="Arial" w:cs="Arial"/>
          <w:b/>
          <w:bCs/>
        </w:rPr>
        <w:t>D</w:t>
      </w:r>
      <w:r w:rsidRPr="006E087A">
        <w:rPr>
          <w:rFonts w:ascii="Arial" w:hAnsi="Arial" w:cs="Arial"/>
          <w:b/>
          <w:bCs/>
        </w:rPr>
        <w:t>emographic characteristics</w:t>
      </w:r>
      <w:bookmarkEnd w:id="1"/>
    </w:p>
    <w:tbl>
      <w:tblPr>
        <w:tblStyle w:val="TableGrid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941"/>
        <w:gridCol w:w="2455"/>
      </w:tblGrid>
      <w:tr w:rsidR="00306C12" w:rsidRPr="00306C12" w14:paraId="53148AA6" w14:textId="77777777" w:rsidTr="00306C12">
        <w:trPr>
          <w:trHeight w:hRule="exact" w:val="397"/>
        </w:trPr>
        <w:tc>
          <w:tcPr>
            <w:tcW w:w="2972" w:type="dxa"/>
            <w:tcBorders>
              <w:top w:val="single" w:sz="4" w:space="0" w:color="auto"/>
              <w:bottom w:val="single" w:sz="4" w:space="0" w:color="auto"/>
            </w:tcBorders>
            <w:vAlign w:val="center"/>
          </w:tcPr>
          <w:p w14:paraId="2545B38D"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 xml:space="preserve">Variables </w:t>
            </w:r>
          </w:p>
        </w:tc>
        <w:tc>
          <w:tcPr>
            <w:tcW w:w="1941" w:type="dxa"/>
            <w:tcBorders>
              <w:top w:val="single" w:sz="4" w:space="0" w:color="auto"/>
              <w:bottom w:val="single" w:sz="4" w:space="0" w:color="auto"/>
            </w:tcBorders>
            <w:vAlign w:val="center"/>
          </w:tcPr>
          <w:p w14:paraId="7E05FE89"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Frequency</w:t>
            </w:r>
          </w:p>
        </w:tc>
        <w:tc>
          <w:tcPr>
            <w:tcW w:w="2455" w:type="dxa"/>
            <w:tcBorders>
              <w:top w:val="single" w:sz="4" w:space="0" w:color="auto"/>
              <w:bottom w:val="single" w:sz="4" w:space="0" w:color="auto"/>
            </w:tcBorders>
            <w:vAlign w:val="center"/>
          </w:tcPr>
          <w:p w14:paraId="4702D790"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Percentage</w:t>
            </w:r>
          </w:p>
        </w:tc>
      </w:tr>
      <w:tr w:rsidR="00306C12" w:rsidRPr="00306C12" w14:paraId="6ECF4D4E" w14:textId="77777777" w:rsidTr="00306C12">
        <w:trPr>
          <w:trHeight w:hRule="exact" w:val="397"/>
        </w:trPr>
        <w:tc>
          <w:tcPr>
            <w:tcW w:w="7368" w:type="dxa"/>
            <w:gridSpan w:val="3"/>
            <w:tcBorders>
              <w:top w:val="single" w:sz="4" w:space="0" w:color="auto"/>
              <w:bottom w:val="single" w:sz="4" w:space="0" w:color="auto"/>
            </w:tcBorders>
            <w:vAlign w:val="center"/>
          </w:tcPr>
          <w:p w14:paraId="5617EC41"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Age (Years)</w:t>
            </w:r>
          </w:p>
        </w:tc>
      </w:tr>
      <w:tr w:rsidR="00306C12" w:rsidRPr="00306C12" w14:paraId="6B262024" w14:textId="77777777" w:rsidTr="00306C12">
        <w:trPr>
          <w:trHeight w:hRule="exact" w:val="397"/>
        </w:trPr>
        <w:tc>
          <w:tcPr>
            <w:tcW w:w="2972" w:type="dxa"/>
            <w:tcBorders>
              <w:top w:val="single" w:sz="4" w:space="0" w:color="auto"/>
            </w:tcBorders>
            <w:vAlign w:val="center"/>
          </w:tcPr>
          <w:p w14:paraId="21D5A56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lastRenderedPageBreak/>
              <w:t>19-30</w:t>
            </w:r>
          </w:p>
        </w:tc>
        <w:tc>
          <w:tcPr>
            <w:tcW w:w="1941" w:type="dxa"/>
            <w:tcBorders>
              <w:top w:val="single" w:sz="4" w:space="0" w:color="auto"/>
            </w:tcBorders>
            <w:vAlign w:val="center"/>
          </w:tcPr>
          <w:p w14:paraId="1C37CBEC"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8</w:t>
            </w:r>
          </w:p>
        </w:tc>
        <w:tc>
          <w:tcPr>
            <w:tcW w:w="2455" w:type="dxa"/>
            <w:tcBorders>
              <w:top w:val="single" w:sz="4" w:space="0" w:color="auto"/>
            </w:tcBorders>
            <w:vAlign w:val="center"/>
          </w:tcPr>
          <w:p w14:paraId="2396CC3E"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16.0</w:t>
            </w:r>
          </w:p>
        </w:tc>
      </w:tr>
      <w:tr w:rsidR="00306C12" w:rsidRPr="00306C12" w14:paraId="4E6A84F4" w14:textId="77777777" w:rsidTr="00306C12">
        <w:trPr>
          <w:trHeight w:hRule="exact" w:val="397"/>
        </w:trPr>
        <w:tc>
          <w:tcPr>
            <w:tcW w:w="2972" w:type="dxa"/>
            <w:vAlign w:val="center"/>
          </w:tcPr>
          <w:p w14:paraId="30ABF912"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31-40</w:t>
            </w:r>
          </w:p>
        </w:tc>
        <w:tc>
          <w:tcPr>
            <w:tcW w:w="1941" w:type="dxa"/>
            <w:vAlign w:val="center"/>
          </w:tcPr>
          <w:p w14:paraId="507EE1E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8</w:t>
            </w:r>
          </w:p>
        </w:tc>
        <w:tc>
          <w:tcPr>
            <w:tcW w:w="2455" w:type="dxa"/>
            <w:vAlign w:val="center"/>
          </w:tcPr>
          <w:p w14:paraId="2EAD6E3A"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16.0</w:t>
            </w:r>
          </w:p>
        </w:tc>
      </w:tr>
      <w:tr w:rsidR="00306C12" w:rsidRPr="00306C12" w14:paraId="4EB2B9D8" w14:textId="77777777" w:rsidTr="00306C12">
        <w:trPr>
          <w:trHeight w:hRule="exact" w:val="397"/>
        </w:trPr>
        <w:tc>
          <w:tcPr>
            <w:tcW w:w="2972" w:type="dxa"/>
            <w:vAlign w:val="center"/>
          </w:tcPr>
          <w:p w14:paraId="677B755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41-50</w:t>
            </w:r>
          </w:p>
        </w:tc>
        <w:tc>
          <w:tcPr>
            <w:tcW w:w="1941" w:type="dxa"/>
            <w:vAlign w:val="center"/>
          </w:tcPr>
          <w:p w14:paraId="06511EEA"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14</w:t>
            </w:r>
          </w:p>
        </w:tc>
        <w:tc>
          <w:tcPr>
            <w:tcW w:w="2455" w:type="dxa"/>
            <w:vAlign w:val="center"/>
          </w:tcPr>
          <w:p w14:paraId="711BB31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28.0</w:t>
            </w:r>
          </w:p>
        </w:tc>
      </w:tr>
      <w:tr w:rsidR="00306C12" w:rsidRPr="00306C12" w14:paraId="4AB03852" w14:textId="77777777" w:rsidTr="00306C12">
        <w:trPr>
          <w:trHeight w:hRule="exact" w:val="397"/>
        </w:trPr>
        <w:tc>
          <w:tcPr>
            <w:tcW w:w="2972" w:type="dxa"/>
            <w:vAlign w:val="center"/>
          </w:tcPr>
          <w:p w14:paraId="399085BC"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51-60</w:t>
            </w:r>
          </w:p>
        </w:tc>
        <w:tc>
          <w:tcPr>
            <w:tcW w:w="1941" w:type="dxa"/>
            <w:vAlign w:val="center"/>
          </w:tcPr>
          <w:p w14:paraId="7867573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14</w:t>
            </w:r>
          </w:p>
        </w:tc>
        <w:tc>
          <w:tcPr>
            <w:tcW w:w="2455" w:type="dxa"/>
            <w:vAlign w:val="center"/>
          </w:tcPr>
          <w:p w14:paraId="2F898B42"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28.0</w:t>
            </w:r>
          </w:p>
        </w:tc>
      </w:tr>
      <w:tr w:rsidR="00306C12" w:rsidRPr="00306C12" w14:paraId="0F9B9231" w14:textId="77777777" w:rsidTr="00306C12">
        <w:trPr>
          <w:trHeight w:hRule="exact" w:val="397"/>
        </w:trPr>
        <w:tc>
          <w:tcPr>
            <w:tcW w:w="2972" w:type="dxa"/>
            <w:vAlign w:val="center"/>
          </w:tcPr>
          <w:p w14:paraId="656D775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61-70</w:t>
            </w:r>
          </w:p>
        </w:tc>
        <w:tc>
          <w:tcPr>
            <w:tcW w:w="1941" w:type="dxa"/>
            <w:vAlign w:val="center"/>
          </w:tcPr>
          <w:p w14:paraId="3388C88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5</w:t>
            </w:r>
          </w:p>
        </w:tc>
        <w:tc>
          <w:tcPr>
            <w:tcW w:w="2455" w:type="dxa"/>
            <w:vAlign w:val="center"/>
          </w:tcPr>
          <w:p w14:paraId="2181E78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10.0</w:t>
            </w:r>
          </w:p>
        </w:tc>
      </w:tr>
      <w:tr w:rsidR="00306C12" w:rsidRPr="00306C12" w14:paraId="58147FFF" w14:textId="77777777" w:rsidTr="00306C12">
        <w:trPr>
          <w:trHeight w:hRule="exact" w:val="397"/>
        </w:trPr>
        <w:tc>
          <w:tcPr>
            <w:tcW w:w="2972" w:type="dxa"/>
            <w:tcBorders>
              <w:bottom w:val="single" w:sz="4" w:space="0" w:color="auto"/>
            </w:tcBorders>
            <w:vAlign w:val="center"/>
          </w:tcPr>
          <w:p w14:paraId="5E44101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71-80</w:t>
            </w:r>
          </w:p>
        </w:tc>
        <w:tc>
          <w:tcPr>
            <w:tcW w:w="1941" w:type="dxa"/>
            <w:tcBorders>
              <w:bottom w:val="single" w:sz="4" w:space="0" w:color="auto"/>
            </w:tcBorders>
            <w:vAlign w:val="center"/>
          </w:tcPr>
          <w:p w14:paraId="742ABF63"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w:t>
            </w:r>
          </w:p>
        </w:tc>
        <w:tc>
          <w:tcPr>
            <w:tcW w:w="2455" w:type="dxa"/>
            <w:tcBorders>
              <w:bottom w:val="single" w:sz="4" w:space="0" w:color="auto"/>
            </w:tcBorders>
            <w:vAlign w:val="center"/>
          </w:tcPr>
          <w:p w14:paraId="26FD222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2.0</w:t>
            </w:r>
          </w:p>
        </w:tc>
      </w:tr>
      <w:tr w:rsidR="00306C12" w:rsidRPr="00306C12" w14:paraId="1BB5C331" w14:textId="77777777" w:rsidTr="00306C12">
        <w:trPr>
          <w:trHeight w:hRule="exact" w:val="397"/>
        </w:trPr>
        <w:tc>
          <w:tcPr>
            <w:tcW w:w="7368" w:type="dxa"/>
            <w:gridSpan w:val="3"/>
            <w:tcBorders>
              <w:top w:val="single" w:sz="4" w:space="0" w:color="auto"/>
              <w:bottom w:val="single" w:sz="4" w:space="0" w:color="auto"/>
            </w:tcBorders>
            <w:vAlign w:val="center"/>
          </w:tcPr>
          <w:p w14:paraId="257F3234"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Gender</w:t>
            </w:r>
          </w:p>
        </w:tc>
      </w:tr>
      <w:tr w:rsidR="00306C12" w:rsidRPr="00306C12" w14:paraId="260DC38B" w14:textId="77777777" w:rsidTr="00306C12">
        <w:trPr>
          <w:trHeight w:hRule="exact" w:val="397"/>
        </w:trPr>
        <w:tc>
          <w:tcPr>
            <w:tcW w:w="2972" w:type="dxa"/>
            <w:tcBorders>
              <w:top w:val="single" w:sz="4" w:space="0" w:color="auto"/>
            </w:tcBorders>
            <w:vAlign w:val="center"/>
          </w:tcPr>
          <w:p w14:paraId="270E0186"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Male</w:t>
            </w:r>
          </w:p>
        </w:tc>
        <w:tc>
          <w:tcPr>
            <w:tcW w:w="1941" w:type="dxa"/>
            <w:tcBorders>
              <w:top w:val="single" w:sz="4" w:space="0" w:color="auto"/>
            </w:tcBorders>
            <w:vAlign w:val="center"/>
          </w:tcPr>
          <w:p w14:paraId="5F5D398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34</w:t>
            </w:r>
          </w:p>
        </w:tc>
        <w:tc>
          <w:tcPr>
            <w:tcW w:w="2455" w:type="dxa"/>
            <w:tcBorders>
              <w:top w:val="single" w:sz="4" w:space="0" w:color="auto"/>
            </w:tcBorders>
            <w:vAlign w:val="center"/>
          </w:tcPr>
          <w:p w14:paraId="16751E0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68.0</w:t>
            </w:r>
          </w:p>
        </w:tc>
      </w:tr>
      <w:tr w:rsidR="00306C12" w:rsidRPr="00306C12" w14:paraId="1DF3331D" w14:textId="77777777" w:rsidTr="00306C12">
        <w:trPr>
          <w:trHeight w:hRule="exact" w:val="397"/>
        </w:trPr>
        <w:tc>
          <w:tcPr>
            <w:tcW w:w="2972" w:type="dxa"/>
            <w:vAlign w:val="center"/>
          </w:tcPr>
          <w:p w14:paraId="79136C8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Female</w:t>
            </w:r>
          </w:p>
        </w:tc>
        <w:tc>
          <w:tcPr>
            <w:tcW w:w="1941" w:type="dxa"/>
            <w:vAlign w:val="center"/>
          </w:tcPr>
          <w:p w14:paraId="793790B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w:t>
            </w:r>
          </w:p>
        </w:tc>
        <w:tc>
          <w:tcPr>
            <w:tcW w:w="2455" w:type="dxa"/>
            <w:vAlign w:val="center"/>
          </w:tcPr>
          <w:p w14:paraId="63B7D1A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32.0</w:t>
            </w:r>
          </w:p>
        </w:tc>
      </w:tr>
    </w:tbl>
    <w:p w14:paraId="47E55442" w14:textId="77777777" w:rsidR="006E087A" w:rsidRPr="0026082D" w:rsidRDefault="006E087A" w:rsidP="006E087A">
      <w:pPr>
        <w:spacing w:line="480" w:lineRule="auto"/>
        <w:jc w:val="both"/>
        <w:rPr>
          <w:rFonts w:ascii="Times New Roman" w:hAnsi="Times New Roman"/>
          <w:sz w:val="24"/>
          <w:szCs w:val="24"/>
        </w:rPr>
      </w:pPr>
    </w:p>
    <w:p w14:paraId="0B774BCF" w14:textId="301A7A66" w:rsidR="006E087A" w:rsidRDefault="000A4DD1" w:rsidP="006E087A">
      <w:pPr>
        <w:pStyle w:val="Body"/>
        <w:spacing w:after="0"/>
        <w:rPr>
          <w:rFonts w:ascii="Arial" w:hAnsi="Arial" w:cs="Arial"/>
        </w:rPr>
      </w:pPr>
      <w:r w:rsidRPr="000A4DD1">
        <w:rPr>
          <w:rFonts w:ascii="Arial" w:hAnsi="Arial" w:cs="Arial"/>
        </w:rPr>
        <w:t>The top three ranked focal lesions of liver appeared in Triphasic CT were found to be hydatid cyst (22%), hemangioma (20%), and hepatocellular carcinoma (18%). The other focal lesions of liver diagnosed using triphasic CT were listed in Table 2.</w:t>
      </w:r>
    </w:p>
    <w:p w14:paraId="36440D55" w14:textId="77777777" w:rsidR="00637EAE" w:rsidRDefault="00637EAE" w:rsidP="006E087A">
      <w:pPr>
        <w:pStyle w:val="Body"/>
        <w:spacing w:after="0"/>
        <w:rPr>
          <w:rFonts w:ascii="Arial" w:hAnsi="Arial" w:cs="Arial"/>
        </w:rPr>
      </w:pPr>
    </w:p>
    <w:p w14:paraId="638681F2" w14:textId="77777777" w:rsidR="000A4DD1" w:rsidRPr="000A4DD1" w:rsidRDefault="000A4DD1" w:rsidP="000A4DD1">
      <w:pPr>
        <w:contextualSpacing/>
        <w:jc w:val="both"/>
        <w:rPr>
          <w:rFonts w:ascii="Times New Roman" w:eastAsia="Calibri" w:hAnsi="Times New Roman"/>
          <w:b/>
          <w:bCs/>
          <w:kern w:val="2"/>
          <w:sz w:val="24"/>
          <w:szCs w:val="24"/>
        </w:rPr>
      </w:pPr>
      <w:r w:rsidRPr="000A4DD1">
        <w:rPr>
          <w:rFonts w:ascii="Times New Roman" w:eastAsia="Calibri" w:hAnsi="Times New Roman"/>
          <w:b/>
          <w:bCs/>
          <w:kern w:val="2"/>
          <w:sz w:val="24"/>
          <w:szCs w:val="24"/>
        </w:rPr>
        <w:t>Table 2: Diagnosis of focal liver lesions using Triphasic CT technique</w:t>
      </w:r>
    </w:p>
    <w:tbl>
      <w:tblPr>
        <w:tblStyle w:val="TableGrid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941"/>
        <w:gridCol w:w="2455"/>
      </w:tblGrid>
      <w:tr w:rsidR="000A4DD1" w:rsidRPr="000A4DD1" w14:paraId="4CBF40F7" w14:textId="77777777" w:rsidTr="000A4DD1">
        <w:trPr>
          <w:trHeight w:hRule="exact" w:val="454"/>
        </w:trPr>
        <w:tc>
          <w:tcPr>
            <w:tcW w:w="2972" w:type="dxa"/>
            <w:tcBorders>
              <w:top w:val="single" w:sz="4" w:space="0" w:color="auto"/>
              <w:bottom w:val="single" w:sz="4" w:space="0" w:color="auto"/>
            </w:tcBorders>
            <w:vAlign w:val="center"/>
          </w:tcPr>
          <w:p w14:paraId="3A340372"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Variables</w:t>
            </w:r>
          </w:p>
        </w:tc>
        <w:tc>
          <w:tcPr>
            <w:tcW w:w="1941" w:type="dxa"/>
            <w:tcBorders>
              <w:top w:val="single" w:sz="4" w:space="0" w:color="auto"/>
              <w:bottom w:val="single" w:sz="4" w:space="0" w:color="auto"/>
            </w:tcBorders>
            <w:vAlign w:val="center"/>
          </w:tcPr>
          <w:p w14:paraId="787500C8"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Frequency</w:t>
            </w:r>
          </w:p>
        </w:tc>
        <w:tc>
          <w:tcPr>
            <w:tcW w:w="2455" w:type="dxa"/>
            <w:tcBorders>
              <w:top w:val="single" w:sz="4" w:space="0" w:color="auto"/>
              <w:bottom w:val="single" w:sz="4" w:space="0" w:color="auto"/>
            </w:tcBorders>
            <w:vAlign w:val="center"/>
          </w:tcPr>
          <w:p w14:paraId="3BABE6BA"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Percentage</w:t>
            </w:r>
          </w:p>
        </w:tc>
      </w:tr>
      <w:tr w:rsidR="000A4DD1" w:rsidRPr="000A4DD1" w14:paraId="7DD080AF" w14:textId="77777777" w:rsidTr="000A4DD1">
        <w:trPr>
          <w:trHeight w:hRule="exact" w:val="454"/>
        </w:trPr>
        <w:tc>
          <w:tcPr>
            <w:tcW w:w="2972" w:type="dxa"/>
            <w:tcBorders>
              <w:top w:val="single" w:sz="4" w:space="0" w:color="auto"/>
            </w:tcBorders>
            <w:vAlign w:val="center"/>
          </w:tcPr>
          <w:p w14:paraId="602C23F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Hydatid Cyst</w:t>
            </w:r>
          </w:p>
        </w:tc>
        <w:tc>
          <w:tcPr>
            <w:tcW w:w="1941" w:type="dxa"/>
            <w:tcBorders>
              <w:top w:val="single" w:sz="4" w:space="0" w:color="auto"/>
            </w:tcBorders>
            <w:vAlign w:val="center"/>
          </w:tcPr>
          <w:p w14:paraId="186B90B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11</w:t>
            </w:r>
          </w:p>
        </w:tc>
        <w:tc>
          <w:tcPr>
            <w:tcW w:w="2455" w:type="dxa"/>
            <w:tcBorders>
              <w:top w:val="single" w:sz="4" w:space="0" w:color="auto"/>
            </w:tcBorders>
            <w:vAlign w:val="center"/>
          </w:tcPr>
          <w:p w14:paraId="719BB736"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22.0</w:t>
            </w:r>
          </w:p>
        </w:tc>
      </w:tr>
      <w:tr w:rsidR="000A4DD1" w:rsidRPr="000A4DD1" w14:paraId="6375CCF0" w14:textId="77777777" w:rsidTr="000A4DD1">
        <w:trPr>
          <w:trHeight w:hRule="exact" w:val="454"/>
        </w:trPr>
        <w:tc>
          <w:tcPr>
            <w:tcW w:w="2972" w:type="dxa"/>
            <w:vAlign w:val="center"/>
          </w:tcPr>
          <w:p w14:paraId="42E5B355"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Hemangioma</w:t>
            </w:r>
          </w:p>
        </w:tc>
        <w:tc>
          <w:tcPr>
            <w:tcW w:w="1941" w:type="dxa"/>
            <w:vAlign w:val="center"/>
          </w:tcPr>
          <w:p w14:paraId="011DA42A"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10</w:t>
            </w:r>
          </w:p>
        </w:tc>
        <w:tc>
          <w:tcPr>
            <w:tcW w:w="2455" w:type="dxa"/>
            <w:vAlign w:val="center"/>
          </w:tcPr>
          <w:p w14:paraId="692FA264"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20.0</w:t>
            </w:r>
          </w:p>
        </w:tc>
      </w:tr>
      <w:tr w:rsidR="000A4DD1" w:rsidRPr="000A4DD1" w14:paraId="3A096B86" w14:textId="77777777" w:rsidTr="000A4DD1">
        <w:trPr>
          <w:trHeight w:hRule="exact" w:val="454"/>
        </w:trPr>
        <w:tc>
          <w:tcPr>
            <w:tcW w:w="2972" w:type="dxa"/>
            <w:vAlign w:val="center"/>
          </w:tcPr>
          <w:p w14:paraId="39440D1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Hepatocellular carcinoma</w:t>
            </w:r>
          </w:p>
        </w:tc>
        <w:tc>
          <w:tcPr>
            <w:tcW w:w="1941" w:type="dxa"/>
            <w:vAlign w:val="center"/>
          </w:tcPr>
          <w:p w14:paraId="02B73FDE"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9</w:t>
            </w:r>
          </w:p>
        </w:tc>
        <w:tc>
          <w:tcPr>
            <w:tcW w:w="2455" w:type="dxa"/>
            <w:vAlign w:val="center"/>
          </w:tcPr>
          <w:p w14:paraId="4B19DB93"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18.0</w:t>
            </w:r>
          </w:p>
        </w:tc>
      </w:tr>
      <w:tr w:rsidR="000A4DD1" w:rsidRPr="000A4DD1" w14:paraId="17E11152" w14:textId="77777777" w:rsidTr="000A4DD1">
        <w:trPr>
          <w:trHeight w:hRule="exact" w:val="454"/>
        </w:trPr>
        <w:tc>
          <w:tcPr>
            <w:tcW w:w="2972" w:type="dxa"/>
            <w:vAlign w:val="center"/>
          </w:tcPr>
          <w:p w14:paraId="166ECB5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Abscess</w:t>
            </w:r>
          </w:p>
        </w:tc>
        <w:tc>
          <w:tcPr>
            <w:tcW w:w="1941" w:type="dxa"/>
            <w:vAlign w:val="center"/>
          </w:tcPr>
          <w:p w14:paraId="337BDCBD"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7</w:t>
            </w:r>
          </w:p>
        </w:tc>
        <w:tc>
          <w:tcPr>
            <w:tcW w:w="2455" w:type="dxa"/>
            <w:vAlign w:val="center"/>
          </w:tcPr>
          <w:p w14:paraId="31D01C7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14.0</w:t>
            </w:r>
          </w:p>
        </w:tc>
      </w:tr>
      <w:tr w:rsidR="000A4DD1" w:rsidRPr="000A4DD1" w14:paraId="712C7D8B" w14:textId="77777777" w:rsidTr="000A4DD1">
        <w:trPr>
          <w:trHeight w:hRule="exact" w:val="454"/>
        </w:trPr>
        <w:tc>
          <w:tcPr>
            <w:tcW w:w="2972" w:type="dxa"/>
            <w:vAlign w:val="center"/>
          </w:tcPr>
          <w:p w14:paraId="30623595"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Metastasis</w:t>
            </w:r>
          </w:p>
        </w:tc>
        <w:tc>
          <w:tcPr>
            <w:tcW w:w="1941" w:type="dxa"/>
            <w:vAlign w:val="center"/>
          </w:tcPr>
          <w:p w14:paraId="42AE50D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6</w:t>
            </w:r>
          </w:p>
        </w:tc>
        <w:tc>
          <w:tcPr>
            <w:tcW w:w="2455" w:type="dxa"/>
            <w:vAlign w:val="center"/>
          </w:tcPr>
          <w:p w14:paraId="346065C1"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12.0</w:t>
            </w:r>
          </w:p>
        </w:tc>
      </w:tr>
      <w:tr w:rsidR="000A4DD1" w:rsidRPr="000A4DD1" w14:paraId="45D4744E" w14:textId="77777777" w:rsidTr="000A4DD1">
        <w:trPr>
          <w:trHeight w:hRule="exact" w:val="454"/>
        </w:trPr>
        <w:tc>
          <w:tcPr>
            <w:tcW w:w="2972" w:type="dxa"/>
            <w:vAlign w:val="center"/>
          </w:tcPr>
          <w:p w14:paraId="52D934EE"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Simple cyst</w:t>
            </w:r>
          </w:p>
        </w:tc>
        <w:tc>
          <w:tcPr>
            <w:tcW w:w="1941" w:type="dxa"/>
            <w:vAlign w:val="center"/>
          </w:tcPr>
          <w:p w14:paraId="71D07CFA"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4</w:t>
            </w:r>
          </w:p>
        </w:tc>
        <w:tc>
          <w:tcPr>
            <w:tcW w:w="2455" w:type="dxa"/>
            <w:vAlign w:val="center"/>
          </w:tcPr>
          <w:p w14:paraId="66577FF3"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8.0</w:t>
            </w:r>
          </w:p>
        </w:tc>
      </w:tr>
      <w:tr w:rsidR="000A4DD1" w:rsidRPr="000A4DD1" w14:paraId="698DB822" w14:textId="77777777" w:rsidTr="000A4DD1">
        <w:trPr>
          <w:trHeight w:hRule="exact" w:val="454"/>
        </w:trPr>
        <w:tc>
          <w:tcPr>
            <w:tcW w:w="2972" w:type="dxa"/>
            <w:vAlign w:val="center"/>
          </w:tcPr>
          <w:p w14:paraId="027EA4D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Indeterminate*</w:t>
            </w:r>
          </w:p>
        </w:tc>
        <w:tc>
          <w:tcPr>
            <w:tcW w:w="1941" w:type="dxa"/>
            <w:vAlign w:val="center"/>
          </w:tcPr>
          <w:p w14:paraId="4F85762F"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w:t>
            </w:r>
          </w:p>
        </w:tc>
        <w:tc>
          <w:tcPr>
            <w:tcW w:w="2455" w:type="dxa"/>
            <w:vAlign w:val="center"/>
          </w:tcPr>
          <w:p w14:paraId="4E13D2E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4.0</w:t>
            </w:r>
          </w:p>
        </w:tc>
      </w:tr>
      <w:tr w:rsidR="000A4DD1" w:rsidRPr="000A4DD1" w14:paraId="3DCF30FE" w14:textId="77777777" w:rsidTr="000A4DD1">
        <w:trPr>
          <w:trHeight w:hRule="exact" w:val="454"/>
        </w:trPr>
        <w:tc>
          <w:tcPr>
            <w:tcW w:w="2972" w:type="dxa"/>
            <w:vAlign w:val="center"/>
          </w:tcPr>
          <w:p w14:paraId="7CDDEB9B"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Intrahepatic cholangio Ca</w:t>
            </w:r>
          </w:p>
        </w:tc>
        <w:tc>
          <w:tcPr>
            <w:tcW w:w="1941" w:type="dxa"/>
            <w:vAlign w:val="center"/>
          </w:tcPr>
          <w:p w14:paraId="68A491CB"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w:t>
            </w:r>
          </w:p>
        </w:tc>
        <w:tc>
          <w:tcPr>
            <w:tcW w:w="2455" w:type="dxa"/>
            <w:vAlign w:val="center"/>
          </w:tcPr>
          <w:p w14:paraId="0C79F596"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2.0</w:t>
            </w:r>
          </w:p>
        </w:tc>
      </w:tr>
    </w:tbl>
    <w:p w14:paraId="50974E46" w14:textId="77777777" w:rsidR="000A4DD1" w:rsidRPr="000A4DD1" w:rsidRDefault="000A4DD1" w:rsidP="00FF661E">
      <w:pPr>
        <w:spacing w:line="480" w:lineRule="auto"/>
        <w:rPr>
          <w:rFonts w:ascii="Arial" w:eastAsia="Calibri" w:hAnsi="Arial" w:cs="Arial"/>
          <w:kern w:val="2"/>
        </w:rPr>
      </w:pPr>
      <w:r w:rsidRPr="000A4DD1">
        <w:rPr>
          <w:rFonts w:ascii="Arial" w:eastAsia="Calibri" w:hAnsi="Arial" w:cs="Arial"/>
          <w:kern w:val="2"/>
        </w:rPr>
        <w:t>*Biopsy proved Metastasis (1) and Gain hemangioma (1)</w:t>
      </w:r>
    </w:p>
    <w:p w14:paraId="3ACFADA8" w14:textId="3DCA28A7" w:rsidR="00141D03" w:rsidRDefault="00637EAE" w:rsidP="00141D03">
      <w:pPr>
        <w:pStyle w:val="Body"/>
        <w:spacing w:after="0"/>
        <w:rPr>
          <w:rFonts w:ascii="Arial" w:hAnsi="Arial" w:cs="Arial"/>
        </w:rPr>
      </w:pPr>
      <w:r w:rsidRPr="00637EAE">
        <w:rPr>
          <w:rFonts w:ascii="Arial" w:hAnsi="Arial" w:cs="Arial"/>
        </w:rPr>
        <w:t>Contrast triphasic CT scan diagnostic work-ups showed appearance of enhanced focal lesions of liver in 32 patients. Whereas, non-enhanced focal lesions of liver appeared in 18 patients (Fig</w:t>
      </w:r>
      <w:r w:rsidR="0076636E">
        <w:rPr>
          <w:rFonts w:ascii="Arial" w:hAnsi="Arial" w:cs="Arial"/>
        </w:rPr>
        <w:t>.</w:t>
      </w:r>
      <w:r w:rsidRPr="00637EAE">
        <w:rPr>
          <w:rFonts w:ascii="Arial" w:hAnsi="Arial" w:cs="Arial"/>
        </w:rPr>
        <w:t xml:space="preserve"> 1).</w:t>
      </w:r>
    </w:p>
    <w:p w14:paraId="7BB3DD0C" w14:textId="77777777" w:rsidR="00637EAE" w:rsidRDefault="00637EAE" w:rsidP="00141D03">
      <w:pPr>
        <w:pStyle w:val="Body"/>
        <w:spacing w:after="0"/>
        <w:rPr>
          <w:rFonts w:ascii="Arial" w:hAnsi="Arial" w:cs="Arial"/>
        </w:rPr>
      </w:pPr>
    </w:p>
    <w:p w14:paraId="2E2B9A44" w14:textId="24277FF0" w:rsidR="00637EAE" w:rsidRDefault="00637EAE" w:rsidP="00141D03">
      <w:pPr>
        <w:pStyle w:val="Body"/>
        <w:spacing w:after="0"/>
        <w:rPr>
          <w:rFonts w:ascii="Arial" w:hAnsi="Arial" w:cs="Arial"/>
        </w:rPr>
      </w:pPr>
      <w:r>
        <w:rPr>
          <w:rFonts w:ascii="Times New Roman" w:hAnsi="Times New Roman"/>
          <w:b/>
          <w:bCs/>
          <w:noProof/>
          <w:color w:val="7030A0"/>
          <w:sz w:val="24"/>
          <w:szCs w:val="24"/>
        </w:rPr>
        <w:lastRenderedPageBreak/>
        <w:drawing>
          <wp:inline distT="0" distB="0" distL="0" distR="0" wp14:anchorId="1A63D48F" wp14:editId="1AA87C4D">
            <wp:extent cx="4687496" cy="3201388"/>
            <wp:effectExtent l="0" t="0" r="0" b="0"/>
            <wp:docPr id="52051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5375" cy="3213599"/>
                    </a:xfrm>
                    <a:prstGeom prst="rect">
                      <a:avLst/>
                    </a:prstGeom>
                    <a:noFill/>
                  </pic:spPr>
                </pic:pic>
              </a:graphicData>
            </a:graphic>
          </wp:inline>
        </w:drawing>
      </w:r>
    </w:p>
    <w:p w14:paraId="51FC1326" w14:textId="670FAEF3" w:rsidR="00637EAE" w:rsidRDefault="00637EAE" w:rsidP="00141D03">
      <w:pPr>
        <w:pStyle w:val="Body"/>
        <w:spacing w:after="0"/>
        <w:rPr>
          <w:rFonts w:ascii="Arial" w:hAnsi="Arial" w:cs="Arial"/>
          <w:b/>
          <w:bCs/>
        </w:rPr>
      </w:pPr>
      <w:r w:rsidRPr="00637EAE">
        <w:rPr>
          <w:rFonts w:ascii="Arial" w:hAnsi="Arial" w:cs="Arial"/>
          <w:b/>
          <w:bCs/>
        </w:rPr>
        <w:t>Fig</w:t>
      </w:r>
      <w:r>
        <w:rPr>
          <w:rFonts w:ascii="Arial" w:hAnsi="Arial" w:cs="Arial"/>
          <w:b/>
          <w:bCs/>
        </w:rPr>
        <w:t>.</w:t>
      </w:r>
      <w:r w:rsidRPr="00637EAE">
        <w:rPr>
          <w:rFonts w:ascii="Arial" w:hAnsi="Arial" w:cs="Arial"/>
          <w:b/>
          <w:bCs/>
        </w:rPr>
        <w:t xml:space="preserve"> 1</w:t>
      </w:r>
      <w:r>
        <w:rPr>
          <w:rFonts w:ascii="Arial" w:hAnsi="Arial" w:cs="Arial"/>
          <w:b/>
          <w:bCs/>
        </w:rPr>
        <w:t>.</w:t>
      </w:r>
      <w:r w:rsidRPr="00637EAE">
        <w:rPr>
          <w:rFonts w:ascii="Arial" w:hAnsi="Arial" w:cs="Arial"/>
          <w:b/>
          <w:bCs/>
        </w:rPr>
        <w:t xml:space="preserve"> Post contrast appearance on triphasic CT scan</w:t>
      </w:r>
    </w:p>
    <w:p w14:paraId="4308874A" w14:textId="77777777" w:rsidR="00637EAE" w:rsidRDefault="00637EAE" w:rsidP="00141D03">
      <w:pPr>
        <w:pStyle w:val="Body"/>
        <w:spacing w:after="0"/>
        <w:rPr>
          <w:rFonts w:ascii="Arial" w:hAnsi="Arial" w:cs="Arial"/>
          <w:b/>
          <w:bCs/>
        </w:rPr>
      </w:pPr>
    </w:p>
    <w:p w14:paraId="2473DF0F" w14:textId="4EE6F2D9" w:rsidR="00637EAE" w:rsidRDefault="00637EAE" w:rsidP="00637EAE">
      <w:pPr>
        <w:pStyle w:val="Body"/>
        <w:spacing w:after="0"/>
        <w:rPr>
          <w:rFonts w:ascii="Arial" w:hAnsi="Arial" w:cs="Arial"/>
        </w:rPr>
      </w:pPr>
      <w:r w:rsidRPr="00637EAE">
        <w:rPr>
          <w:rFonts w:ascii="Arial" w:hAnsi="Arial" w:cs="Arial"/>
        </w:rPr>
        <w:t>The enhancement pattern of focal lesions of liver appeared on triphasic CT scan were represented in Table 3. Results depicted that majorly arterial/Venous/Delayed-hypo/hypo/hypo pattern constitutes lesions of simple cysts, hydatid cysts, and metastases in 4, 11, and 3 patients respectively.</w:t>
      </w:r>
    </w:p>
    <w:p w14:paraId="0960AB7D" w14:textId="77777777" w:rsidR="00637EAE" w:rsidRPr="00637EAE" w:rsidRDefault="00637EAE" w:rsidP="00637EAE">
      <w:pPr>
        <w:pStyle w:val="Body"/>
        <w:spacing w:after="0"/>
        <w:rPr>
          <w:rFonts w:ascii="Arial" w:hAnsi="Arial" w:cs="Arial"/>
        </w:rPr>
      </w:pPr>
    </w:p>
    <w:p w14:paraId="4D59D3BE"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Table 3: Enhancement pattern of focal lesions of liver on triphasic CT scan</w:t>
      </w:r>
    </w:p>
    <w:tbl>
      <w:tblPr>
        <w:tblStyle w:val="TableGrid3"/>
        <w:tblW w:w="8512" w:type="dxa"/>
        <w:jc w:val="center"/>
        <w:tblLayout w:type="fixed"/>
        <w:tblLook w:val="04A0" w:firstRow="1" w:lastRow="0" w:firstColumn="1" w:lastColumn="0" w:noHBand="0" w:noVBand="1"/>
      </w:tblPr>
      <w:tblGrid>
        <w:gridCol w:w="3539"/>
        <w:gridCol w:w="3129"/>
        <w:gridCol w:w="1844"/>
      </w:tblGrid>
      <w:tr w:rsidR="00637EAE" w:rsidRPr="00637EAE" w14:paraId="784E5458" w14:textId="77777777" w:rsidTr="00637EAE">
        <w:trPr>
          <w:trHeight w:hRule="exact" w:val="454"/>
          <w:jc w:val="center"/>
        </w:trPr>
        <w:tc>
          <w:tcPr>
            <w:tcW w:w="3539" w:type="dxa"/>
            <w:vAlign w:val="center"/>
          </w:tcPr>
          <w:p w14:paraId="0A1D057B"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Arterial/Venous/Delayed</w:t>
            </w:r>
          </w:p>
        </w:tc>
        <w:tc>
          <w:tcPr>
            <w:tcW w:w="3129" w:type="dxa"/>
            <w:vAlign w:val="center"/>
          </w:tcPr>
          <w:p w14:paraId="1667F0EA"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Lesion</w:t>
            </w:r>
          </w:p>
        </w:tc>
        <w:tc>
          <w:tcPr>
            <w:tcW w:w="1844" w:type="dxa"/>
            <w:vAlign w:val="center"/>
          </w:tcPr>
          <w:p w14:paraId="2C920173"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No. of Patients</w:t>
            </w:r>
          </w:p>
        </w:tc>
      </w:tr>
      <w:tr w:rsidR="00637EAE" w:rsidRPr="00637EAE" w14:paraId="41F94645" w14:textId="77777777" w:rsidTr="00637EAE">
        <w:trPr>
          <w:trHeight w:hRule="exact" w:val="340"/>
          <w:jc w:val="center"/>
        </w:trPr>
        <w:tc>
          <w:tcPr>
            <w:tcW w:w="3539" w:type="dxa"/>
            <w:vMerge w:val="restart"/>
            <w:vAlign w:val="center"/>
          </w:tcPr>
          <w:p w14:paraId="70069D51" w14:textId="77777777" w:rsidR="00637EAE" w:rsidRPr="00637EAE" w:rsidRDefault="00637EAE" w:rsidP="00637EAE">
            <w:pPr>
              <w:contextualSpacing/>
              <w:rPr>
                <w:rFonts w:ascii="Arial" w:eastAsia="Calibri" w:hAnsi="Arial" w:cs="Arial"/>
                <w:kern w:val="2"/>
              </w:rPr>
            </w:pPr>
            <w:bookmarkStart w:id="2" w:name="_Hlk204417244"/>
            <w:r w:rsidRPr="00637EAE">
              <w:rPr>
                <w:rFonts w:ascii="Arial" w:eastAsia="Calibri" w:hAnsi="Arial" w:cs="Arial"/>
                <w:kern w:val="2"/>
              </w:rPr>
              <w:t>Hypo/hypo/hypo</w:t>
            </w:r>
            <w:bookmarkEnd w:id="2"/>
          </w:p>
        </w:tc>
        <w:tc>
          <w:tcPr>
            <w:tcW w:w="3129" w:type="dxa"/>
            <w:vAlign w:val="center"/>
          </w:tcPr>
          <w:p w14:paraId="48CE1540"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Simple cysts</w:t>
            </w:r>
          </w:p>
        </w:tc>
        <w:tc>
          <w:tcPr>
            <w:tcW w:w="1844" w:type="dxa"/>
            <w:vAlign w:val="center"/>
          </w:tcPr>
          <w:p w14:paraId="2512169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4</w:t>
            </w:r>
          </w:p>
        </w:tc>
      </w:tr>
      <w:tr w:rsidR="00637EAE" w:rsidRPr="00637EAE" w14:paraId="0EF946C3" w14:textId="77777777" w:rsidTr="00637EAE">
        <w:trPr>
          <w:trHeight w:hRule="exact" w:val="340"/>
          <w:jc w:val="center"/>
        </w:trPr>
        <w:tc>
          <w:tcPr>
            <w:tcW w:w="3539" w:type="dxa"/>
            <w:vMerge/>
            <w:vAlign w:val="center"/>
          </w:tcPr>
          <w:p w14:paraId="13098D60" w14:textId="77777777" w:rsidR="00637EAE" w:rsidRPr="00637EAE" w:rsidRDefault="00637EAE" w:rsidP="00637EAE">
            <w:pPr>
              <w:contextualSpacing/>
              <w:rPr>
                <w:rFonts w:ascii="Arial" w:eastAsia="Calibri" w:hAnsi="Arial" w:cs="Arial"/>
                <w:kern w:val="2"/>
              </w:rPr>
            </w:pPr>
          </w:p>
        </w:tc>
        <w:tc>
          <w:tcPr>
            <w:tcW w:w="3129" w:type="dxa"/>
            <w:vAlign w:val="center"/>
          </w:tcPr>
          <w:p w14:paraId="70815A3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Hydatid cysts</w:t>
            </w:r>
          </w:p>
        </w:tc>
        <w:tc>
          <w:tcPr>
            <w:tcW w:w="1844" w:type="dxa"/>
            <w:vAlign w:val="center"/>
          </w:tcPr>
          <w:p w14:paraId="2D6ECE9E"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11</w:t>
            </w:r>
          </w:p>
        </w:tc>
      </w:tr>
      <w:tr w:rsidR="00637EAE" w:rsidRPr="00637EAE" w14:paraId="681095CC" w14:textId="77777777" w:rsidTr="00637EAE">
        <w:trPr>
          <w:trHeight w:hRule="exact" w:val="340"/>
          <w:jc w:val="center"/>
        </w:trPr>
        <w:tc>
          <w:tcPr>
            <w:tcW w:w="3539" w:type="dxa"/>
            <w:vMerge/>
            <w:vAlign w:val="center"/>
          </w:tcPr>
          <w:p w14:paraId="0C1C65A2" w14:textId="77777777" w:rsidR="00637EAE" w:rsidRPr="00637EAE" w:rsidRDefault="00637EAE" w:rsidP="00637EAE">
            <w:pPr>
              <w:contextualSpacing/>
              <w:rPr>
                <w:rFonts w:ascii="Arial" w:eastAsia="Calibri" w:hAnsi="Arial" w:cs="Arial"/>
                <w:kern w:val="2"/>
              </w:rPr>
            </w:pPr>
          </w:p>
        </w:tc>
        <w:tc>
          <w:tcPr>
            <w:tcW w:w="3129" w:type="dxa"/>
            <w:vAlign w:val="center"/>
          </w:tcPr>
          <w:p w14:paraId="3873B39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Metastases</w:t>
            </w:r>
          </w:p>
        </w:tc>
        <w:tc>
          <w:tcPr>
            <w:tcW w:w="1844" w:type="dxa"/>
            <w:vAlign w:val="center"/>
          </w:tcPr>
          <w:p w14:paraId="49BCB8F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3</w:t>
            </w:r>
          </w:p>
        </w:tc>
      </w:tr>
      <w:tr w:rsidR="00637EAE" w:rsidRPr="00637EAE" w14:paraId="7FE1946F" w14:textId="77777777" w:rsidTr="00637EAE">
        <w:trPr>
          <w:trHeight w:hRule="exact" w:val="340"/>
          <w:jc w:val="center"/>
        </w:trPr>
        <w:tc>
          <w:tcPr>
            <w:tcW w:w="3539" w:type="dxa"/>
            <w:vMerge/>
            <w:vAlign w:val="center"/>
          </w:tcPr>
          <w:p w14:paraId="5F4FAA8B" w14:textId="77777777" w:rsidR="00637EAE" w:rsidRPr="00637EAE" w:rsidRDefault="00637EAE" w:rsidP="00637EAE">
            <w:pPr>
              <w:contextualSpacing/>
              <w:rPr>
                <w:rFonts w:ascii="Arial" w:eastAsia="Calibri" w:hAnsi="Arial" w:cs="Arial"/>
                <w:kern w:val="2"/>
              </w:rPr>
            </w:pPr>
          </w:p>
        </w:tc>
        <w:tc>
          <w:tcPr>
            <w:tcW w:w="3129" w:type="dxa"/>
            <w:vAlign w:val="center"/>
          </w:tcPr>
          <w:p w14:paraId="0E4E84DE" w14:textId="77777777" w:rsidR="00637EAE" w:rsidRPr="00637EAE" w:rsidRDefault="00637EAE" w:rsidP="00637EAE">
            <w:pPr>
              <w:contextualSpacing/>
              <w:rPr>
                <w:rFonts w:ascii="Arial" w:eastAsia="Calibri" w:hAnsi="Arial" w:cs="Arial"/>
                <w:b/>
                <w:bCs/>
                <w:kern w:val="2"/>
              </w:rPr>
            </w:pPr>
            <w:r w:rsidRPr="00637EAE">
              <w:rPr>
                <w:rFonts w:ascii="Arial" w:eastAsia="Calibri" w:hAnsi="Arial" w:cs="Arial"/>
                <w:b/>
                <w:bCs/>
                <w:kern w:val="2"/>
              </w:rPr>
              <w:t>Total</w:t>
            </w:r>
          </w:p>
        </w:tc>
        <w:tc>
          <w:tcPr>
            <w:tcW w:w="1844" w:type="dxa"/>
            <w:vAlign w:val="center"/>
          </w:tcPr>
          <w:p w14:paraId="754C017A" w14:textId="77777777" w:rsidR="00637EAE" w:rsidRPr="00637EAE" w:rsidRDefault="00637EAE" w:rsidP="00637EAE">
            <w:pPr>
              <w:contextualSpacing/>
              <w:rPr>
                <w:rFonts w:ascii="Arial" w:eastAsia="Calibri" w:hAnsi="Arial" w:cs="Arial"/>
                <w:b/>
                <w:bCs/>
                <w:kern w:val="2"/>
              </w:rPr>
            </w:pPr>
            <w:r w:rsidRPr="00637EAE">
              <w:rPr>
                <w:rFonts w:ascii="Arial" w:eastAsia="Calibri" w:hAnsi="Arial" w:cs="Arial"/>
                <w:b/>
                <w:bCs/>
                <w:kern w:val="2"/>
              </w:rPr>
              <w:t>18</w:t>
            </w:r>
          </w:p>
        </w:tc>
      </w:tr>
      <w:tr w:rsidR="00637EAE" w:rsidRPr="00637EAE" w14:paraId="5F38450F" w14:textId="77777777" w:rsidTr="00637EAE">
        <w:trPr>
          <w:trHeight w:hRule="exact" w:val="340"/>
          <w:jc w:val="center"/>
        </w:trPr>
        <w:tc>
          <w:tcPr>
            <w:tcW w:w="3539" w:type="dxa"/>
            <w:vAlign w:val="center"/>
          </w:tcPr>
          <w:p w14:paraId="0C0874E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Hyper/hypo/hypo</w:t>
            </w:r>
          </w:p>
        </w:tc>
        <w:tc>
          <w:tcPr>
            <w:tcW w:w="3129" w:type="dxa"/>
            <w:vAlign w:val="center"/>
          </w:tcPr>
          <w:p w14:paraId="3B7A01F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52AA02BF"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5</w:t>
            </w:r>
          </w:p>
        </w:tc>
      </w:tr>
      <w:tr w:rsidR="00637EAE" w:rsidRPr="00637EAE" w14:paraId="179AB106" w14:textId="77777777" w:rsidTr="00637EAE">
        <w:trPr>
          <w:trHeight w:hRule="exact" w:val="340"/>
          <w:jc w:val="center"/>
        </w:trPr>
        <w:tc>
          <w:tcPr>
            <w:tcW w:w="3539" w:type="dxa"/>
            <w:vAlign w:val="center"/>
          </w:tcPr>
          <w:p w14:paraId="0CBE2AF7"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Hyper/Hyper/hypo</w:t>
            </w:r>
          </w:p>
        </w:tc>
        <w:tc>
          <w:tcPr>
            <w:tcW w:w="3129" w:type="dxa"/>
            <w:vAlign w:val="center"/>
          </w:tcPr>
          <w:p w14:paraId="76830963"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Metastases</w:t>
            </w:r>
          </w:p>
        </w:tc>
        <w:tc>
          <w:tcPr>
            <w:tcW w:w="1844" w:type="dxa"/>
            <w:vAlign w:val="center"/>
          </w:tcPr>
          <w:p w14:paraId="1C0C1BFE"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4</w:t>
            </w:r>
          </w:p>
        </w:tc>
      </w:tr>
      <w:tr w:rsidR="00637EAE" w:rsidRPr="00637EAE" w14:paraId="44653E86" w14:textId="77777777" w:rsidTr="00637EAE">
        <w:trPr>
          <w:trHeight w:hRule="exact" w:val="340"/>
          <w:jc w:val="center"/>
        </w:trPr>
        <w:tc>
          <w:tcPr>
            <w:tcW w:w="3539" w:type="dxa"/>
            <w:vAlign w:val="center"/>
          </w:tcPr>
          <w:p w14:paraId="2485ED2D"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Hyper/iso/hypo</w:t>
            </w:r>
          </w:p>
        </w:tc>
        <w:tc>
          <w:tcPr>
            <w:tcW w:w="3129" w:type="dxa"/>
            <w:vAlign w:val="center"/>
          </w:tcPr>
          <w:p w14:paraId="40E8A174"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3786AB45"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3</w:t>
            </w:r>
          </w:p>
        </w:tc>
      </w:tr>
      <w:tr w:rsidR="00637EAE" w:rsidRPr="00637EAE" w14:paraId="6970955E" w14:textId="77777777" w:rsidTr="00637EAE">
        <w:trPr>
          <w:trHeight w:hRule="exact" w:val="340"/>
          <w:jc w:val="center"/>
        </w:trPr>
        <w:tc>
          <w:tcPr>
            <w:tcW w:w="3539" w:type="dxa"/>
            <w:vAlign w:val="center"/>
          </w:tcPr>
          <w:p w14:paraId="7B1C66F4"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Iso/hyper/iso</w:t>
            </w:r>
          </w:p>
        </w:tc>
        <w:tc>
          <w:tcPr>
            <w:tcW w:w="3129" w:type="dxa"/>
            <w:vAlign w:val="center"/>
          </w:tcPr>
          <w:p w14:paraId="0BA69B6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11A45C2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w:t>
            </w:r>
          </w:p>
        </w:tc>
      </w:tr>
      <w:tr w:rsidR="00637EAE" w:rsidRPr="00637EAE" w14:paraId="010BC725" w14:textId="77777777" w:rsidTr="00637EAE">
        <w:trPr>
          <w:trHeight w:hRule="exact" w:val="340"/>
          <w:jc w:val="center"/>
        </w:trPr>
        <w:tc>
          <w:tcPr>
            <w:tcW w:w="3539" w:type="dxa"/>
            <w:vAlign w:val="center"/>
          </w:tcPr>
          <w:p w14:paraId="1F1F166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Hyper(rim)/hyper(rim)/hyper(rim)</w:t>
            </w:r>
          </w:p>
        </w:tc>
        <w:tc>
          <w:tcPr>
            <w:tcW w:w="3129" w:type="dxa"/>
            <w:vAlign w:val="center"/>
          </w:tcPr>
          <w:p w14:paraId="06AA824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Abscess</w:t>
            </w:r>
          </w:p>
        </w:tc>
        <w:tc>
          <w:tcPr>
            <w:tcW w:w="1844" w:type="dxa"/>
            <w:vAlign w:val="center"/>
          </w:tcPr>
          <w:p w14:paraId="565474A5"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7</w:t>
            </w:r>
          </w:p>
        </w:tc>
      </w:tr>
      <w:tr w:rsidR="00637EAE" w:rsidRPr="00637EAE" w14:paraId="1F5B13D7" w14:textId="77777777" w:rsidTr="00637EAE">
        <w:trPr>
          <w:trHeight w:hRule="exact" w:val="397"/>
          <w:jc w:val="center"/>
        </w:trPr>
        <w:tc>
          <w:tcPr>
            <w:tcW w:w="3539" w:type="dxa"/>
            <w:vAlign w:val="center"/>
          </w:tcPr>
          <w:p w14:paraId="3BE38AD1"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Hyper/hyper/hyper</w:t>
            </w:r>
          </w:p>
        </w:tc>
        <w:tc>
          <w:tcPr>
            <w:tcW w:w="3129" w:type="dxa"/>
            <w:vAlign w:val="center"/>
          </w:tcPr>
          <w:p w14:paraId="23514C7F"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Typical haemangioma</w:t>
            </w:r>
          </w:p>
        </w:tc>
        <w:tc>
          <w:tcPr>
            <w:tcW w:w="1844" w:type="dxa"/>
            <w:vAlign w:val="center"/>
          </w:tcPr>
          <w:p w14:paraId="00F0578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8</w:t>
            </w:r>
          </w:p>
        </w:tc>
      </w:tr>
      <w:tr w:rsidR="00637EAE" w:rsidRPr="00637EAE" w14:paraId="7CBC98A9" w14:textId="77777777" w:rsidTr="00637EAE">
        <w:trPr>
          <w:trHeight w:hRule="exact" w:val="397"/>
          <w:jc w:val="center"/>
        </w:trPr>
        <w:tc>
          <w:tcPr>
            <w:tcW w:w="3539" w:type="dxa"/>
            <w:vAlign w:val="center"/>
          </w:tcPr>
          <w:p w14:paraId="0414D64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Iso/hyper/hyper</w:t>
            </w:r>
          </w:p>
        </w:tc>
        <w:tc>
          <w:tcPr>
            <w:tcW w:w="3129" w:type="dxa"/>
            <w:vAlign w:val="center"/>
          </w:tcPr>
          <w:p w14:paraId="2E6C54F7"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Atypical haemangioma</w:t>
            </w:r>
          </w:p>
        </w:tc>
        <w:tc>
          <w:tcPr>
            <w:tcW w:w="1844" w:type="dxa"/>
            <w:vAlign w:val="center"/>
          </w:tcPr>
          <w:p w14:paraId="0D0465A8"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2</w:t>
            </w:r>
          </w:p>
        </w:tc>
      </w:tr>
      <w:tr w:rsidR="00637EAE" w:rsidRPr="00637EAE" w14:paraId="2635F484" w14:textId="77777777" w:rsidTr="00637EAE">
        <w:trPr>
          <w:trHeight w:hRule="exact" w:val="567"/>
          <w:jc w:val="center"/>
        </w:trPr>
        <w:tc>
          <w:tcPr>
            <w:tcW w:w="3539" w:type="dxa"/>
            <w:vAlign w:val="center"/>
          </w:tcPr>
          <w:p w14:paraId="6A397D8C" w14:textId="023449C4"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Nodular</w:t>
            </w:r>
            <w:r>
              <w:rPr>
                <w:rFonts w:ascii="Arial" w:eastAsia="Calibri" w:hAnsi="Arial" w:cs="Arial"/>
                <w:kern w:val="2"/>
              </w:rPr>
              <w:t xml:space="preserve"> </w:t>
            </w:r>
            <w:r w:rsidRPr="00637EAE">
              <w:rPr>
                <w:rFonts w:ascii="Arial" w:eastAsia="Calibri" w:hAnsi="Arial" w:cs="Arial"/>
                <w:kern w:val="2"/>
              </w:rPr>
              <w:t>hyper(rim)/Nodular hyper(rim)/Nodular hyper (rim)</w:t>
            </w:r>
          </w:p>
        </w:tc>
        <w:tc>
          <w:tcPr>
            <w:tcW w:w="3129" w:type="dxa"/>
            <w:vAlign w:val="center"/>
          </w:tcPr>
          <w:p w14:paraId="3A92468A"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Atypical haemangioma</w:t>
            </w:r>
          </w:p>
        </w:tc>
        <w:tc>
          <w:tcPr>
            <w:tcW w:w="1844" w:type="dxa"/>
            <w:vAlign w:val="center"/>
          </w:tcPr>
          <w:p w14:paraId="18A8FE71"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w:t>
            </w:r>
          </w:p>
        </w:tc>
      </w:tr>
      <w:tr w:rsidR="00637EAE" w:rsidRPr="00637EAE" w14:paraId="54F998E8" w14:textId="77777777" w:rsidTr="00637EAE">
        <w:trPr>
          <w:trHeight w:hRule="exact" w:val="567"/>
          <w:jc w:val="center"/>
        </w:trPr>
        <w:tc>
          <w:tcPr>
            <w:tcW w:w="3539" w:type="dxa"/>
            <w:vAlign w:val="center"/>
          </w:tcPr>
          <w:p w14:paraId="7EF2400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Iso/hyper(rim)/hyper(rim)</w:t>
            </w:r>
          </w:p>
        </w:tc>
        <w:tc>
          <w:tcPr>
            <w:tcW w:w="3129" w:type="dxa"/>
            <w:vAlign w:val="center"/>
          </w:tcPr>
          <w:p w14:paraId="2E8EF86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 xml:space="preserve">Intra hepatic cholangio </w:t>
            </w:r>
          </w:p>
          <w:p w14:paraId="3DDB5EC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carcinoma</w:t>
            </w:r>
          </w:p>
        </w:tc>
        <w:tc>
          <w:tcPr>
            <w:tcW w:w="1844" w:type="dxa"/>
            <w:vAlign w:val="center"/>
          </w:tcPr>
          <w:p w14:paraId="23CEF0D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w:t>
            </w:r>
          </w:p>
        </w:tc>
      </w:tr>
    </w:tbl>
    <w:p w14:paraId="542660F8" w14:textId="28D934A5" w:rsidR="00637EAE" w:rsidRDefault="00637EAE" w:rsidP="00637EAE">
      <w:pPr>
        <w:pStyle w:val="Body"/>
        <w:spacing w:after="0"/>
        <w:rPr>
          <w:rFonts w:ascii="Arial" w:hAnsi="Arial" w:cs="Arial"/>
        </w:rPr>
      </w:pPr>
      <w:r w:rsidRPr="00637EAE">
        <w:rPr>
          <w:rFonts w:ascii="Arial" w:hAnsi="Arial" w:cs="Arial"/>
        </w:rPr>
        <w:lastRenderedPageBreak/>
        <w:t>The enhancement patterns and respective diagnosis appeared on triphasic CT scan were listed in Table 4 and illustrated Fig</w:t>
      </w:r>
      <w:r>
        <w:rPr>
          <w:rFonts w:ascii="Arial" w:hAnsi="Arial" w:cs="Arial"/>
        </w:rPr>
        <w:t>.</w:t>
      </w:r>
      <w:r w:rsidRPr="00637EAE">
        <w:rPr>
          <w:rFonts w:ascii="Arial" w:hAnsi="Arial" w:cs="Arial"/>
        </w:rPr>
        <w:t xml:space="preserve"> 2. Majorly homogenous enhancement patterns were appeared on triphasic CT scan, and which are diagnosed with hepatocellular carcinoma, metastasis, and haemangioma in 3, 4, and 3 patients respectively.</w:t>
      </w:r>
    </w:p>
    <w:p w14:paraId="12B2D84B" w14:textId="77777777" w:rsidR="00637EAE" w:rsidRPr="00637EAE" w:rsidRDefault="00637EAE" w:rsidP="00637EAE">
      <w:pPr>
        <w:pStyle w:val="Body"/>
        <w:spacing w:after="0"/>
        <w:rPr>
          <w:rFonts w:ascii="Arial" w:hAnsi="Arial" w:cs="Arial"/>
        </w:rPr>
      </w:pPr>
    </w:p>
    <w:p w14:paraId="141FD2D3"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Table 4: Arterial phase enhancement pattern appeared on triphasic CT scan</w:t>
      </w:r>
    </w:p>
    <w:tbl>
      <w:tblPr>
        <w:tblStyle w:val="TableGrid4"/>
        <w:tblW w:w="0" w:type="auto"/>
        <w:jc w:val="center"/>
        <w:tblLayout w:type="fixed"/>
        <w:tblLook w:val="04A0" w:firstRow="1" w:lastRow="0" w:firstColumn="1" w:lastColumn="0" w:noHBand="0" w:noVBand="1"/>
      </w:tblPr>
      <w:tblGrid>
        <w:gridCol w:w="4106"/>
        <w:gridCol w:w="2562"/>
        <w:gridCol w:w="1844"/>
      </w:tblGrid>
      <w:tr w:rsidR="00637EAE" w:rsidRPr="00637EAE" w14:paraId="52F800ED" w14:textId="77777777" w:rsidTr="0010419D">
        <w:trPr>
          <w:trHeight w:hRule="exact" w:val="454"/>
          <w:jc w:val="center"/>
        </w:trPr>
        <w:tc>
          <w:tcPr>
            <w:tcW w:w="4106" w:type="dxa"/>
            <w:vAlign w:val="center"/>
          </w:tcPr>
          <w:p w14:paraId="23E7B408"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Enhancement pattern</w:t>
            </w:r>
          </w:p>
        </w:tc>
        <w:tc>
          <w:tcPr>
            <w:tcW w:w="2562" w:type="dxa"/>
            <w:vAlign w:val="center"/>
          </w:tcPr>
          <w:p w14:paraId="0AF26669"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Diagnosis</w:t>
            </w:r>
          </w:p>
        </w:tc>
        <w:tc>
          <w:tcPr>
            <w:tcW w:w="1844" w:type="dxa"/>
            <w:vAlign w:val="center"/>
          </w:tcPr>
          <w:p w14:paraId="104F72E9"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No. of Patients</w:t>
            </w:r>
          </w:p>
        </w:tc>
      </w:tr>
      <w:tr w:rsidR="00637EAE" w:rsidRPr="00637EAE" w14:paraId="2726A596" w14:textId="77777777" w:rsidTr="0010419D">
        <w:trPr>
          <w:trHeight w:hRule="exact" w:val="397"/>
          <w:jc w:val="center"/>
        </w:trPr>
        <w:tc>
          <w:tcPr>
            <w:tcW w:w="4106" w:type="dxa"/>
            <w:vMerge w:val="restart"/>
            <w:vAlign w:val="center"/>
          </w:tcPr>
          <w:p w14:paraId="0F486B5A"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Homogenous</w:t>
            </w:r>
          </w:p>
        </w:tc>
        <w:tc>
          <w:tcPr>
            <w:tcW w:w="2562" w:type="dxa"/>
            <w:vAlign w:val="center"/>
          </w:tcPr>
          <w:p w14:paraId="684B1AB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HCC</w:t>
            </w:r>
          </w:p>
        </w:tc>
        <w:tc>
          <w:tcPr>
            <w:tcW w:w="1844" w:type="dxa"/>
            <w:vAlign w:val="center"/>
          </w:tcPr>
          <w:p w14:paraId="244C88BE"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53D2DB54" w14:textId="77777777" w:rsidTr="0010419D">
        <w:trPr>
          <w:trHeight w:hRule="exact" w:val="397"/>
          <w:jc w:val="center"/>
        </w:trPr>
        <w:tc>
          <w:tcPr>
            <w:tcW w:w="4106" w:type="dxa"/>
            <w:vMerge/>
            <w:vAlign w:val="center"/>
          </w:tcPr>
          <w:p w14:paraId="10AB26B0"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10F7F47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Metastasis</w:t>
            </w:r>
          </w:p>
        </w:tc>
        <w:tc>
          <w:tcPr>
            <w:tcW w:w="1844" w:type="dxa"/>
            <w:vAlign w:val="center"/>
          </w:tcPr>
          <w:p w14:paraId="1369905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4</w:t>
            </w:r>
          </w:p>
        </w:tc>
      </w:tr>
      <w:tr w:rsidR="00637EAE" w:rsidRPr="00637EAE" w14:paraId="6DD6D2D4" w14:textId="77777777" w:rsidTr="0010419D">
        <w:trPr>
          <w:trHeight w:hRule="exact" w:val="397"/>
          <w:jc w:val="center"/>
        </w:trPr>
        <w:tc>
          <w:tcPr>
            <w:tcW w:w="4106" w:type="dxa"/>
            <w:vMerge/>
            <w:vAlign w:val="center"/>
          </w:tcPr>
          <w:p w14:paraId="5B35062C"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1C3AABF7"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11E3DE60"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7BB580A7" w14:textId="77777777" w:rsidTr="0010419D">
        <w:trPr>
          <w:trHeight w:hRule="exact" w:val="397"/>
          <w:jc w:val="center"/>
        </w:trPr>
        <w:tc>
          <w:tcPr>
            <w:tcW w:w="4106" w:type="dxa"/>
            <w:vAlign w:val="center"/>
          </w:tcPr>
          <w:p w14:paraId="6562F39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Abnormal internal vessels or variegated</w:t>
            </w:r>
          </w:p>
        </w:tc>
        <w:tc>
          <w:tcPr>
            <w:tcW w:w="2562" w:type="dxa"/>
            <w:vAlign w:val="center"/>
          </w:tcPr>
          <w:p w14:paraId="2026F8E4"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HCC</w:t>
            </w:r>
          </w:p>
        </w:tc>
        <w:tc>
          <w:tcPr>
            <w:tcW w:w="1844" w:type="dxa"/>
            <w:vAlign w:val="center"/>
          </w:tcPr>
          <w:p w14:paraId="1226F5EF"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6</w:t>
            </w:r>
          </w:p>
        </w:tc>
      </w:tr>
      <w:tr w:rsidR="00637EAE" w:rsidRPr="00637EAE" w14:paraId="1556D48F" w14:textId="77777777" w:rsidTr="0010419D">
        <w:trPr>
          <w:trHeight w:hRule="exact" w:val="397"/>
          <w:jc w:val="center"/>
        </w:trPr>
        <w:tc>
          <w:tcPr>
            <w:tcW w:w="4106" w:type="dxa"/>
            <w:vAlign w:val="center"/>
          </w:tcPr>
          <w:p w14:paraId="7D1574A9"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Complete ring</w:t>
            </w:r>
          </w:p>
        </w:tc>
        <w:tc>
          <w:tcPr>
            <w:tcW w:w="2562" w:type="dxa"/>
            <w:vAlign w:val="center"/>
          </w:tcPr>
          <w:p w14:paraId="3B296A1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Abscess</w:t>
            </w:r>
          </w:p>
        </w:tc>
        <w:tc>
          <w:tcPr>
            <w:tcW w:w="1844" w:type="dxa"/>
            <w:vAlign w:val="center"/>
          </w:tcPr>
          <w:p w14:paraId="3ED8919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7</w:t>
            </w:r>
          </w:p>
        </w:tc>
      </w:tr>
      <w:tr w:rsidR="00637EAE" w:rsidRPr="00637EAE" w14:paraId="70582D4A" w14:textId="77777777" w:rsidTr="0010419D">
        <w:trPr>
          <w:trHeight w:hRule="exact" w:val="397"/>
          <w:jc w:val="center"/>
        </w:trPr>
        <w:tc>
          <w:tcPr>
            <w:tcW w:w="4106" w:type="dxa"/>
            <w:vAlign w:val="center"/>
          </w:tcPr>
          <w:p w14:paraId="3F251EFB"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Peripheral nodular</w:t>
            </w:r>
          </w:p>
        </w:tc>
        <w:tc>
          <w:tcPr>
            <w:tcW w:w="2562" w:type="dxa"/>
            <w:vAlign w:val="center"/>
          </w:tcPr>
          <w:p w14:paraId="0E22636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584BD5D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6</w:t>
            </w:r>
          </w:p>
        </w:tc>
      </w:tr>
      <w:tr w:rsidR="00637EAE" w:rsidRPr="00637EAE" w14:paraId="610B4BDA" w14:textId="77777777" w:rsidTr="0010419D">
        <w:trPr>
          <w:trHeight w:hRule="exact" w:val="397"/>
          <w:jc w:val="center"/>
        </w:trPr>
        <w:tc>
          <w:tcPr>
            <w:tcW w:w="4106" w:type="dxa"/>
            <w:vAlign w:val="center"/>
          </w:tcPr>
          <w:p w14:paraId="01CE5DF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No enhancement</w:t>
            </w:r>
          </w:p>
        </w:tc>
        <w:tc>
          <w:tcPr>
            <w:tcW w:w="2562" w:type="dxa"/>
            <w:vAlign w:val="center"/>
          </w:tcPr>
          <w:p w14:paraId="64F72D09"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Simple cysts</w:t>
            </w:r>
          </w:p>
        </w:tc>
        <w:tc>
          <w:tcPr>
            <w:tcW w:w="1844" w:type="dxa"/>
            <w:vAlign w:val="center"/>
          </w:tcPr>
          <w:p w14:paraId="7987927A"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4</w:t>
            </w:r>
          </w:p>
        </w:tc>
      </w:tr>
      <w:tr w:rsidR="00637EAE" w:rsidRPr="00637EAE" w14:paraId="453458A9" w14:textId="77777777" w:rsidTr="0010419D">
        <w:trPr>
          <w:trHeight w:hRule="exact" w:val="397"/>
          <w:jc w:val="center"/>
        </w:trPr>
        <w:tc>
          <w:tcPr>
            <w:tcW w:w="4106" w:type="dxa"/>
            <w:vAlign w:val="center"/>
          </w:tcPr>
          <w:p w14:paraId="0969DC04"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3D2A358F"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Metastasis</w:t>
            </w:r>
          </w:p>
        </w:tc>
        <w:tc>
          <w:tcPr>
            <w:tcW w:w="1844" w:type="dxa"/>
            <w:vAlign w:val="center"/>
          </w:tcPr>
          <w:p w14:paraId="175579F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0C34308A" w14:textId="77777777" w:rsidTr="0010419D">
        <w:trPr>
          <w:trHeight w:hRule="exact" w:val="397"/>
          <w:jc w:val="center"/>
        </w:trPr>
        <w:tc>
          <w:tcPr>
            <w:tcW w:w="4106" w:type="dxa"/>
            <w:vAlign w:val="center"/>
          </w:tcPr>
          <w:p w14:paraId="043A2F21"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472EAF66"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Hydatid cyst</w:t>
            </w:r>
          </w:p>
        </w:tc>
        <w:tc>
          <w:tcPr>
            <w:tcW w:w="1844" w:type="dxa"/>
            <w:vAlign w:val="center"/>
          </w:tcPr>
          <w:p w14:paraId="650BAE8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11</w:t>
            </w:r>
          </w:p>
        </w:tc>
      </w:tr>
      <w:tr w:rsidR="00637EAE" w:rsidRPr="00637EAE" w14:paraId="1247E92E" w14:textId="77777777" w:rsidTr="0010419D">
        <w:trPr>
          <w:trHeight w:hRule="exact" w:val="397"/>
          <w:jc w:val="center"/>
        </w:trPr>
        <w:tc>
          <w:tcPr>
            <w:tcW w:w="4106" w:type="dxa"/>
            <w:vAlign w:val="center"/>
          </w:tcPr>
          <w:p w14:paraId="4936E564"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5A0AFD3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72A07F7E"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2</w:t>
            </w:r>
          </w:p>
        </w:tc>
      </w:tr>
      <w:tr w:rsidR="00637EAE" w:rsidRPr="00637EAE" w14:paraId="79F60617" w14:textId="77777777" w:rsidTr="0010419D">
        <w:trPr>
          <w:trHeight w:hRule="exact" w:val="567"/>
          <w:jc w:val="center"/>
        </w:trPr>
        <w:tc>
          <w:tcPr>
            <w:tcW w:w="4106" w:type="dxa"/>
            <w:vAlign w:val="center"/>
          </w:tcPr>
          <w:p w14:paraId="6BC94C78"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248791BB"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 xml:space="preserve">Intrahepatic cholangio </w:t>
            </w:r>
          </w:p>
          <w:p w14:paraId="7FEE6967"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carcinoma</w:t>
            </w:r>
          </w:p>
        </w:tc>
        <w:tc>
          <w:tcPr>
            <w:tcW w:w="1844" w:type="dxa"/>
            <w:vAlign w:val="center"/>
          </w:tcPr>
          <w:p w14:paraId="784E96A4"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w:t>
            </w:r>
          </w:p>
        </w:tc>
      </w:tr>
    </w:tbl>
    <w:p w14:paraId="6E548B93" w14:textId="77777777" w:rsidR="00637EAE" w:rsidRPr="00637EAE" w:rsidRDefault="00637EAE" w:rsidP="00637EAE">
      <w:pPr>
        <w:spacing w:line="480" w:lineRule="auto"/>
        <w:jc w:val="both"/>
        <w:rPr>
          <w:rFonts w:ascii="Arial" w:eastAsia="Calibri" w:hAnsi="Arial" w:cs="Arial"/>
          <w:kern w:val="2"/>
        </w:rPr>
      </w:pPr>
      <w:r w:rsidRPr="00637EAE">
        <w:rPr>
          <w:rFonts w:ascii="Arial" w:eastAsia="Calibri" w:hAnsi="Arial" w:cs="Arial"/>
          <w:kern w:val="2"/>
        </w:rPr>
        <w:t xml:space="preserve">HCC, Hepatocellular carcinoma </w:t>
      </w:r>
    </w:p>
    <w:p w14:paraId="3C7B83E8" w14:textId="7242D40A" w:rsidR="00637EAE" w:rsidRPr="00637EAE" w:rsidRDefault="00090F21" w:rsidP="00090F21">
      <w:pPr>
        <w:contextualSpacing/>
        <w:jc w:val="both"/>
        <w:rPr>
          <w:rFonts w:ascii="Times New Roman" w:eastAsia="Calibri" w:hAnsi="Times New Roman"/>
          <w:color w:val="7030A0"/>
          <w:kern w:val="2"/>
          <w:sz w:val="24"/>
          <w:szCs w:val="24"/>
        </w:rPr>
      </w:pPr>
      <w:r w:rsidRPr="00637EAE">
        <w:rPr>
          <w:rFonts w:ascii="Times New Roman" w:eastAsia="Calibri" w:hAnsi="Times New Roman"/>
          <w:noProof/>
          <w:color w:val="7030A0"/>
          <w:kern w:val="2"/>
          <w:sz w:val="24"/>
          <w:szCs w:val="24"/>
        </w:rPr>
        <w:drawing>
          <wp:inline distT="0" distB="0" distL="0" distR="0" wp14:anchorId="08CD6844" wp14:editId="4B882CBF">
            <wp:extent cx="3863340" cy="3113090"/>
            <wp:effectExtent l="0" t="0" r="0" b="0"/>
            <wp:docPr id="655043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3340" cy="3113090"/>
                    </a:xfrm>
                    <a:prstGeom prst="rect">
                      <a:avLst/>
                    </a:prstGeom>
                    <a:noFill/>
                  </pic:spPr>
                </pic:pic>
              </a:graphicData>
            </a:graphic>
          </wp:inline>
        </w:drawing>
      </w:r>
      <w:r w:rsidR="00637EAE" w:rsidRPr="00637EAE">
        <w:rPr>
          <w:rFonts w:ascii="Times New Roman" w:eastAsia="Calibri" w:hAnsi="Times New Roman"/>
          <w:color w:val="7030A0"/>
          <w:kern w:val="2"/>
          <w:sz w:val="24"/>
          <w:szCs w:val="24"/>
        </w:rPr>
        <w:tab/>
      </w:r>
    </w:p>
    <w:p w14:paraId="69803EB5" w14:textId="77777777" w:rsidR="00637EAE" w:rsidRPr="00637EAE" w:rsidRDefault="00637EAE" w:rsidP="00E0526D">
      <w:pPr>
        <w:jc w:val="both"/>
        <w:rPr>
          <w:rFonts w:ascii="Times New Roman" w:eastAsia="Calibri" w:hAnsi="Times New Roman"/>
          <w:b/>
          <w:bCs/>
          <w:kern w:val="2"/>
          <w:sz w:val="24"/>
          <w:szCs w:val="24"/>
        </w:rPr>
      </w:pPr>
      <w:r w:rsidRPr="00637EAE">
        <w:rPr>
          <w:rFonts w:ascii="Times New Roman" w:eastAsia="Calibri" w:hAnsi="Times New Roman"/>
          <w:b/>
          <w:bCs/>
          <w:kern w:val="2"/>
          <w:sz w:val="24"/>
          <w:szCs w:val="24"/>
        </w:rPr>
        <w:t>Figure 2. Arterial phase enhancement pattern appeared on triphasic CT scan</w:t>
      </w:r>
    </w:p>
    <w:p w14:paraId="77F2A760" w14:textId="77777777" w:rsidR="00637EAE" w:rsidRPr="00637EAE" w:rsidRDefault="00637EAE" w:rsidP="00637EAE">
      <w:pPr>
        <w:jc w:val="both"/>
        <w:rPr>
          <w:rFonts w:ascii="Times New Roman" w:eastAsia="Calibri" w:hAnsi="Times New Roman"/>
          <w:kern w:val="2"/>
        </w:rPr>
      </w:pPr>
      <w:r w:rsidRPr="00637EAE">
        <w:rPr>
          <w:rFonts w:ascii="Times New Roman" w:eastAsia="Calibri" w:hAnsi="Times New Roman"/>
          <w:kern w:val="2"/>
        </w:rPr>
        <w:t>Hepatocellular carcinoma (A); Metastasis (B); Hemangioma (C); Hydatid cyst (D)</w:t>
      </w:r>
    </w:p>
    <w:p w14:paraId="29886C12" w14:textId="084D4358" w:rsidR="00AA32A7" w:rsidRDefault="00AA32A7" w:rsidP="00AA32A7">
      <w:pPr>
        <w:pStyle w:val="Head1"/>
        <w:spacing w:after="0"/>
        <w:jc w:val="both"/>
        <w:rPr>
          <w:rFonts w:ascii="Arial" w:hAnsi="Arial" w:cs="Arial"/>
        </w:rPr>
      </w:pPr>
      <w:r>
        <w:rPr>
          <w:rFonts w:ascii="Arial" w:hAnsi="Arial" w:cs="Arial"/>
        </w:rPr>
        <w:lastRenderedPageBreak/>
        <w:t>4. discussion</w:t>
      </w:r>
    </w:p>
    <w:p w14:paraId="151EDA8D" w14:textId="77777777" w:rsidR="00AA32A7" w:rsidRDefault="00AA32A7" w:rsidP="00C479A5">
      <w:pPr>
        <w:pStyle w:val="Body"/>
        <w:spacing w:after="0"/>
        <w:rPr>
          <w:rFonts w:ascii="Arial" w:hAnsi="Arial" w:cs="Arial"/>
        </w:rPr>
      </w:pPr>
    </w:p>
    <w:p w14:paraId="21B398B7" w14:textId="24F93E33" w:rsidR="00AD5729" w:rsidRPr="00AD5729" w:rsidRDefault="00AD5729" w:rsidP="00AD5729">
      <w:pPr>
        <w:pStyle w:val="Body"/>
        <w:rPr>
          <w:rFonts w:ascii="Arial" w:hAnsi="Arial" w:cs="Arial"/>
        </w:rPr>
      </w:pPr>
      <w:r w:rsidRPr="00AD5729">
        <w:rPr>
          <w:rFonts w:ascii="Arial" w:hAnsi="Arial" w:cs="Arial"/>
        </w:rPr>
        <w:t>Liver is prone to various diseases including benign and malignant because of its major function of digestion, detoxification and rich blood supply by hepatic artery and portal vein</w:t>
      </w:r>
      <w:r w:rsidR="00BD758E">
        <w:rPr>
          <w:rFonts w:ascii="Arial" w:hAnsi="Arial" w:cs="Arial"/>
        </w:rPr>
        <w:t xml:space="preserve"> (Ahirwar et al., 2016)</w:t>
      </w:r>
      <w:r w:rsidRPr="00AD5729">
        <w:rPr>
          <w:rFonts w:ascii="Arial" w:hAnsi="Arial" w:cs="Arial"/>
        </w:rPr>
        <w:t>. The diagnostic evaluation of liver lesions is critical for accurate clinical management, and imaging plays a pivotal role in this process</w:t>
      </w:r>
      <w:r w:rsidR="00BD758E">
        <w:rPr>
          <w:rFonts w:ascii="Arial" w:hAnsi="Arial" w:cs="Arial"/>
        </w:rPr>
        <w:t xml:space="preserve"> (Adhikari et al., 2024)</w:t>
      </w:r>
      <w:r w:rsidRPr="00AD5729">
        <w:rPr>
          <w:rFonts w:ascii="Arial" w:hAnsi="Arial" w:cs="Arial"/>
        </w:rPr>
        <w:t xml:space="preserve">. Hence, the current prospective observational study involving 50 patients was conducted with the main purpose to assess the diagnostic role of the enhancement pattern of focal liver lesions on triphasic CT in the arterial, portal venous, and delayed phases at our tertiary care centre. </w:t>
      </w:r>
    </w:p>
    <w:p w14:paraId="01F67808" w14:textId="422AAEB4" w:rsidR="00AD5729" w:rsidRPr="00AD5729" w:rsidRDefault="00AD5729" w:rsidP="00AD5729">
      <w:pPr>
        <w:pStyle w:val="Body"/>
        <w:rPr>
          <w:rFonts w:ascii="Arial" w:hAnsi="Arial" w:cs="Arial"/>
        </w:rPr>
      </w:pPr>
      <w:r w:rsidRPr="00AD5729">
        <w:rPr>
          <w:rFonts w:ascii="Arial" w:hAnsi="Arial" w:cs="Arial"/>
        </w:rPr>
        <w:t>In our study majority of the patients i.e., 28% belonged to age group of 41-50 years and 51-60 years with male predominance (68%). These findings were comparable with literature studies reported by various other research investigators. Ahirwar et al., in a hospital based prospective study of 100 cases reported a major proportion of patients (30%) were belonged to age group of 40-50 years with male predominance (54%). These findings were similar to our study findings</w:t>
      </w:r>
      <w:r w:rsidR="00BD758E">
        <w:rPr>
          <w:rFonts w:ascii="Arial" w:hAnsi="Arial" w:cs="Arial"/>
        </w:rPr>
        <w:t xml:space="preserve"> (</w:t>
      </w:r>
      <w:r w:rsidR="00BD758E" w:rsidRPr="00AD5729">
        <w:rPr>
          <w:rFonts w:ascii="Arial" w:hAnsi="Arial" w:cs="Arial"/>
        </w:rPr>
        <w:t>Ahirwar et al.,</w:t>
      </w:r>
      <w:r w:rsidR="00BD758E">
        <w:rPr>
          <w:rFonts w:ascii="Arial" w:hAnsi="Arial" w:cs="Arial"/>
        </w:rPr>
        <w:t xml:space="preserve"> 2016)</w:t>
      </w:r>
      <w:r w:rsidRPr="00AD5729">
        <w:rPr>
          <w:rFonts w:ascii="Arial" w:hAnsi="Arial" w:cs="Arial"/>
        </w:rPr>
        <w:t>. These findings were further supported by Jain et al., wherein authors reported 21.4% of patients in the age group of 41.50 years with male predominance (52.4%)</w:t>
      </w:r>
      <w:r w:rsidR="00BD758E">
        <w:rPr>
          <w:rFonts w:ascii="Arial" w:hAnsi="Arial" w:cs="Arial"/>
        </w:rPr>
        <w:t xml:space="preserve"> (Jain et al., 2019)</w:t>
      </w:r>
      <w:r w:rsidRPr="00AD5729">
        <w:rPr>
          <w:rFonts w:ascii="Arial" w:hAnsi="Arial" w:cs="Arial"/>
        </w:rPr>
        <w:t>.</w:t>
      </w:r>
    </w:p>
    <w:p w14:paraId="67676C52" w14:textId="044D6238" w:rsidR="00AD5729" w:rsidRPr="00AD5729" w:rsidRDefault="00AD5729" w:rsidP="00AD5729">
      <w:pPr>
        <w:pStyle w:val="Body"/>
        <w:rPr>
          <w:rFonts w:ascii="Arial" w:hAnsi="Arial" w:cs="Arial"/>
        </w:rPr>
      </w:pPr>
      <w:r w:rsidRPr="00AD5729">
        <w:rPr>
          <w:rFonts w:ascii="Arial" w:hAnsi="Arial" w:cs="Arial"/>
        </w:rPr>
        <w:t>The top three ranked focal lesions of liver appeared in triphasic CT in our study were found to be hydatid cyst (22%), hemangioma (20%), and hepatocellular carcinoma (18%). These findings were comparable with the previous studies reported by various other researchers. Ahirwar et al., reported largest group i.e., 36% was formed by liver metastases. Second largest group was of hemangioma (23%). Furthermore, Ahirwar et al., reported the most common primary benign and malignant hepatic masses were hemangioma in 23% and HCC in 13% respectively</w:t>
      </w:r>
      <w:r w:rsidR="00BD758E">
        <w:rPr>
          <w:rFonts w:ascii="Arial" w:hAnsi="Arial" w:cs="Arial"/>
        </w:rPr>
        <w:t xml:space="preserve"> (</w:t>
      </w:r>
      <w:r w:rsidR="00BD758E" w:rsidRPr="00AD5729">
        <w:rPr>
          <w:rFonts w:ascii="Arial" w:hAnsi="Arial" w:cs="Arial"/>
        </w:rPr>
        <w:t>Ahirwar et al.,</w:t>
      </w:r>
      <w:r w:rsidR="00BD758E">
        <w:rPr>
          <w:rFonts w:ascii="Arial" w:hAnsi="Arial" w:cs="Arial"/>
        </w:rPr>
        <w:t xml:space="preserve"> 2016)</w:t>
      </w:r>
      <w:r w:rsidRPr="00AD5729">
        <w:rPr>
          <w:rFonts w:ascii="Arial" w:hAnsi="Arial" w:cs="Arial"/>
        </w:rPr>
        <w:t>. Kaushal et al., also reported liver metastasis in 36% of cases, hemangioma in 23% of cases</w:t>
      </w:r>
      <w:r w:rsidR="00BD758E">
        <w:rPr>
          <w:rFonts w:ascii="Arial" w:hAnsi="Arial" w:cs="Arial"/>
        </w:rPr>
        <w:t xml:space="preserve"> (Kaushal et al., 2016)</w:t>
      </w:r>
      <w:r w:rsidRPr="00AD5729">
        <w:rPr>
          <w:rFonts w:ascii="Arial" w:hAnsi="Arial" w:cs="Arial"/>
        </w:rPr>
        <w:t>.</w:t>
      </w:r>
    </w:p>
    <w:p w14:paraId="05B38672" w14:textId="31E69B91" w:rsidR="00AD5729" w:rsidRPr="00AD5729" w:rsidRDefault="00AD5729" w:rsidP="00AD5729">
      <w:pPr>
        <w:pStyle w:val="Body"/>
        <w:rPr>
          <w:rFonts w:ascii="Arial" w:hAnsi="Arial" w:cs="Arial"/>
        </w:rPr>
      </w:pPr>
      <w:r w:rsidRPr="00AD5729">
        <w:rPr>
          <w:rFonts w:ascii="Arial" w:hAnsi="Arial" w:cs="Arial"/>
        </w:rPr>
        <w:t>In our study maximum number of cases showed arterial phase enhancement in 88.8% of our cases that correlated with Cho et. al., study</w:t>
      </w:r>
      <w:r w:rsidR="00BD758E">
        <w:rPr>
          <w:rFonts w:ascii="Arial" w:hAnsi="Arial" w:cs="Arial"/>
        </w:rPr>
        <w:t xml:space="preserve"> (Cho et al., 1996)</w:t>
      </w:r>
      <w:r w:rsidRPr="00AD5729">
        <w:rPr>
          <w:rFonts w:ascii="Arial" w:hAnsi="Arial" w:cs="Arial"/>
        </w:rPr>
        <w:t>. Furthermore, portal vein involvement was noted in 44.4% of cases in our study that correlates with a study carried out by Karahan et al., wherein authors have reported 50% of portal vein involvement</w:t>
      </w:r>
      <w:r w:rsidR="00BD758E">
        <w:rPr>
          <w:rFonts w:ascii="Arial" w:hAnsi="Arial" w:cs="Arial"/>
        </w:rPr>
        <w:t xml:space="preserve"> (Karahan et al., 2003)</w:t>
      </w:r>
      <w:r w:rsidRPr="00AD5729">
        <w:rPr>
          <w:rFonts w:ascii="Arial" w:hAnsi="Arial" w:cs="Arial"/>
        </w:rPr>
        <w:t>. In our study, two atypical hemangiomas showed no enhancement in the arterial phase and started enhancing in portal phase with progressive filling in delayed phase which correlated with observations of Van Leeuwen et al</w:t>
      </w:r>
      <w:r w:rsidR="00DA6664">
        <w:rPr>
          <w:rFonts w:ascii="Arial" w:hAnsi="Arial" w:cs="Arial"/>
        </w:rPr>
        <w:t xml:space="preserve">., </w:t>
      </w:r>
      <w:r w:rsidR="00BD758E">
        <w:rPr>
          <w:rFonts w:ascii="Arial" w:hAnsi="Arial" w:cs="Arial"/>
        </w:rPr>
        <w:t>(1996</w:t>
      </w:r>
      <w:r w:rsidR="00DA6664">
        <w:rPr>
          <w:rFonts w:ascii="Arial" w:hAnsi="Arial" w:cs="Arial"/>
        </w:rPr>
        <w:t>)</w:t>
      </w:r>
      <w:r w:rsidRPr="00AD5729">
        <w:rPr>
          <w:rFonts w:ascii="Arial" w:hAnsi="Arial" w:cs="Arial"/>
        </w:rPr>
        <w:t>.</w:t>
      </w:r>
    </w:p>
    <w:p w14:paraId="5339892C" w14:textId="04402540" w:rsidR="00AD5729" w:rsidRPr="00AD5729" w:rsidRDefault="00AD5729" w:rsidP="00AD5729">
      <w:pPr>
        <w:pStyle w:val="Body"/>
        <w:rPr>
          <w:rFonts w:ascii="Arial" w:hAnsi="Arial" w:cs="Arial"/>
        </w:rPr>
      </w:pPr>
      <w:r w:rsidRPr="00AD5729">
        <w:rPr>
          <w:rFonts w:ascii="Arial" w:hAnsi="Arial" w:cs="Arial"/>
        </w:rPr>
        <w:t>In our study, 6 patients with metastasis could be characterized by triple-phase CT alone. One patient with metastasis from mesothelioma is diagnosed as multiple abscesses with differential being metastases which necessitated histopathological confirmation. Soyer et al., in a study of triple-phase helical CT of the liver, demonstrated that the portal-dominant phase imaging, depicted significantly more hypovascular hepatic metastases than unenhanced or arterial-dominant phase imaging</w:t>
      </w:r>
      <w:r w:rsidR="00DA6664">
        <w:rPr>
          <w:rFonts w:ascii="Arial" w:hAnsi="Arial" w:cs="Arial"/>
        </w:rPr>
        <w:t xml:space="preserve"> (Soyer et al., 2004)</w:t>
      </w:r>
      <w:r w:rsidRPr="00AD5729">
        <w:rPr>
          <w:rFonts w:ascii="Arial" w:hAnsi="Arial" w:cs="Arial"/>
        </w:rPr>
        <w:t>.</w:t>
      </w:r>
    </w:p>
    <w:p w14:paraId="61503AF1" w14:textId="644F0C99" w:rsidR="00AD5729" w:rsidRPr="00AD5729" w:rsidRDefault="00AD5729" w:rsidP="00AD5729">
      <w:pPr>
        <w:pStyle w:val="Body"/>
        <w:rPr>
          <w:rFonts w:ascii="Arial" w:hAnsi="Arial" w:cs="Arial"/>
        </w:rPr>
      </w:pPr>
      <w:r w:rsidRPr="00AD5729">
        <w:rPr>
          <w:rFonts w:ascii="Arial" w:hAnsi="Arial" w:cs="Arial"/>
        </w:rPr>
        <w:t>In our study, there were 14% cases of abscesses, all of which showed peripheral rim enhancement and a cent percent PPV for the complete ring enhancement pattern. Confirmation was made by aspiration of pus from the abscesses and pus culture. Mortele and Ros, in their study of focal cystic lesions of the liver, have described abscesses as usually thick-walled lesions with homogeneous low attenuation at CT. In addition to the enhancing abscess wall, contrast-enhanced CT typically shows increased peripheral rim enhancement, which is secondary to increased capillary permeability in the surrounding liver parenchyma</w:t>
      </w:r>
      <w:r w:rsidR="00DA6664">
        <w:rPr>
          <w:rFonts w:ascii="Arial" w:hAnsi="Arial" w:cs="Arial"/>
        </w:rPr>
        <w:t xml:space="preserve"> (Mortele &amp; Ross, 2001)</w:t>
      </w:r>
      <w:r w:rsidRPr="00AD5729">
        <w:rPr>
          <w:rFonts w:ascii="Arial" w:hAnsi="Arial" w:cs="Arial"/>
        </w:rPr>
        <w:t>.</w:t>
      </w:r>
    </w:p>
    <w:p w14:paraId="5DF22736" w14:textId="10D913DA" w:rsidR="00AD5729" w:rsidRPr="00AD5729" w:rsidRDefault="00AD5729" w:rsidP="00AD5729">
      <w:pPr>
        <w:pStyle w:val="Body"/>
        <w:rPr>
          <w:rFonts w:ascii="Arial" w:hAnsi="Arial" w:cs="Arial"/>
        </w:rPr>
      </w:pPr>
      <w:r w:rsidRPr="00AD5729">
        <w:rPr>
          <w:rFonts w:ascii="Arial" w:hAnsi="Arial" w:cs="Arial"/>
        </w:rPr>
        <w:lastRenderedPageBreak/>
        <w:t xml:space="preserve">In our study, there were eleven cases of intrahepatic hydatid cyst, which did not enhance on any phase of triple-phase CT; 8 cases showing wall calcification, and in two cases, there was a rupture of the cyst revealing membranous folds representing the peri cyst probably. Daughter cysts are identified in 7 patients. Concurrently, Mortele and Ros have described intrahepatic hydatid cyst at CT as a well-defined hypoattenuating lesion with a distinguishable wall. Coarse calcifications of the wall are present in 50% of cases, and daughter cysts are identified in 75% of cases.21 In the present study, 72% of hydatid cysts showed peripheral wall calcifications, which correlated with a study by Mortele and Ros. </w:t>
      </w:r>
    </w:p>
    <w:p w14:paraId="4A0F8896" w14:textId="0744DA19" w:rsidR="00C479A5" w:rsidRPr="00C479A5" w:rsidRDefault="00AD5729" w:rsidP="00AD5729">
      <w:pPr>
        <w:pStyle w:val="Body"/>
        <w:spacing w:after="0"/>
        <w:rPr>
          <w:rFonts w:ascii="Arial" w:hAnsi="Arial" w:cs="Arial"/>
        </w:rPr>
      </w:pPr>
      <w:r w:rsidRPr="00AD5729">
        <w:rPr>
          <w:rFonts w:ascii="Arial" w:hAnsi="Arial" w:cs="Arial"/>
        </w:rPr>
        <w:t>CT is a sensitive technique in detecting wall calcification. Hepatic cysts are common and are presumed to be present in 2.5% of the population.21 The incidence of simple cysts in the present study is 8% that correlated with a study by Jain et al., wherein researchers have reported 11.9% incidences of simple cysts. The cysts are regular in margin and did not show enhancement in any of the phases on triphasic CT.16</w:t>
      </w:r>
    </w:p>
    <w:p w14:paraId="345CB279" w14:textId="77777777" w:rsidR="006E087A" w:rsidRDefault="006E087A" w:rsidP="00441B6F">
      <w:pPr>
        <w:pStyle w:val="Body"/>
        <w:spacing w:after="0"/>
        <w:rPr>
          <w:rFonts w:ascii="Arial" w:hAnsi="Arial" w:cs="Arial"/>
        </w:rPr>
      </w:pPr>
    </w:p>
    <w:p w14:paraId="72DD67BF" w14:textId="1E13EF3C" w:rsidR="00B01FCD" w:rsidRDefault="00AA32A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2E1F024" w14:textId="77777777" w:rsidR="00790ADA" w:rsidRPr="00FB3A86" w:rsidRDefault="00790ADA" w:rsidP="00441B6F">
      <w:pPr>
        <w:pStyle w:val="ConcHead"/>
        <w:spacing w:after="0"/>
        <w:jc w:val="both"/>
        <w:rPr>
          <w:rFonts w:ascii="Arial" w:hAnsi="Arial" w:cs="Arial"/>
        </w:rPr>
      </w:pPr>
    </w:p>
    <w:p w14:paraId="20C66255" w14:textId="48F0831F" w:rsidR="00B01FCD" w:rsidRDefault="009E1DDC" w:rsidP="00441B6F">
      <w:pPr>
        <w:pStyle w:val="Body"/>
        <w:spacing w:after="0"/>
        <w:rPr>
          <w:rFonts w:ascii="Arial" w:hAnsi="Arial" w:cs="Arial"/>
        </w:rPr>
      </w:pPr>
      <w:r w:rsidRPr="009E1DDC">
        <w:rPr>
          <w:rFonts w:ascii="Arial" w:hAnsi="Arial" w:cs="Arial"/>
        </w:rPr>
        <w:t>Triphasic spiral liver CT is a standardized CT procedure which enables the detection and characterization of a large variety of liver lesions. Multidetector triphasic CT allows highly precise imaging during the arterial, venous, and delayed phases of hepatic enhancement. Optimal acquisition timing in combination with thinner collimation permits improved lesion detection and will also show improved characterization of lesions.</w:t>
      </w:r>
    </w:p>
    <w:p w14:paraId="75B714C4" w14:textId="77777777" w:rsidR="00790ADA" w:rsidRPr="00FB3A86" w:rsidRDefault="00790ADA" w:rsidP="00441B6F">
      <w:pPr>
        <w:pStyle w:val="Body"/>
        <w:spacing w:after="0"/>
        <w:rPr>
          <w:rFonts w:ascii="Arial" w:hAnsi="Arial" w:cs="Arial"/>
        </w:rPr>
      </w:pPr>
    </w:p>
    <w:p w14:paraId="66371EE8" w14:textId="77777777" w:rsidR="00935EDA" w:rsidRDefault="00935EDA" w:rsidP="00441B6F">
      <w:pPr>
        <w:pStyle w:val="ReferHead"/>
        <w:spacing w:after="0"/>
        <w:jc w:val="both"/>
        <w:rPr>
          <w:rFonts w:ascii="Arial" w:hAnsi="Arial" w:cs="Arial"/>
          <w:bCs/>
        </w:rPr>
      </w:pPr>
    </w:p>
    <w:p w14:paraId="3C610343" w14:textId="2263B583" w:rsidR="002B685A" w:rsidRDefault="002B685A" w:rsidP="00441B6F">
      <w:pPr>
        <w:pStyle w:val="ReferHead"/>
        <w:spacing w:after="0"/>
        <w:jc w:val="both"/>
        <w:rPr>
          <w:rFonts w:ascii="Arial" w:hAnsi="Arial" w:cs="Arial"/>
          <w:bCs/>
        </w:rPr>
      </w:pPr>
      <w:r w:rsidRPr="002B685A">
        <w:rPr>
          <w:rFonts w:ascii="Arial" w:hAnsi="Arial" w:cs="Arial"/>
          <w:bCs/>
        </w:rPr>
        <w:t>Consent</w:t>
      </w:r>
      <w:r w:rsidR="001A5608">
        <w:rPr>
          <w:rFonts w:ascii="Arial" w:hAnsi="Arial" w:cs="Arial"/>
          <w:bCs/>
        </w:rPr>
        <w:t xml:space="preserve"> and ethical approval</w:t>
      </w:r>
    </w:p>
    <w:p w14:paraId="70C6EE83" w14:textId="77777777" w:rsidR="002B685A" w:rsidRPr="002B685A" w:rsidRDefault="002B685A" w:rsidP="00441B6F">
      <w:pPr>
        <w:pStyle w:val="ReferHead"/>
        <w:spacing w:after="0"/>
        <w:jc w:val="both"/>
        <w:rPr>
          <w:rFonts w:ascii="Arial" w:hAnsi="Arial" w:cs="Arial"/>
          <w:bCs/>
        </w:rPr>
      </w:pPr>
    </w:p>
    <w:p w14:paraId="4A56D28B" w14:textId="10339FAF" w:rsidR="00A347C0" w:rsidRDefault="001A5608" w:rsidP="00441B6F">
      <w:pPr>
        <w:pStyle w:val="ReferHead"/>
        <w:spacing w:after="0"/>
        <w:jc w:val="both"/>
        <w:rPr>
          <w:rFonts w:ascii="Arial" w:hAnsi="Arial" w:cs="Arial"/>
          <w:b w:val="0"/>
          <w:caps w:val="0"/>
          <w:sz w:val="20"/>
        </w:rPr>
      </w:pPr>
      <w:r w:rsidRPr="001A5608">
        <w:rPr>
          <w:rFonts w:ascii="Arial" w:hAnsi="Arial" w:cs="Arial"/>
          <w:b w:val="0"/>
          <w:caps w:val="0"/>
          <w:sz w:val="20"/>
        </w:rPr>
        <w:t>A written informed consent was taken from all the subjects participating in the study</w:t>
      </w:r>
      <w:r w:rsidR="002B685A" w:rsidRPr="002B685A">
        <w:rPr>
          <w:rFonts w:ascii="Arial" w:hAnsi="Arial" w:cs="Arial"/>
          <w:b w:val="0"/>
          <w:caps w:val="0"/>
          <w:sz w:val="20"/>
        </w:rPr>
        <w:t>.</w:t>
      </w:r>
    </w:p>
    <w:p w14:paraId="7FD80119" w14:textId="77777777" w:rsidR="00A347C0" w:rsidRDefault="00A347C0" w:rsidP="00441B6F">
      <w:pPr>
        <w:pStyle w:val="ReferHead"/>
        <w:spacing w:after="0"/>
        <w:jc w:val="both"/>
        <w:rPr>
          <w:rFonts w:ascii="Arial" w:hAnsi="Arial" w:cs="Arial"/>
          <w:b w:val="0"/>
          <w:caps w:val="0"/>
          <w:sz w:val="20"/>
        </w:rPr>
      </w:pPr>
    </w:p>
    <w:p w14:paraId="03DA6160" w14:textId="77777777" w:rsidR="005C784C" w:rsidRDefault="005C784C" w:rsidP="00441B6F">
      <w:pPr>
        <w:pStyle w:val="ReferHead"/>
        <w:spacing w:after="0"/>
        <w:jc w:val="both"/>
        <w:rPr>
          <w:rFonts w:ascii="Arial" w:hAnsi="Arial" w:cs="Arial"/>
          <w:b w:val="0"/>
          <w:caps w:val="0"/>
          <w:sz w:val="20"/>
        </w:rPr>
      </w:pPr>
    </w:p>
    <w:p w14:paraId="6BD6492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6C186F5" w14:textId="77777777" w:rsidR="005C784C" w:rsidRPr="002B685A" w:rsidRDefault="005C784C" w:rsidP="00441B6F">
      <w:pPr>
        <w:pStyle w:val="ReferHead"/>
        <w:spacing w:after="0"/>
        <w:jc w:val="both"/>
        <w:rPr>
          <w:rFonts w:ascii="Arial" w:hAnsi="Arial" w:cs="Arial"/>
          <w:bCs/>
        </w:rPr>
      </w:pPr>
    </w:p>
    <w:p w14:paraId="19632F8F" w14:textId="15ACA82B" w:rsidR="005C784C" w:rsidRDefault="00C543B7" w:rsidP="00441B6F">
      <w:pPr>
        <w:pStyle w:val="ReferHead"/>
        <w:spacing w:after="0"/>
        <w:jc w:val="both"/>
        <w:rPr>
          <w:rFonts w:ascii="Arial" w:hAnsi="Arial" w:cs="Arial"/>
          <w:b w:val="0"/>
          <w:caps w:val="0"/>
          <w:sz w:val="20"/>
        </w:rPr>
      </w:pPr>
      <w:r w:rsidRPr="001A5608">
        <w:rPr>
          <w:rFonts w:ascii="Arial" w:hAnsi="Arial" w:cs="Arial"/>
          <w:b w:val="0"/>
          <w:caps w:val="0"/>
          <w:sz w:val="20"/>
        </w:rPr>
        <w:t xml:space="preserve">The ethical approval was obtained from </w:t>
      </w:r>
      <w:r w:rsidR="001A5608" w:rsidRPr="001A5608">
        <w:rPr>
          <w:rFonts w:ascii="Arial" w:hAnsi="Arial" w:cs="Arial"/>
          <w:b w:val="0"/>
          <w:caps w:val="0"/>
          <w:sz w:val="20"/>
        </w:rPr>
        <w:t xml:space="preserve">the Institutional Scientific Committee and the Institutional Ethics Committee of </w:t>
      </w:r>
      <w:r w:rsidR="00D82A8D">
        <w:rPr>
          <w:rFonts w:ascii="Arial" w:hAnsi="Arial" w:cs="Arial"/>
          <w:b w:val="0"/>
          <w:caps w:val="0"/>
          <w:sz w:val="20"/>
        </w:rPr>
        <w:t>SSIMS &amp; RC</w:t>
      </w:r>
      <w:r w:rsidR="001A5608" w:rsidRPr="001A5608">
        <w:rPr>
          <w:rFonts w:ascii="Arial" w:hAnsi="Arial" w:cs="Arial"/>
          <w:b w:val="0"/>
          <w:caps w:val="0"/>
          <w:sz w:val="20"/>
        </w:rPr>
        <w:t>., Davangere</w:t>
      </w:r>
      <w:r w:rsidR="005C784C" w:rsidRPr="005C784C">
        <w:rPr>
          <w:rFonts w:ascii="Arial" w:hAnsi="Arial" w:cs="Arial"/>
          <w:b w:val="0"/>
          <w:caps w:val="0"/>
          <w:sz w:val="20"/>
        </w:rPr>
        <w:t>.</w:t>
      </w:r>
      <w:r>
        <w:rPr>
          <w:rFonts w:ascii="Arial" w:hAnsi="Arial" w:cs="Arial"/>
          <w:b w:val="0"/>
          <w:caps w:val="0"/>
          <w:sz w:val="20"/>
        </w:rPr>
        <w:t xml:space="preserve"> </w:t>
      </w:r>
      <w:r w:rsidRPr="00C543B7">
        <w:rPr>
          <w:rFonts w:ascii="Arial" w:hAnsi="Arial" w:cs="Arial"/>
          <w:b w:val="0"/>
          <w:caps w:val="0"/>
          <w:sz w:val="20"/>
        </w:rPr>
        <w:t>All authors hereby declare that all experiments have been performed in accordance with the ethical standards laid down in the 1964 Declaration of Helsinki</w:t>
      </w:r>
    </w:p>
    <w:p w14:paraId="0D245087" w14:textId="77777777" w:rsidR="0041027F" w:rsidRDefault="0041027F" w:rsidP="00441B6F">
      <w:pPr>
        <w:pStyle w:val="ReferHead"/>
        <w:spacing w:after="0"/>
        <w:jc w:val="both"/>
        <w:rPr>
          <w:rFonts w:ascii="Arial" w:hAnsi="Arial" w:cs="Arial"/>
          <w:b w:val="0"/>
          <w:caps w:val="0"/>
          <w:sz w:val="20"/>
        </w:rPr>
      </w:pPr>
    </w:p>
    <w:p w14:paraId="76542C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2FA3D9" w14:textId="77777777" w:rsidR="00790ADA" w:rsidRPr="00FB3A86" w:rsidRDefault="00790ADA" w:rsidP="00441B6F">
      <w:pPr>
        <w:pStyle w:val="ReferHead"/>
        <w:spacing w:after="0"/>
        <w:jc w:val="both"/>
        <w:rPr>
          <w:rFonts w:ascii="Arial" w:hAnsi="Arial" w:cs="Arial"/>
        </w:rPr>
      </w:pPr>
    </w:p>
    <w:p w14:paraId="511443C3" w14:textId="77777777" w:rsid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Adhikari, K., Bhattarai, M., Raman, R. K., Bhattarai, S., Khadka, H., Adhikari, B. B., Dahal,</w:t>
      </w:r>
    </w:p>
    <w:p w14:paraId="79E86A80" w14:textId="71440EE3" w:rsidR="00B378B0" w:rsidRPr="00B378B0" w:rsidRDefault="00B378B0" w:rsidP="00B378B0">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S., &amp; Dahal, S. (2024). Triple phase CT scan in focal liver lesion with histopathology correlation. </w:t>
      </w:r>
      <w:r w:rsidRPr="00B378B0">
        <w:rPr>
          <w:rStyle w:val="Emphasis"/>
          <w:rFonts w:ascii="Arial" w:hAnsi="Arial" w:cs="Arial"/>
          <w:sz w:val="20"/>
          <w:szCs w:val="20"/>
        </w:rPr>
        <w:t>SSR Institute International Journal of Life Science, 10</w:t>
      </w:r>
      <w:r w:rsidRPr="00B378B0">
        <w:rPr>
          <w:rFonts w:ascii="Arial" w:hAnsi="Arial" w:cs="Arial"/>
          <w:sz w:val="20"/>
          <w:szCs w:val="20"/>
        </w:rPr>
        <w:t>(6), 6417–6421.</w:t>
      </w:r>
    </w:p>
    <w:p w14:paraId="7F4BA216" w14:textId="77777777" w:rsid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Ahirwar, C. P., Patil, A., &amp; Soni, N. (2016). Role of triple-phase computed tomography</w:t>
      </w:r>
    </w:p>
    <w:p w14:paraId="644A9EF2" w14:textId="792BF768" w:rsidR="00B378B0" w:rsidRPr="00B378B0" w:rsidRDefault="00B378B0" w:rsidP="00B378B0">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findings for evaluation of hepatic lesions. </w:t>
      </w:r>
      <w:r w:rsidRPr="00B378B0">
        <w:rPr>
          <w:rStyle w:val="Emphasis"/>
          <w:rFonts w:ascii="Arial" w:hAnsi="Arial" w:cs="Arial"/>
          <w:sz w:val="20"/>
          <w:szCs w:val="20"/>
        </w:rPr>
        <w:t>International Journal of Research in Medical Sciences, 4</w:t>
      </w:r>
      <w:r w:rsidRPr="00B378B0">
        <w:rPr>
          <w:rFonts w:ascii="Arial" w:hAnsi="Arial" w:cs="Arial"/>
          <w:sz w:val="20"/>
          <w:szCs w:val="20"/>
        </w:rPr>
        <w:t>(8), 3576–3581.</w:t>
      </w:r>
    </w:p>
    <w:p w14:paraId="672E8441" w14:textId="77777777" w:rsid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Cho, J. S., Kwag, J. G., Oh, Y. R., &amp; Song, C. J. (1996). Detection and characterization of</w:t>
      </w:r>
    </w:p>
    <w:p w14:paraId="1DC090CB" w14:textId="016C7DB0" w:rsidR="00B378B0" w:rsidRPr="00B378B0" w:rsidRDefault="00B378B0" w:rsidP="00390E6C">
      <w:pPr>
        <w:pStyle w:val="NormalWeb"/>
        <w:spacing w:before="2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hepatocellular carcinoma: Value of dynamic CT during the arterial dominant phase with uniphasic </w:t>
      </w:r>
      <w:proofErr w:type="gramStart"/>
      <w:r w:rsidRPr="00B378B0">
        <w:rPr>
          <w:rFonts w:ascii="Arial" w:hAnsi="Arial" w:cs="Arial"/>
          <w:sz w:val="20"/>
          <w:szCs w:val="20"/>
        </w:rPr>
        <w:t>contrast</w:t>
      </w:r>
      <w:proofErr w:type="gramEnd"/>
      <w:r w:rsidRPr="00B378B0">
        <w:rPr>
          <w:rFonts w:ascii="Arial" w:hAnsi="Arial" w:cs="Arial"/>
          <w:sz w:val="20"/>
          <w:szCs w:val="20"/>
        </w:rPr>
        <w:t xml:space="preserve"> medium injection. </w:t>
      </w:r>
      <w:r w:rsidRPr="00B378B0">
        <w:rPr>
          <w:rStyle w:val="Emphasis"/>
          <w:rFonts w:ascii="Arial" w:hAnsi="Arial" w:cs="Arial"/>
          <w:sz w:val="20"/>
          <w:szCs w:val="20"/>
        </w:rPr>
        <w:t>Journal of Computer Assisted Tomography, 20</w:t>
      </w:r>
      <w:r w:rsidRPr="00B378B0">
        <w:rPr>
          <w:rFonts w:ascii="Arial" w:hAnsi="Arial" w:cs="Arial"/>
          <w:sz w:val="20"/>
          <w:szCs w:val="20"/>
        </w:rPr>
        <w:t>, 128–134.</w:t>
      </w:r>
    </w:p>
    <w:p w14:paraId="4B6CB846"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Foley, W. D., Mallisee, T. A., Hohenwalter, M. D., Wilson, C. R., Quiroz, F. A., &amp; Taylor, A. J.</w:t>
      </w:r>
    </w:p>
    <w:p w14:paraId="7F7F7E47" w14:textId="3475D24E" w:rsidR="00B378B0" w:rsidRPr="00B378B0" w:rsidRDefault="00B378B0" w:rsidP="00390E6C">
      <w:pPr>
        <w:pStyle w:val="NormalWeb"/>
        <w:spacing w:before="2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(2000). Multiphase hepatic CT with a multirow detector CT scanner. </w:t>
      </w:r>
      <w:r w:rsidRPr="00B378B0">
        <w:rPr>
          <w:rStyle w:val="Emphasis"/>
          <w:rFonts w:ascii="Arial" w:hAnsi="Arial" w:cs="Arial"/>
          <w:sz w:val="20"/>
          <w:szCs w:val="20"/>
        </w:rPr>
        <w:t>AJR American Journal of Roentgenology, 175</w:t>
      </w:r>
      <w:r w:rsidRPr="00B378B0">
        <w:rPr>
          <w:rFonts w:ascii="Arial" w:hAnsi="Arial" w:cs="Arial"/>
          <w:sz w:val="20"/>
          <w:szCs w:val="20"/>
        </w:rPr>
        <w:t>, 679–685.</w:t>
      </w:r>
    </w:p>
    <w:p w14:paraId="734A67ED"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Jain, S., Khanduri, S., Shah, J. K., Yadav, P., &amp; Krishnam, A. (2019). Role of MDCT in</w:t>
      </w:r>
    </w:p>
    <w:p w14:paraId="591C7562" w14:textId="5A6BF44C"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lastRenderedPageBreak/>
        <w:t xml:space="preserve">detection and characterisation of focal liver lesions. </w:t>
      </w:r>
      <w:r w:rsidRPr="00B378B0">
        <w:rPr>
          <w:rStyle w:val="Emphasis"/>
          <w:rFonts w:ascii="Arial" w:hAnsi="Arial" w:cs="Arial"/>
          <w:sz w:val="20"/>
          <w:szCs w:val="20"/>
        </w:rPr>
        <w:t>Journal of Clinical and Diagnostic Research, 13</w:t>
      </w:r>
      <w:r w:rsidRPr="00B378B0">
        <w:rPr>
          <w:rFonts w:ascii="Arial" w:hAnsi="Arial" w:cs="Arial"/>
          <w:sz w:val="20"/>
          <w:szCs w:val="20"/>
        </w:rPr>
        <w:t>(5).</w:t>
      </w:r>
    </w:p>
    <w:p w14:paraId="24AFADD8"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Karahan, O. I., Yikilmaz, A., Isin, S., &amp; Orhan, S. (2003). Characterization of hepatocellular</w:t>
      </w:r>
    </w:p>
    <w:p w14:paraId="33D019BA" w14:textId="7ED353FF"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carcinomas with triphasic CT and correlation with histopathologic findings. </w:t>
      </w:r>
      <w:r w:rsidRPr="00B378B0">
        <w:rPr>
          <w:rStyle w:val="Emphasis"/>
          <w:rFonts w:ascii="Arial" w:hAnsi="Arial" w:cs="Arial"/>
          <w:sz w:val="20"/>
          <w:szCs w:val="20"/>
        </w:rPr>
        <w:t>Acta Radiologica, 44</w:t>
      </w:r>
      <w:r w:rsidRPr="00B378B0">
        <w:rPr>
          <w:rFonts w:ascii="Arial" w:hAnsi="Arial" w:cs="Arial"/>
          <w:sz w:val="20"/>
          <w:szCs w:val="20"/>
        </w:rPr>
        <w:t>(6), 566–571.</w:t>
      </w:r>
    </w:p>
    <w:p w14:paraId="0EF55B52"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Kaushal, L., Verma, V. K., &amp; Soni, N. (2016). Comparison of triple phase CT and</w:t>
      </w:r>
    </w:p>
    <w:p w14:paraId="5177C857" w14:textId="22A8213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ultrasonography findings for evaluation of hepatic lesions. </w:t>
      </w:r>
      <w:r w:rsidRPr="00B378B0">
        <w:rPr>
          <w:rStyle w:val="Emphasis"/>
          <w:rFonts w:ascii="Arial" w:hAnsi="Arial" w:cs="Arial"/>
          <w:sz w:val="20"/>
          <w:szCs w:val="20"/>
        </w:rPr>
        <w:t>International Journal of Medical Research Review, 4</w:t>
      </w:r>
      <w:r w:rsidRPr="00B378B0">
        <w:rPr>
          <w:rFonts w:ascii="Arial" w:hAnsi="Arial" w:cs="Arial"/>
          <w:sz w:val="20"/>
          <w:szCs w:val="20"/>
        </w:rPr>
        <w:t>(8), 1456–1465.</w:t>
      </w:r>
    </w:p>
    <w:p w14:paraId="79845719"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Méndez-Sánchez, N., Villa, A. R., Chávez-Tapia, N. C., Ponciano-Rodriguez, G., Almeda-</w:t>
      </w:r>
    </w:p>
    <w:p w14:paraId="7B4D8E4A" w14:textId="46CB1F80"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Valdés, P., González, D., &amp; Uribe, M. (2005). Trends in liver disease prevalence in Mexico from 2005 to 2050 through mortality data. </w:t>
      </w:r>
      <w:r w:rsidRPr="00B378B0">
        <w:rPr>
          <w:rStyle w:val="Emphasis"/>
          <w:rFonts w:ascii="Arial" w:hAnsi="Arial" w:cs="Arial"/>
          <w:sz w:val="20"/>
          <w:szCs w:val="20"/>
        </w:rPr>
        <w:t>Annals of Hepatology, 4</w:t>
      </w:r>
      <w:r w:rsidRPr="00B378B0">
        <w:rPr>
          <w:rFonts w:ascii="Arial" w:hAnsi="Arial" w:cs="Arial"/>
          <w:sz w:val="20"/>
          <w:szCs w:val="20"/>
        </w:rPr>
        <w:t>(1), 52–55.</w:t>
      </w:r>
    </w:p>
    <w:p w14:paraId="22DEE6D7"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Mishra, A. K., Shrestha, P., Bista, N. R., Bhurtel, P., Bhattarai, S., Thakali, K., &amp; Pathak, S.</w:t>
      </w:r>
    </w:p>
    <w:p w14:paraId="6958A12B" w14:textId="1EEE77E6"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R. (2009). Pattern of liver diseases. </w:t>
      </w:r>
      <w:r w:rsidRPr="00B378B0">
        <w:rPr>
          <w:rStyle w:val="Emphasis"/>
          <w:rFonts w:ascii="Arial" w:hAnsi="Arial" w:cs="Arial"/>
          <w:sz w:val="20"/>
          <w:szCs w:val="20"/>
        </w:rPr>
        <w:t>Journal of Nepal Health Research Council, 7</w:t>
      </w:r>
      <w:r w:rsidRPr="00B378B0">
        <w:rPr>
          <w:rFonts w:ascii="Arial" w:hAnsi="Arial" w:cs="Arial"/>
          <w:sz w:val="20"/>
          <w:szCs w:val="20"/>
        </w:rPr>
        <w:t>(1), 14–18.</w:t>
      </w:r>
    </w:p>
    <w:p w14:paraId="460CCAF8"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Mittal, A., &amp; Kumbhar, R. R. (2024). Evaluation of focal liver lesions using triple phase</w:t>
      </w:r>
    </w:p>
    <w:p w14:paraId="082BEB3B" w14:textId="1451C14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contrast computed tomography among Indian patients. </w:t>
      </w:r>
      <w:r w:rsidRPr="00B378B0">
        <w:rPr>
          <w:rStyle w:val="Emphasis"/>
          <w:rFonts w:ascii="Arial" w:hAnsi="Arial" w:cs="Arial"/>
          <w:sz w:val="20"/>
          <w:szCs w:val="20"/>
        </w:rPr>
        <w:t>Bioinformation, 20</w:t>
      </w:r>
      <w:r w:rsidRPr="00B378B0">
        <w:rPr>
          <w:rFonts w:ascii="Arial" w:hAnsi="Arial" w:cs="Arial"/>
          <w:sz w:val="20"/>
          <w:szCs w:val="20"/>
        </w:rPr>
        <w:t>(10), 1429.</w:t>
      </w:r>
    </w:p>
    <w:p w14:paraId="544E9DD9"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Moore, K. L., &amp; Dalley, A. F. (2007). </w:t>
      </w:r>
      <w:r w:rsidRPr="00B378B0">
        <w:rPr>
          <w:rStyle w:val="Emphasis"/>
          <w:rFonts w:ascii="Arial" w:hAnsi="Arial" w:cs="Arial"/>
          <w:sz w:val="20"/>
          <w:szCs w:val="20"/>
        </w:rPr>
        <w:t>Essential clinical anatomy</w:t>
      </w:r>
      <w:r w:rsidRPr="00B378B0">
        <w:rPr>
          <w:rFonts w:ascii="Arial" w:hAnsi="Arial" w:cs="Arial"/>
          <w:sz w:val="20"/>
          <w:szCs w:val="20"/>
        </w:rPr>
        <w:t xml:space="preserve"> (3rd ed.). Lippincott Williams</w:t>
      </w:r>
    </w:p>
    <w:p w14:paraId="17EBEC89" w14:textId="1896D05C"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&amp; Wilkins.</w:t>
      </w:r>
    </w:p>
    <w:p w14:paraId="587E4523"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Mortele, K. J., &amp; Ros, P. R. (2001). Cystic focal liver lesions in the adult: Differential CT and</w:t>
      </w:r>
    </w:p>
    <w:p w14:paraId="50DDFCCA" w14:textId="36568FB3"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MR imaging features. </w:t>
      </w:r>
      <w:r w:rsidRPr="00B378B0">
        <w:rPr>
          <w:rStyle w:val="Emphasis"/>
          <w:rFonts w:ascii="Arial" w:hAnsi="Arial" w:cs="Arial"/>
          <w:sz w:val="20"/>
          <w:szCs w:val="20"/>
        </w:rPr>
        <w:t>Radiographics, 21</w:t>
      </w:r>
      <w:r w:rsidRPr="00B378B0">
        <w:rPr>
          <w:rFonts w:ascii="Arial" w:hAnsi="Arial" w:cs="Arial"/>
          <w:sz w:val="20"/>
          <w:szCs w:val="20"/>
        </w:rPr>
        <w:t>(4), 895–910.</w:t>
      </w:r>
    </w:p>
    <w:p w14:paraId="50DCC5F0" w14:textId="77777777" w:rsidR="00390E6C" w:rsidRDefault="00B378B0" w:rsidP="00B378B0">
      <w:pPr>
        <w:pStyle w:val="NormalWeb"/>
        <w:spacing w:before="0" w:beforeAutospacing="0" w:after="0" w:afterAutospacing="0"/>
        <w:contextualSpacing/>
        <w:jc w:val="both"/>
        <w:rPr>
          <w:rStyle w:val="Emphasis"/>
          <w:rFonts w:ascii="Arial" w:hAnsi="Arial" w:cs="Arial"/>
          <w:sz w:val="20"/>
          <w:szCs w:val="20"/>
        </w:rPr>
      </w:pPr>
      <w:r w:rsidRPr="00B378B0">
        <w:rPr>
          <w:rFonts w:ascii="Arial" w:hAnsi="Arial" w:cs="Arial"/>
          <w:sz w:val="20"/>
          <w:szCs w:val="20"/>
        </w:rPr>
        <w:t xml:space="preserve">Oliva, M. R., &amp; Saini, S. (2004). Liver cancer imaging: Role of CT, MRI, US and PET. </w:t>
      </w:r>
      <w:r w:rsidRPr="00B378B0">
        <w:rPr>
          <w:rStyle w:val="Emphasis"/>
          <w:rFonts w:ascii="Arial" w:hAnsi="Arial" w:cs="Arial"/>
          <w:sz w:val="20"/>
          <w:szCs w:val="20"/>
        </w:rPr>
        <w:t>Cancer</w:t>
      </w:r>
    </w:p>
    <w:p w14:paraId="6F37B3FC" w14:textId="6C6DB6D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Style w:val="Emphasis"/>
          <w:rFonts w:ascii="Arial" w:hAnsi="Arial" w:cs="Arial"/>
          <w:sz w:val="20"/>
          <w:szCs w:val="20"/>
        </w:rPr>
        <w:t>Imaging, 4</w:t>
      </w:r>
      <w:r w:rsidRPr="00B378B0">
        <w:rPr>
          <w:rFonts w:ascii="Arial" w:hAnsi="Arial" w:cs="Arial"/>
          <w:sz w:val="20"/>
          <w:szCs w:val="20"/>
        </w:rPr>
        <w:t>(Special No. A), S42–S46.</w:t>
      </w:r>
    </w:p>
    <w:p w14:paraId="64973046"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Oliver, J. H., Baron, R. L., Federle, M. P., &amp; Rockette, H. E. Jr. (1996). Detecting</w:t>
      </w:r>
    </w:p>
    <w:p w14:paraId="4700CC3F" w14:textId="25103432"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hepatocellular carcinoma: Value of unenhanced or arterial phase CT imaging or both used in conjunction with conventional portal venous phase contrast-enhanced CT imaging. </w:t>
      </w:r>
      <w:r w:rsidRPr="00B378B0">
        <w:rPr>
          <w:rStyle w:val="Emphasis"/>
          <w:rFonts w:ascii="Arial" w:hAnsi="Arial" w:cs="Arial"/>
          <w:sz w:val="20"/>
          <w:szCs w:val="20"/>
        </w:rPr>
        <w:t>AJR American Journal of Roentgenology, 167</w:t>
      </w:r>
      <w:r w:rsidRPr="00B378B0">
        <w:rPr>
          <w:rFonts w:ascii="Arial" w:hAnsi="Arial" w:cs="Arial"/>
          <w:sz w:val="20"/>
          <w:szCs w:val="20"/>
        </w:rPr>
        <w:t>(1), 71–77.</w:t>
      </w:r>
    </w:p>
    <w:p w14:paraId="26D3E35B"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Rani, S., &amp; Tripathi, P. (2018). Imaging characteristics of focal liver lesions on contrast-</w:t>
      </w:r>
    </w:p>
    <w:p w14:paraId="04A876EA" w14:textId="15102122"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enhanced helical computed tomography. </w:t>
      </w:r>
      <w:r w:rsidRPr="00B378B0">
        <w:rPr>
          <w:rStyle w:val="Emphasis"/>
          <w:rFonts w:ascii="Arial" w:hAnsi="Arial" w:cs="Arial"/>
          <w:sz w:val="20"/>
          <w:szCs w:val="20"/>
        </w:rPr>
        <w:t>International Journal of Scientific Study, 6</w:t>
      </w:r>
      <w:r w:rsidRPr="00B378B0">
        <w:rPr>
          <w:rFonts w:ascii="Arial" w:hAnsi="Arial" w:cs="Arial"/>
          <w:sz w:val="20"/>
          <w:szCs w:val="20"/>
        </w:rPr>
        <w:t>(3), 53–56.</w:t>
      </w:r>
    </w:p>
    <w:p w14:paraId="7BC1E878"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Reznik, Y., Dao, T., Coutant, R., Chiche, L., Jeannot, E., Clauin, S., Rousselot, P., Fabre,</w:t>
      </w:r>
    </w:p>
    <w:p w14:paraId="4DE6A34F" w14:textId="4BB88DD6"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M., Oberti, F., Fatome, A., Zucman-Rossi, J., &amp; Bellanne-Chantelot, C. (2004). Hepatocyte nuclear factor-1 alpha gene inactivation: Cosegregation between liver adenomatosis and diabetes phenotypes in two maturity-onset diabetes of the young (MODY)3 families. </w:t>
      </w:r>
      <w:r w:rsidRPr="00B378B0">
        <w:rPr>
          <w:rStyle w:val="Emphasis"/>
          <w:rFonts w:ascii="Arial" w:hAnsi="Arial" w:cs="Arial"/>
          <w:sz w:val="20"/>
          <w:szCs w:val="20"/>
        </w:rPr>
        <w:t>Journal of Clinical Endocrinology and Metabolism, 89</w:t>
      </w:r>
      <w:r w:rsidRPr="00B378B0">
        <w:rPr>
          <w:rFonts w:ascii="Arial" w:hAnsi="Arial" w:cs="Arial"/>
          <w:sz w:val="20"/>
          <w:szCs w:val="20"/>
        </w:rPr>
        <w:t>(3), 1476–1480.</w:t>
      </w:r>
    </w:p>
    <w:p w14:paraId="2413DF4C" w14:textId="77777777" w:rsidR="00B378B0" w:rsidRP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Sadler, T. W. (2018). </w:t>
      </w:r>
      <w:r w:rsidRPr="00B378B0">
        <w:rPr>
          <w:rStyle w:val="Emphasis"/>
          <w:rFonts w:ascii="Arial" w:hAnsi="Arial" w:cs="Arial"/>
          <w:sz w:val="20"/>
          <w:szCs w:val="20"/>
        </w:rPr>
        <w:t>Langman's medical embryology</w:t>
      </w:r>
      <w:r w:rsidRPr="00B378B0">
        <w:rPr>
          <w:rFonts w:ascii="Arial" w:hAnsi="Arial" w:cs="Arial"/>
          <w:sz w:val="20"/>
          <w:szCs w:val="20"/>
        </w:rPr>
        <w:t>. Lippincott Williams &amp; Wilkins.</w:t>
      </w:r>
    </w:p>
    <w:p w14:paraId="46B810D1"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Schwartz, L. H., Gandras, E. J., Colangelo, S. M., Ercolani, M. C., &amp; Panicek, D. M. (1999).</w:t>
      </w:r>
    </w:p>
    <w:p w14:paraId="296A3908" w14:textId="41DB7F42"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Prevalence and importance of small hepatic lesions found at CT in patients with cancer. </w:t>
      </w:r>
      <w:r w:rsidRPr="00B378B0">
        <w:rPr>
          <w:rStyle w:val="Emphasis"/>
          <w:rFonts w:ascii="Arial" w:hAnsi="Arial" w:cs="Arial"/>
          <w:sz w:val="20"/>
          <w:szCs w:val="20"/>
        </w:rPr>
        <w:t>Radiology, 210</w:t>
      </w:r>
      <w:r w:rsidRPr="00B378B0">
        <w:rPr>
          <w:rFonts w:ascii="Arial" w:hAnsi="Arial" w:cs="Arial"/>
          <w:sz w:val="20"/>
          <w:szCs w:val="20"/>
        </w:rPr>
        <w:t>, 71–74.</w:t>
      </w:r>
    </w:p>
    <w:p w14:paraId="59C48F45"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Sinnatamby, C. S. (1999). </w:t>
      </w:r>
      <w:r w:rsidRPr="00B378B0">
        <w:rPr>
          <w:rStyle w:val="Emphasis"/>
          <w:rFonts w:ascii="Arial" w:hAnsi="Arial" w:cs="Arial"/>
          <w:sz w:val="20"/>
          <w:szCs w:val="20"/>
        </w:rPr>
        <w:t>Last’s anatomy: Regional and applied</w:t>
      </w:r>
      <w:r w:rsidRPr="00B378B0">
        <w:rPr>
          <w:rFonts w:ascii="Arial" w:hAnsi="Arial" w:cs="Arial"/>
          <w:sz w:val="20"/>
          <w:szCs w:val="20"/>
        </w:rPr>
        <w:t xml:space="preserve"> (10th ed.). Churchill</w:t>
      </w:r>
    </w:p>
    <w:p w14:paraId="6B1ABA40" w14:textId="2E1D7C6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Livingstone.</w:t>
      </w:r>
    </w:p>
    <w:p w14:paraId="521C10BC"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Soyer, P., Poccard, M., Boudiaf, M., Abitbol, M., Hamzi, L., Panis, Y., Valleur, P., &amp; Rymer,</w:t>
      </w:r>
    </w:p>
    <w:p w14:paraId="7B681AFD" w14:textId="757008B5"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R. (2004). Detection of hypovascular hepatic metastases at triple-phase helical CT: Sensitivity of phases and comparison with surgical and histopathologic findings. </w:t>
      </w:r>
      <w:r w:rsidRPr="00B378B0">
        <w:rPr>
          <w:rStyle w:val="Emphasis"/>
          <w:rFonts w:ascii="Arial" w:hAnsi="Arial" w:cs="Arial"/>
          <w:sz w:val="20"/>
          <w:szCs w:val="20"/>
        </w:rPr>
        <w:t>Radiology, 231</w:t>
      </w:r>
      <w:r w:rsidRPr="00B378B0">
        <w:rPr>
          <w:rFonts w:ascii="Arial" w:hAnsi="Arial" w:cs="Arial"/>
          <w:sz w:val="20"/>
          <w:szCs w:val="20"/>
        </w:rPr>
        <w:t>(2), 413–420.</w:t>
      </w:r>
    </w:p>
    <w:p w14:paraId="608E39CA"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Van Leeuwen, M. S., Noordzij, J., Feldberg, M. A., Hennipman, A. H., &amp; Doornewaard, H.</w:t>
      </w:r>
    </w:p>
    <w:p w14:paraId="63E051EC" w14:textId="5B48B27E"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(1996). Focal liver lesions: Characterization with triphasic spiral CT. </w:t>
      </w:r>
      <w:r w:rsidRPr="00B378B0">
        <w:rPr>
          <w:rStyle w:val="Emphasis"/>
          <w:rFonts w:ascii="Arial" w:hAnsi="Arial" w:cs="Arial"/>
          <w:sz w:val="20"/>
          <w:szCs w:val="20"/>
        </w:rPr>
        <w:t>Radiology, 201</w:t>
      </w:r>
      <w:r w:rsidRPr="00B378B0">
        <w:rPr>
          <w:rFonts w:ascii="Arial" w:hAnsi="Arial" w:cs="Arial"/>
          <w:sz w:val="20"/>
          <w:szCs w:val="20"/>
        </w:rPr>
        <w:t>(2), 327–336.</w:t>
      </w:r>
    </w:p>
    <w:p w14:paraId="2FBFBC6C" w14:textId="77777777" w:rsidR="00B378B0" w:rsidRDefault="00B378B0" w:rsidP="00B378B0">
      <w:pPr>
        <w:contextualSpacing/>
        <w:jc w:val="both"/>
        <w:rPr>
          <w:rFonts w:ascii="Arial" w:hAnsi="Arial" w:cs="Arial"/>
          <w:lang w:eastAsia="en-IN"/>
        </w:rPr>
      </w:pPr>
    </w:p>
    <w:p w14:paraId="0B8CC7D5" w14:textId="77777777" w:rsidR="005E055D" w:rsidRDefault="005E055D" w:rsidP="00B9585C">
      <w:pPr>
        <w:contextualSpacing/>
        <w:jc w:val="both"/>
        <w:rPr>
          <w:rFonts w:ascii="Arial" w:hAnsi="Arial" w:cs="Arial"/>
          <w:color w:val="FF0000"/>
          <w:lang w:eastAsia="en-IN"/>
        </w:rPr>
      </w:pPr>
    </w:p>
    <w:sectPr w:rsidR="005E055D" w:rsidSect="00935E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C754C" w14:textId="77777777" w:rsidR="00B82541" w:rsidRDefault="00B82541" w:rsidP="00C37E61">
      <w:r>
        <w:separator/>
      </w:r>
    </w:p>
  </w:endnote>
  <w:endnote w:type="continuationSeparator" w:id="0">
    <w:p w14:paraId="32C2674F" w14:textId="77777777" w:rsidR="00B82541" w:rsidRDefault="00B825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1C26" w14:textId="77777777" w:rsidR="00935EDA" w:rsidRDefault="00935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CC82" w14:textId="77777777" w:rsidR="00935EDA" w:rsidRDefault="00935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BA9E" w14:textId="29CCAA94" w:rsidR="00754C9A" w:rsidRPr="00935EDA" w:rsidRDefault="00754C9A" w:rsidP="00935ED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36608" w14:textId="77777777" w:rsidR="00B82541" w:rsidRDefault="00B82541" w:rsidP="00C37E61">
      <w:r>
        <w:separator/>
      </w:r>
    </w:p>
  </w:footnote>
  <w:footnote w:type="continuationSeparator" w:id="0">
    <w:p w14:paraId="281E7B6E" w14:textId="77777777" w:rsidR="00B82541" w:rsidRDefault="00B825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802E2" w14:textId="5F4A2F33" w:rsidR="00935EDA" w:rsidRDefault="00935EDA">
    <w:pPr>
      <w:pStyle w:val="Header"/>
    </w:pPr>
    <w:r>
      <w:rPr>
        <w:noProof/>
      </w:rPr>
      <w:pict w14:anchorId="6402E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FE5A" w14:textId="13562383" w:rsidR="00935EDA" w:rsidRDefault="00935EDA">
    <w:pPr>
      <w:pStyle w:val="Header"/>
    </w:pPr>
    <w:r>
      <w:rPr>
        <w:noProof/>
      </w:rPr>
      <w:pict w14:anchorId="15A5C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EA47" w14:textId="78BA4126" w:rsidR="00296529" w:rsidRPr="00296529" w:rsidRDefault="00935EDA" w:rsidP="00296529">
    <w:pPr>
      <w:ind w:left="2160"/>
      <w:jc w:val="center"/>
      <w:rPr>
        <w:rFonts w:ascii="Times New Roman" w:eastAsia="Calibri" w:hAnsi="Times New Roman"/>
        <w:i/>
        <w:sz w:val="18"/>
        <w:szCs w:val="22"/>
      </w:rPr>
    </w:pPr>
    <w:r>
      <w:rPr>
        <w:noProof/>
      </w:rPr>
      <w:pict w14:anchorId="089F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DF7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F6E9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6D47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4C03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3066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DDE96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BD18D1"/>
    <w:multiLevelType w:val="hybridMultilevel"/>
    <w:tmpl w:val="8D821B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900A70"/>
    <w:multiLevelType w:val="multilevel"/>
    <w:tmpl w:val="1F900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5B4998"/>
    <w:multiLevelType w:val="hybridMultilevel"/>
    <w:tmpl w:val="3AE85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B87918"/>
    <w:multiLevelType w:val="hybridMultilevel"/>
    <w:tmpl w:val="B67C2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29"/>
  </w:num>
  <w:num w:numId="10">
    <w:abstractNumId w:val="2"/>
  </w:num>
  <w:num w:numId="11">
    <w:abstractNumId w:val="21"/>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2"/>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23"/>
  </w:num>
  <w:num w:numId="32">
    <w:abstractNumId w:val="14"/>
  </w:num>
  <w:num w:numId="33">
    <w:abstractNumId w:val="1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7D1B"/>
    <w:rsid w:val="00090F21"/>
    <w:rsid w:val="000A47FA"/>
    <w:rsid w:val="000A4DD1"/>
    <w:rsid w:val="000A65D3"/>
    <w:rsid w:val="000B1E33"/>
    <w:rsid w:val="000D689F"/>
    <w:rsid w:val="000D6BCB"/>
    <w:rsid w:val="000E7B7B"/>
    <w:rsid w:val="000E7D62"/>
    <w:rsid w:val="00103357"/>
    <w:rsid w:val="00123C9F"/>
    <w:rsid w:val="00126190"/>
    <w:rsid w:val="00130F17"/>
    <w:rsid w:val="001320BF"/>
    <w:rsid w:val="00141D03"/>
    <w:rsid w:val="001426B4"/>
    <w:rsid w:val="00163BC4"/>
    <w:rsid w:val="0017179F"/>
    <w:rsid w:val="00191062"/>
    <w:rsid w:val="00192B72"/>
    <w:rsid w:val="001A29D8"/>
    <w:rsid w:val="001A5608"/>
    <w:rsid w:val="001A5CAA"/>
    <w:rsid w:val="001B0427"/>
    <w:rsid w:val="001D3A51"/>
    <w:rsid w:val="001E10D2"/>
    <w:rsid w:val="001E25B4"/>
    <w:rsid w:val="001E44FE"/>
    <w:rsid w:val="00200595"/>
    <w:rsid w:val="00200F9A"/>
    <w:rsid w:val="00204835"/>
    <w:rsid w:val="00210804"/>
    <w:rsid w:val="00231920"/>
    <w:rsid w:val="0023195C"/>
    <w:rsid w:val="0024282C"/>
    <w:rsid w:val="002460DC"/>
    <w:rsid w:val="00250985"/>
    <w:rsid w:val="002556F6"/>
    <w:rsid w:val="00267CAC"/>
    <w:rsid w:val="00283105"/>
    <w:rsid w:val="00284C4C"/>
    <w:rsid w:val="00287E68"/>
    <w:rsid w:val="00296529"/>
    <w:rsid w:val="002A1E26"/>
    <w:rsid w:val="002B27FB"/>
    <w:rsid w:val="002B685A"/>
    <w:rsid w:val="002C57D2"/>
    <w:rsid w:val="002E0D56"/>
    <w:rsid w:val="00306C12"/>
    <w:rsid w:val="00315186"/>
    <w:rsid w:val="0033343E"/>
    <w:rsid w:val="003512C2"/>
    <w:rsid w:val="00371FB6"/>
    <w:rsid w:val="003763C1"/>
    <w:rsid w:val="00376BBE"/>
    <w:rsid w:val="00376F34"/>
    <w:rsid w:val="00382A24"/>
    <w:rsid w:val="00390E6C"/>
    <w:rsid w:val="0039224F"/>
    <w:rsid w:val="003A43A4"/>
    <w:rsid w:val="003A7E18"/>
    <w:rsid w:val="003C4C86"/>
    <w:rsid w:val="003C6258"/>
    <w:rsid w:val="003D7AEB"/>
    <w:rsid w:val="003E0895"/>
    <w:rsid w:val="003E2904"/>
    <w:rsid w:val="003F5AD1"/>
    <w:rsid w:val="003F7D47"/>
    <w:rsid w:val="00401927"/>
    <w:rsid w:val="0041027F"/>
    <w:rsid w:val="00412475"/>
    <w:rsid w:val="00423789"/>
    <w:rsid w:val="00440F43"/>
    <w:rsid w:val="00441B6F"/>
    <w:rsid w:val="00446221"/>
    <w:rsid w:val="00450E62"/>
    <w:rsid w:val="004539DB"/>
    <w:rsid w:val="00471A80"/>
    <w:rsid w:val="004A6CD4"/>
    <w:rsid w:val="004D305E"/>
    <w:rsid w:val="004D4277"/>
    <w:rsid w:val="00502516"/>
    <w:rsid w:val="00505F06"/>
    <w:rsid w:val="00506828"/>
    <w:rsid w:val="0053056E"/>
    <w:rsid w:val="00535BDD"/>
    <w:rsid w:val="00552E1C"/>
    <w:rsid w:val="00554FDA"/>
    <w:rsid w:val="005C784C"/>
    <w:rsid w:val="005D17F6"/>
    <w:rsid w:val="005D7A06"/>
    <w:rsid w:val="005E055D"/>
    <w:rsid w:val="005E5539"/>
    <w:rsid w:val="00602BF5"/>
    <w:rsid w:val="00617FDD"/>
    <w:rsid w:val="00633614"/>
    <w:rsid w:val="00633F68"/>
    <w:rsid w:val="00636EB2"/>
    <w:rsid w:val="006375B8"/>
    <w:rsid w:val="00637EAE"/>
    <w:rsid w:val="00643CB0"/>
    <w:rsid w:val="006600F5"/>
    <w:rsid w:val="0066510A"/>
    <w:rsid w:val="00673F9F"/>
    <w:rsid w:val="00686953"/>
    <w:rsid w:val="00687DEA"/>
    <w:rsid w:val="00687E67"/>
    <w:rsid w:val="006967F7"/>
    <w:rsid w:val="006A250C"/>
    <w:rsid w:val="006B21D3"/>
    <w:rsid w:val="006B57D0"/>
    <w:rsid w:val="006D30FF"/>
    <w:rsid w:val="006D6940"/>
    <w:rsid w:val="006E087A"/>
    <w:rsid w:val="006E0F55"/>
    <w:rsid w:val="006F11EC"/>
    <w:rsid w:val="0070082C"/>
    <w:rsid w:val="007369E6"/>
    <w:rsid w:val="00741D53"/>
    <w:rsid w:val="00746E59"/>
    <w:rsid w:val="00754C9A"/>
    <w:rsid w:val="0075599A"/>
    <w:rsid w:val="00761D52"/>
    <w:rsid w:val="0076636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79A0"/>
    <w:rsid w:val="008B459E"/>
    <w:rsid w:val="008E13AE"/>
    <w:rsid w:val="008E1506"/>
    <w:rsid w:val="008E710C"/>
    <w:rsid w:val="008F69D6"/>
    <w:rsid w:val="00902823"/>
    <w:rsid w:val="00915CA6"/>
    <w:rsid w:val="00927834"/>
    <w:rsid w:val="00935EDA"/>
    <w:rsid w:val="009500A6"/>
    <w:rsid w:val="00952F09"/>
    <w:rsid w:val="00957C18"/>
    <w:rsid w:val="009659BA"/>
    <w:rsid w:val="00983040"/>
    <w:rsid w:val="009B3FB9"/>
    <w:rsid w:val="009C2465"/>
    <w:rsid w:val="009D35A0"/>
    <w:rsid w:val="009D7EB7"/>
    <w:rsid w:val="009E048A"/>
    <w:rsid w:val="009E08E9"/>
    <w:rsid w:val="009E1DDC"/>
    <w:rsid w:val="009E3DB9"/>
    <w:rsid w:val="009E6E35"/>
    <w:rsid w:val="009F0EDA"/>
    <w:rsid w:val="00A03B96"/>
    <w:rsid w:val="00A05B19"/>
    <w:rsid w:val="00A1134E"/>
    <w:rsid w:val="00A22C73"/>
    <w:rsid w:val="00A24E7E"/>
    <w:rsid w:val="00A258C3"/>
    <w:rsid w:val="00A347C0"/>
    <w:rsid w:val="00A51431"/>
    <w:rsid w:val="00A539AD"/>
    <w:rsid w:val="00A94063"/>
    <w:rsid w:val="00AA32A7"/>
    <w:rsid w:val="00AA6219"/>
    <w:rsid w:val="00AA74E0"/>
    <w:rsid w:val="00AB703F"/>
    <w:rsid w:val="00AC50A3"/>
    <w:rsid w:val="00AC6BB8"/>
    <w:rsid w:val="00AD5729"/>
    <w:rsid w:val="00AE008F"/>
    <w:rsid w:val="00B01FCD"/>
    <w:rsid w:val="00B14767"/>
    <w:rsid w:val="00B1776C"/>
    <w:rsid w:val="00B378B0"/>
    <w:rsid w:val="00B44C63"/>
    <w:rsid w:val="00B52583"/>
    <w:rsid w:val="00B52896"/>
    <w:rsid w:val="00B67180"/>
    <w:rsid w:val="00B82541"/>
    <w:rsid w:val="00B918A2"/>
    <w:rsid w:val="00B95236"/>
    <w:rsid w:val="00B9585C"/>
    <w:rsid w:val="00B96BD9"/>
    <w:rsid w:val="00BA1B01"/>
    <w:rsid w:val="00BA2641"/>
    <w:rsid w:val="00BB37AA"/>
    <w:rsid w:val="00BC53A0"/>
    <w:rsid w:val="00BD758E"/>
    <w:rsid w:val="00BE62AD"/>
    <w:rsid w:val="00BF121F"/>
    <w:rsid w:val="00BF1F80"/>
    <w:rsid w:val="00BF55CD"/>
    <w:rsid w:val="00C166EF"/>
    <w:rsid w:val="00C17EB0"/>
    <w:rsid w:val="00C27F5F"/>
    <w:rsid w:val="00C30A0F"/>
    <w:rsid w:val="00C37E61"/>
    <w:rsid w:val="00C479A5"/>
    <w:rsid w:val="00C543B7"/>
    <w:rsid w:val="00C70F1B"/>
    <w:rsid w:val="00C71A47"/>
    <w:rsid w:val="00C7464C"/>
    <w:rsid w:val="00C81C24"/>
    <w:rsid w:val="00C85588"/>
    <w:rsid w:val="00C86655"/>
    <w:rsid w:val="00CD6755"/>
    <w:rsid w:val="00CD6856"/>
    <w:rsid w:val="00CE0089"/>
    <w:rsid w:val="00CE5965"/>
    <w:rsid w:val="00CE793C"/>
    <w:rsid w:val="00CF193C"/>
    <w:rsid w:val="00D00323"/>
    <w:rsid w:val="00D173F1"/>
    <w:rsid w:val="00D5539D"/>
    <w:rsid w:val="00D74CB0"/>
    <w:rsid w:val="00D8295D"/>
    <w:rsid w:val="00D82A8D"/>
    <w:rsid w:val="00DA6664"/>
    <w:rsid w:val="00DC2A65"/>
    <w:rsid w:val="00DC41A0"/>
    <w:rsid w:val="00DE15F0"/>
    <w:rsid w:val="00DE4B61"/>
    <w:rsid w:val="00DE5663"/>
    <w:rsid w:val="00DE78AA"/>
    <w:rsid w:val="00E0526D"/>
    <w:rsid w:val="00E053D0"/>
    <w:rsid w:val="00E15994"/>
    <w:rsid w:val="00E210DE"/>
    <w:rsid w:val="00E3114E"/>
    <w:rsid w:val="00E31A70"/>
    <w:rsid w:val="00E35B02"/>
    <w:rsid w:val="00E55E9D"/>
    <w:rsid w:val="00E66496"/>
    <w:rsid w:val="00E66B35"/>
    <w:rsid w:val="00E66E10"/>
    <w:rsid w:val="00E769F6"/>
    <w:rsid w:val="00E8407C"/>
    <w:rsid w:val="00E84F3C"/>
    <w:rsid w:val="00EA012C"/>
    <w:rsid w:val="00EC4582"/>
    <w:rsid w:val="00EC6A55"/>
    <w:rsid w:val="00ED0288"/>
    <w:rsid w:val="00EE231C"/>
    <w:rsid w:val="00EE52CB"/>
    <w:rsid w:val="00EF581D"/>
    <w:rsid w:val="00EF7FD8"/>
    <w:rsid w:val="00F06F59"/>
    <w:rsid w:val="00F17988"/>
    <w:rsid w:val="00F469F0"/>
    <w:rsid w:val="00F53273"/>
    <w:rsid w:val="00F544DA"/>
    <w:rsid w:val="00F755E4"/>
    <w:rsid w:val="00F77D02"/>
    <w:rsid w:val="00FB3A86"/>
    <w:rsid w:val="00FD36C8"/>
    <w:rsid w:val="00FE1B46"/>
    <w:rsid w:val="00FF26B4"/>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D42D5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E055D"/>
    <w:pPr>
      <w:spacing w:before="100" w:beforeAutospacing="1" w:after="100" w:afterAutospacing="1"/>
    </w:pPr>
    <w:rPr>
      <w:rFonts w:ascii="Times New Roman" w:hAnsi="Times New Roman"/>
      <w:sz w:val="24"/>
      <w:szCs w:val="24"/>
      <w:lang w:val="en-IN" w:eastAsia="en-IN"/>
    </w:rPr>
  </w:style>
  <w:style w:type="table" w:customStyle="1" w:styleId="TableGrid1">
    <w:name w:val="Table Grid1"/>
    <w:basedOn w:val="TableNormal"/>
    <w:next w:val="TableGrid"/>
    <w:uiPriority w:val="39"/>
    <w:rsid w:val="00306C12"/>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4DD1"/>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AE"/>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7EAE"/>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7523-6345-4AF4-BAD1-ED0E6147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217</TotalTime>
  <Pages>10</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57</cp:revision>
  <cp:lastPrinted>1999-07-06T11:00:00Z</cp:lastPrinted>
  <dcterms:created xsi:type="dcterms:W3CDTF">2014-10-25T14:34:00Z</dcterms:created>
  <dcterms:modified xsi:type="dcterms:W3CDTF">2025-08-07T08:50:00Z</dcterms:modified>
</cp:coreProperties>
</file>