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32771" w14:textId="77777777" w:rsidR="00D554C6" w:rsidRPr="00D554C6" w:rsidRDefault="00D554C6" w:rsidP="004E5B3F">
      <w:pPr>
        <w:pStyle w:val="NormalWeb"/>
        <w:spacing w:line="360" w:lineRule="auto"/>
        <w:jc w:val="center"/>
        <w:rPr>
          <w:b/>
          <w:u w:val="single"/>
        </w:rPr>
      </w:pPr>
      <w:r w:rsidRPr="00D554C6">
        <w:rPr>
          <w:b/>
          <w:u w:val="single"/>
        </w:rPr>
        <w:t>A REVIEW ON DUAL GIP/GLP-1 RECEPTOR AGONISTS IN TYPE 2 DIABETES: A NEW ERA IN INCRETIN THERAPY</w:t>
      </w:r>
    </w:p>
    <w:p w14:paraId="55AD17C8" w14:textId="77777777" w:rsidR="00D554C6" w:rsidRPr="00D554C6" w:rsidRDefault="00D554C6" w:rsidP="00D554C6">
      <w:pPr>
        <w:pStyle w:val="NormalWeb"/>
        <w:spacing w:line="360" w:lineRule="auto"/>
        <w:jc w:val="both"/>
        <w:rPr>
          <w:rStyle w:val="Strong"/>
        </w:rPr>
      </w:pPr>
    </w:p>
    <w:p w14:paraId="1D2381BB" w14:textId="77777777" w:rsidR="004A0AE8" w:rsidRDefault="004A0AE8" w:rsidP="00D554C6">
      <w:pPr>
        <w:pStyle w:val="NormalWeb"/>
        <w:spacing w:line="360" w:lineRule="auto"/>
        <w:jc w:val="both"/>
        <w:rPr>
          <w:rStyle w:val="Strong"/>
          <w:u w:val="single"/>
        </w:rPr>
      </w:pPr>
    </w:p>
    <w:p w14:paraId="2E48FD19" w14:textId="65C3A1CF" w:rsidR="00EF134E" w:rsidRPr="00D554C6" w:rsidRDefault="00D554C6" w:rsidP="00D554C6">
      <w:pPr>
        <w:pStyle w:val="NormalWeb"/>
        <w:spacing w:line="360" w:lineRule="auto"/>
        <w:jc w:val="both"/>
        <w:rPr>
          <w:u w:val="single"/>
        </w:rPr>
      </w:pPr>
      <w:r w:rsidRPr="00D554C6">
        <w:rPr>
          <w:rStyle w:val="Strong"/>
          <w:u w:val="single"/>
        </w:rPr>
        <w:t>Abstract</w:t>
      </w:r>
      <w:r w:rsidR="00EF134E" w:rsidRPr="00D554C6">
        <w:rPr>
          <w:rStyle w:val="Strong"/>
          <w:u w:val="single"/>
        </w:rPr>
        <w:t>:</w:t>
      </w:r>
    </w:p>
    <w:p w14:paraId="41226167" w14:textId="77777777" w:rsidR="00D554C6" w:rsidRPr="00D554C6" w:rsidRDefault="00D554C6" w:rsidP="00D554C6">
      <w:pPr>
        <w:pStyle w:val="NormalWeb"/>
        <w:spacing w:line="360" w:lineRule="auto"/>
        <w:jc w:val="both"/>
      </w:pPr>
      <w:r w:rsidRPr="00D554C6">
        <w:t>Type 2 diabetes is said to be a chronic illness with progressive phases constituting insulin resistance and β-cell dysfunction. Incretin hormones such as glucagon-like peptide (GLP)-1 and glucose-dependent insulinotropic polypeptide (GIP) are essentially responsible for the regulation of glucose after a meal. Despite the fact that GLP-1 receptor agonists have shown positive effects on glucose maintenance and weight loss, their long-term effectiveness is still in question. More recently, in an attempt harnessing the synergistic activities of both incretins, dual GIP/GLP-1 receptor agonists such as tirzepatide have been developed and show better results than conventional therapies in terms of glycemic control, body weight reduction, and cardiometabolic potential. This paper discusses the physiology of incretin hormones with the description of the initial phase of incretin-based therapies, clinical outcomes of dual receptor agonists, and their therapeutic potential toward the management of T2DM. Future directions and the importance of clinical pharmacists vis-a-vis contemporary treatment options in the optimization of patient outcomes with these novel agents have been further discussed in this article.</w:t>
      </w:r>
    </w:p>
    <w:p w14:paraId="5EFF8488" w14:textId="77777777" w:rsidR="00EF134E" w:rsidRPr="00D554C6" w:rsidRDefault="00EF134E" w:rsidP="00D554C6">
      <w:pPr>
        <w:pStyle w:val="NormalWeb"/>
        <w:spacing w:line="360" w:lineRule="auto"/>
        <w:jc w:val="both"/>
      </w:pPr>
      <w:r w:rsidRPr="00D554C6">
        <w:rPr>
          <w:rStyle w:val="Strong"/>
        </w:rPr>
        <w:t>Keywords:</w:t>
      </w:r>
      <w:r w:rsidRPr="00D554C6">
        <w:br/>
        <w:t>Type 2 diabetes, incretin therapy, GIP, GLP-1, dual receptor agonist, tirzepatide, glycemic control, weight loss, SURPASS trials, incretin hormones.</w:t>
      </w:r>
    </w:p>
    <w:p w14:paraId="0B8C46A0" w14:textId="77777777" w:rsidR="00EF134E" w:rsidRPr="00D554C6" w:rsidRDefault="00EF134E" w:rsidP="00D554C6">
      <w:pPr>
        <w:pStyle w:val="NormalWeb"/>
        <w:spacing w:line="360" w:lineRule="auto"/>
        <w:jc w:val="both"/>
      </w:pPr>
    </w:p>
    <w:p w14:paraId="1F7E2D36" w14:textId="77777777" w:rsidR="00EF134E" w:rsidRPr="00D554C6" w:rsidRDefault="00EF134E" w:rsidP="00D554C6">
      <w:pPr>
        <w:pStyle w:val="NormalWeb"/>
        <w:spacing w:line="360" w:lineRule="auto"/>
        <w:jc w:val="both"/>
      </w:pPr>
    </w:p>
    <w:p w14:paraId="4699363A" w14:textId="77777777" w:rsidR="00EF134E" w:rsidRPr="00D554C6" w:rsidRDefault="00EF134E" w:rsidP="00D554C6">
      <w:pPr>
        <w:pStyle w:val="NormalWeb"/>
        <w:spacing w:line="360" w:lineRule="auto"/>
        <w:jc w:val="both"/>
      </w:pPr>
    </w:p>
    <w:p w14:paraId="7EC21F17" w14:textId="77777777" w:rsidR="00EF134E" w:rsidRPr="00D554C6" w:rsidRDefault="00EF134E" w:rsidP="00D554C6">
      <w:pPr>
        <w:pStyle w:val="NormalWeb"/>
        <w:spacing w:line="360" w:lineRule="auto"/>
        <w:jc w:val="both"/>
      </w:pPr>
    </w:p>
    <w:p w14:paraId="2EE88858" w14:textId="77777777" w:rsidR="00EF134E" w:rsidRPr="00D554C6" w:rsidRDefault="00EF134E" w:rsidP="00D554C6">
      <w:pPr>
        <w:pStyle w:val="NormalWeb"/>
        <w:spacing w:line="360" w:lineRule="auto"/>
        <w:jc w:val="both"/>
        <w:rPr>
          <w:b/>
          <w:u w:val="single"/>
        </w:rPr>
      </w:pPr>
      <w:bookmarkStart w:id="0" w:name="_GoBack"/>
      <w:bookmarkEnd w:id="0"/>
      <w:r w:rsidRPr="00D554C6">
        <w:rPr>
          <w:b/>
          <w:u w:val="single"/>
        </w:rPr>
        <w:lastRenderedPageBreak/>
        <w:t>INTRODUTION</w:t>
      </w:r>
    </w:p>
    <w:p w14:paraId="29C36E37" w14:textId="77777777" w:rsidR="00D554C6" w:rsidRPr="004C5A16" w:rsidRDefault="00D554C6" w:rsidP="00D554C6">
      <w:pPr>
        <w:pStyle w:val="NormalWeb"/>
        <w:spacing w:line="360" w:lineRule="auto"/>
        <w:jc w:val="both"/>
        <w:rPr>
          <w:vertAlign w:val="superscript"/>
        </w:rPr>
      </w:pPr>
      <w:r w:rsidRPr="00D554C6">
        <w:t>Type 2 Diabetes Mellitus (T2DM) is an adjuvant rapidly advancing health crisis in the world, affecting more than 530 million people worldwide, by most recent statistics, with projections sharply rising to over 700 million by 2045. Many premature deaths and morbidity are caused by this disease along with problems that include cardiovascular disorders, renal failure, neuropathy, and retinopathy. Developing countries face the double burdens of increased prevalence and limited facilities for health. Further weighing on the disease burden are the economic implications of sustained therapy and complications, straining affected individuals, and healthcare systems across the world.</w:t>
      </w:r>
      <w:r w:rsidR="004C5A16">
        <w:rPr>
          <w:vertAlign w:val="superscript"/>
        </w:rPr>
        <w:t>[1]</w:t>
      </w:r>
    </w:p>
    <w:p w14:paraId="4967EA14" w14:textId="77777777" w:rsidR="00D554C6" w:rsidRPr="004C5A16" w:rsidRDefault="00D554C6" w:rsidP="00D554C6">
      <w:pPr>
        <w:pStyle w:val="NormalWeb"/>
        <w:spacing w:line="360" w:lineRule="auto"/>
        <w:jc w:val="both"/>
        <w:rPr>
          <w:vertAlign w:val="superscript"/>
        </w:rPr>
      </w:pPr>
      <w:r w:rsidRPr="00D554C6">
        <w:t>Due to the availability of various antidiabetic agents including metformin, sulfonylureas, thiazolidinediones, DPP-4 inhibitors, insulin, and SGLT2 inhibitors, most of the patients end up failing to maintain long-term glycemic goals. Monotherapies tend to fail owing to progressive β-cell failure and insufficiency of insulin activity. Beyond that, some are causeful of weight gain episodes or hypoglycemia events, extending to some adverse cardiovascular effects. Such limitations spur the desire for newer agents that provide durable glycemic control, weight loss, and fewer side effects-those that improve the metabolic and cardiovascular footprints after all.</w:t>
      </w:r>
      <w:r w:rsidR="004C5A16">
        <w:rPr>
          <w:vertAlign w:val="superscript"/>
        </w:rPr>
        <w:t>[2]</w:t>
      </w:r>
    </w:p>
    <w:p w14:paraId="328BE0A7" w14:textId="77777777" w:rsidR="00EF134E" w:rsidRPr="00B9484C" w:rsidRDefault="006158E5" w:rsidP="00D554C6">
      <w:pPr>
        <w:pStyle w:val="NormalWeb"/>
        <w:spacing w:line="360" w:lineRule="auto"/>
        <w:jc w:val="both"/>
        <w:rPr>
          <w:vertAlign w:val="superscript"/>
        </w:rPr>
      </w:pPr>
      <w:r w:rsidRPr="006158E5">
        <w:t>Incretin-based therapies, mainly the GLP-1 receptor agonists, have revolutionized the management of T2DM by acting upon different pathological defects. They stimulate insulin secretion, inhibit glucagon secretion, slow gastric emptying, and also decrease appetite. Nevertheless, GLP-1-based treatment for T2DM has issues of variable efficacy and gastrointestinal side effects. The search for dual agonists for both receptors, i.e., GLP-1 and GIP (an alternative incretin hormone), aims to realize the synergistic and/or complementary effects of both pathways. Dual GIP/GLP-1 receptor agonists, such as tirzepatide, have outperformed GLP-1 analogs with regard to glucose lowering and weight loss.</w:t>
      </w:r>
      <w:r w:rsidR="00B9484C">
        <w:rPr>
          <w:vertAlign w:val="superscript"/>
        </w:rPr>
        <w:t>[3]</w:t>
      </w:r>
    </w:p>
    <w:p w14:paraId="3B3622E9" w14:textId="77777777" w:rsidR="006158E5" w:rsidRPr="00D554C6" w:rsidRDefault="006158E5" w:rsidP="00D554C6">
      <w:pPr>
        <w:pStyle w:val="NormalWeb"/>
        <w:spacing w:line="360" w:lineRule="auto"/>
        <w:jc w:val="both"/>
      </w:pPr>
    </w:p>
    <w:p w14:paraId="26E61FFC" w14:textId="77777777" w:rsidR="00EF134E" w:rsidRPr="00D554C6" w:rsidRDefault="00EF134E" w:rsidP="00D554C6">
      <w:pPr>
        <w:pStyle w:val="NormalWeb"/>
        <w:spacing w:line="360" w:lineRule="auto"/>
        <w:jc w:val="both"/>
      </w:pPr>
    </w:p>
    <w:p w14:paraId="6565CA21" w14:textId="77777777" w:rsidR="00EF134E" w:rsidRPr="00D554C6" w:rsidRDefault="00EF134E" w:rsidP="00D554C6">
      <w:pPr>
        <w:pStyle w:val="NormalWeb"/>
        <w:spacing w:line="360" w:lineRule="auto"/>
        <w:jc w:val="both"/>
      </w:pPr>
    </w:p>
    <w:p w14:paraId="0D084E0D" w14:textId="77777777" w:rsidR="009518CB" w:rsidRPr="006158E5" w:rsidRDefault="006158E5" w:rsidP="00D554C6">
      <w:pPr>
        <w:pStyle w:val="NormalWeb"/>
        <w:spacing w:line="360" w:lineRule="auto"/>
        <w:jc w:val="both"/>
        <w:rPr>
          <w:b/>
          <w:bCs/>
          <w:u w:val="single"/>
        </w:rPr>
      </w:pPr>
      <w:r w:rsidRPr="006158E5">
        <w:rPr>
          <w:b/>
          <w:bCs/>
          <w:u w:val="single"/>
        </w:rPr>
        <w:lastRenderedPageBreak/>
        <w:t>INCRETIN HORMONES AND THEIR ROLE IN GLUCOSE REGULATION</w:t>
      </w:r>
    </w:p>
    <w:p w14:paraId="12A6F815" w14:textId="77777777" w:rsidR="006158E5" w:rsidRPr="00B9484C" w:rsidRDefault="006158E5" w:rsidP="00D554C6">
      <w:pPr>
        <w:pStyle w:val="NormalWeb"/>
        <w:spacing w:line="360" w:lineRule="auto"/>
        <w:jc w:val="both"/>
        <w:rPr>
          <w:vertAlign w:val="superscript"/>
        </w:rPr>
      </w:pPr>
      <w:r w:rsidRPr="006158E5">
        <w:t>Incretin effect is a physiological phenomenon where insulin secretion is enhanced with oral glucose administration compared to intravenous glucose administration of the same dose. It is mainly because of gut-derived hormones from the gut called incretins and are secreted in response to nutrient stimuli. These two important hormones are the glucagon-like peptide-1 (GLP-1) and glucose-dependent insulinotropic polypeptide (GIP). In response to the presence of nutrients, GLP-1 is released from L-cells located in the distal small intestine and colon, whereas GIP is released from K-cells in the proximal small intestine. They are secreted within minutes of food arriving in the gastrointestinal tract, getting the body ready to handle the incoming glucose load.</w:t>
      </w:r>
      <w:r w:rsidR="00B9484C">
        <w:rPr>
          <w:vertAlign w:val="superscript"/>
        </w:rPr>
        <w:t>[4]</w:t>
      </w:r>
    </w:p>
    <w:p w14:paraId="2A87E950" w14:textId="77777777" w:rsidR="006158E5" w:rsidRPr="00B9484C" w:rsidRDefault="006158E5" w:rsidP="00D554C6">
      <w:pPr>
        <w:pStyle w:val="NormalWeb"/>
        <w:spacing w:line="360" w:lineRule="auto"/>
        <w:jc w:val="both"/>
        <w:rPr>
          <w:vertAlign w:val="superscript"/>
        </w:rPr>
      </w:pPr>
      <w:r w:rsidRPr="006158E5">
        <w:t>The main physiological role of incretin is to amplify glucose-dependent insulin secretion from the pancreatic β-cells, meaning that they promote insulin release only when blood glucose levels are elevated and thereby lessen the risk of hypoglycemia. Apart from increasing insulin secretion, GLP-1 inhibits glucagon secretion by pancreatic α-cells, delays gastric emptying, and stimulates satiety signaling at the level of the central nervous system. GIP promotes insulin secretion and may play a role in lipid metabolism, although this may be compromised in type 2 diabetes. The incretin effect is an essential endocrine mechanism for the communication of the gut with the pancreas in order to maintain blood glucose levels before and after meals.</w:t>
      </w:r>
      <w:r w:rsidR="00B9484C">
        <w:rPr>
          <w:vertAlign w:val="superscript"/>
        </w:rPr>
        <w:t>[5]</w:t>
      </w:r>
    </w:p>
    <w:p w14:paraId="3B0E77EE" w14:textId="77777777" w:rsidR="006158E5" w:rsidRPr="00B9484C" w:rsidRDefault="006158E5" w:rsidP="00D554C6">
      <w:pPr>
        <w:spacing w:before="100" w:beforeAutospacing="1" w:after="100" w:afterAutospacing="1" w:line="360" w:lineRule="auto"/>
        <w:jc w:val="both"/>
        <w:rPr>
          <w:rFonts w:ascii="Times New Roman" w:eastAsia="Times New Roman" w:hAnsi="Times New Roman" w:cs="Times New Roman"/>
          <w:sz w:val="24"/>
          <w:szCs w:val="24"/>
          <w:vertAlign w:val="superscript"/>
        </w:rPr>
      </w:pPr>
      <w:r w:rsidRPr="006158E5">
        <w:rPr>
          <w:rFonts w:ascii="Times New Roman" w:eastAsia="Times New Roman" w:hAnsi="Times New Roman" w:cs="Times New Roman"/>
          <w:sz w:val="24"/>
          <w:szCs w:val="24"/>
        </w:rPr>
        <w:t>A much greater level of importance is placed on incretins when considering insulin secretion after a meal. It is estimated that as much as 60-70% of insulin secreted after a meal derives from incretin activity. Incretins regulate postprandial hyperglycemia by enhancing glucose-dependent insulin secretion. They modulate insulin secretion, suppress glucagon release to lower hepatic glucose formation, and increase the blood glucose concentration via delayed gastric emptying. The incretin effect is greatly reduced in patients with type 2 diabetes. GIP levels can in fact be reasonably normal, but β-cell responsiveness to GIP is decreased, and GLP-1 secretion or activity is frequently impaired. This dysfunctional mechanism accounts for inadequate insulin secretion and hyperglycemia in type 2 diabetics, thus rendering incretin-based therapies such as GLP-1 receptor agonists and DPP-4 inhibitors an important therapeutic option in the current management of diabetes.</w:t>
      </w:r>
      <w:r w:rsidR="00B9484C">
        <w:rPr>
          <w:rFonts w:ascii="Times New Roman" w:eastAsia="Times New Roman" w:hAnsi="Times New Roman" w:cs="Times New Roman"/>
          <w:sz w:val="24"/>
          <w:szCs w:val="24"/>
          <w:vertAlign w:val="superscript"/>
        </w:rPr>
        <w:t>[6]</w:t>
      </w:r>
    </w:p>
    <w:p w14:paraId="351BC572" w14:textId="77777777" w:rsidR="00DB77A9" w:rsidRPr="00D554C6" w:rsidRDefault="006158E5" w:rsidP="00D554C6">
      <w:pPr>
        <w:spacing w:before="100" w:beforeAutospacing="1" w:after="100" w:afterAutospacing="1"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lastRenderedPageBreak/>
        <w:t>PHYSIOLOGY OF GLP-1 (GLUCAGON-LIKE PEPTIDE-1)</w:t>
      </w:r>
    </w:p>
    <w:p w14:paraId="0572740B" w14:textId="77777777" w:rsidR="006158E5" w:rsidRPr="00B9484C" w:rsidRDefault="006158E5" w:rsidP="00D554C6">
      <w:pPr>
        <w:pStyle w:val="NormalWeb"/>
        <w:spacing w:line="360" w:lineRule="auto"/>
        <w:jc w:val="both"/>
        <w:rPr>
          <w:vertAlign w:val="superscript"/>
        </w:rPr>
      </w:pPr>
      <w:r w:rsidRPr="006158E5">
        <w:t>GLP-1 is an incretin hormone secreted by the L cells of the ileum and colon in response to the presence of nutrients. This hormone stimulates insulin secretion in a glucose-dependent manner, suppresses glucagon secretion, slows gastric emptying, and brings about the feeling of satiety. Its fast degradation by DPP-4 makes GLP-1 an important factor in postprandial glucose regulation and in therapies against diabetes.</w:t>
      </w:r>
      <w:r w:rsidR="00B9484C">
        <w:rPr>
          <w:vertAlign w:val="superscript"/>
        </w:rPr>
        <w:t>[7]</w:t>
      </w:r>
    </w:p>
    <w:p w14:paraId="12DA845E" w14:textId="77777777" w:rsidR="00DB77A9" w:rsidRPr="006158E5" w:rsidRDefault="00DB77A9" w:rsidP="00D554C6">
      <w:pPr>
        <w:pStyle w:val="NormalWeb"/>
        <w:spacing w:line="360" w:lineRule="auto"/>
        <w:jc w:val="both"/>
        <w:rPr>
          <w:b/>
          <w:bCs/>
          <w:u w:val="single"/>
        </w:rPr>
      </w:pPr>
      <w:r w:rsidRPr="006158E5">
        <w:rPr>
          <w:b/>
          <w:bCs/>
          <w:u w:val="single"/>
        </w:rPr>
        <w:t>Site of Secretion (L-cells in Ileum/Colon)</w:t>
      </w:r>
    </w:p>
    <w:p w14:paraId="6414D0BB" w14:textId="77777777" w:rsidR="006158E5" w:rsidRPr="00B9484C" w:rsidRDefault="006158E5" w:rsidP="00D554C6">
      <w:pPr>
        <w:pStyle w:val="NormalWeb"/>
        <w:spacing w:line="360" w:lineRule="auto"/>
        <w:jc w:val="both"/>
        <w:rPr>
          <w:vertAlign w:val="superscript"/>
        </w:rPr>
      </w:pPr>
      <w:r w:rsidRPr="006158E5">
        <w:t>GLP-1 secretion occurs inside of L-cells, gut endocrine cells in the gut. L-cells appear in abundance inside the distal small intestine and colon. These cells monitor the presence of nutrients, particularly carbohydrates and fats, in the lumen of the gut resulting from the intake of food. Nutrients disposition in the lumen stimulates L-cells to secrete GLP-1 into the circulation, where it can be detected as early as a few minutes upon arrival of nutrients in the small intestine. Surprisingly, though they are anatomically distal, GLP-1 acts rapidly through vagal nerve-mediated signaling and possibly other endocrine mechanisms aimed at early-phase insulin secretion even before nutrients have reached the ileum. GLP-1 secretion is stimulated by luminal nutrients, hormones, and neural inputs. GLP-1 is hence a major player of the enteroinsular axis: a complex reciprocal signal network existing between the gut and the pancreas that modulates postprandial insulin responses.</w:t>
      </w:r>
      <w:r w:rsidR="00B9484C">
        <w:rPr>
          <w:vertAlign w:val="superscript"/>
        </w:rPr>
        <w:t>[8]</w:t>
      </w:r>
    </w:p>
    <w:p w14:paraId="0D9873D2" w14:textId="77777777" w:rsidR="00DB77A9" w:rsidRPr="006158E5" w:rsidRDefault="00DB77A9" w:rsidP="00D554C6">
      <w:pPr>
        <w:pStyle w:val="NormalWeb"/>
        <w:spacing w:line="360" w:lineRule="auto"/>
        <w:jc w:val="both"/>
        <w:rPr>
          <w:b/>
          <w:bCs/>
          <w:u w:val="single"/>
        </w:rPr>
      </w:pPr>
      <w:r w:rsidRPr="006158E5">
        <w:rPr>
          <w:b/>
          <w:bCs/>
          <w:u w:val="single"/>
        </w:rPr>
        <w:t>Mechanisms: Insulin Secretion, Glucagon Inhibition, Delayed Gastric Emptying, Satiety</w:t>
      </w:r>
    </w:p>
    <w:p w14:paraId="2CA0099F" w14:textId="77777777" w:rsidR="006158E5" w:rsidRDefault="006158E5" w:rsidP="006158E5">
      <w:pPr>
        <w:pStyle w:val="NormalWeb"/>
        <w:spacing w:line="360" w:lineRule="auto"/>
        <w:jc w:val="both"/>
      </w:pPr>
      <w:r>
        <w:t xml:space="preserve">GLP-1 is said to have pleiotropic effects significant for glucose homeostasis. Its greatest effect is perhaps its stimulation of insulin secretion from the pancreatic β-cells. This insulinotropic effect is glucose-dependent, i.e. GLP-1 stimulates insulin release only when blood glucose level increases, thus preventing hypoglycemia. GLP-1 increases both the first-phase as well as second-phase insulin responses to glucose, which makes it more important in postprandial conditions. </w:t>
      </w:r>
    </w:p>
    <w:p w14:paraId="129DD36F" w14:textId="77777777" w:rsidR="006158E5" w:rsidRDefault="006158E5" w:rsidP="006158E5">
      <w:pPr>
        <w:pStyle w:val="NormalWeb"/>
        <w:spacing w:line="360" w:lineRule="auto"/>
        <w:jc w:val="both"/>
      </w:pPr>
      <w:r>
        <w:t>Along with that, GLP-1 exerts a glucagonostatic effect by inhibiting glucagon secretion from the pancreatic α-cells, particularly during hyperglycemia. This then leads to lesser hepatic gluconeogenesis and glycogenolysis, eventually decreasing endogenous glucose production.</w:t>
      </w:r>
    </w:p>
    <w:p w14:paraId="4BC5056B" w14:textId="77777777" w:rsidR="006158E5" w:rsidRDefault="006158E5" w:rsidP="006158E5">
      <w:pPr>
        <w:pStyle w:val="NormalWeb"/>
        <w:spacing w:line="360" w:lineRule="auto"/>
        <w:jc w:val="both"/>
      </w:pPr>
      <w:r>
        <w:lastRenderedPageBreak/>
        <w:t>GLP-1 acts to inhibit gastric smooth muscle, thus delaying the transportation of nutrients to the small intestine and allowing for the mitigation or flattening of post-prandial glucose excursions. With more gradual glucose absorption produced by this action, the effect is the lesser elevation of blood sugar levels post-meal.</w:t>
      </w:r>
    </w:p>
    <w:p w14:paraId="606DA745" w14:textId="77777777" w:rsidR="006158E5" w:rsidRPr="00B9484C" w:rsidRDefault="006158E5" w:rsidP="006158E5">
      <w:pPr>
        <w:pStyle w:val="NormalWeb"/>
        <w:spacing w:line="360" w:lineRule="auto"/>
        <w:jc w:val="both"/>
        <w:rPr>
          <w:vertAlign w:val="superscript"/>
        </w:rPr>
      </w:pPr>
      <w:r>
        <w:t>GLP-1, however, works in the hypothalamus and various other brain centers to enhance satiety feeling and reduce appetite. From a central standpoint, this is beneficial in weight loss, which is deemed ideal for patients with type 2 diabetes and obesity. These amalgamated actions-peripheral (pancreatic), gastrointestinal, and central nervous system-carry the hormone GLP-1 to mount a massive, body's response to intake that maximize</w:t>
      </w:r>
      <w:r w:rsidR="00B9484C">
        <w:t>s energy and glucose metabolism.</w:t>
      </w:r>
      <w:r w:rsidR="00B9484C">
        <w:rPr>
          <w:vertAlign w:val="superscript"/>
        </w:rPr>
        <w:t>[9]</w:t>
      </w:r>
    </w:p>
    <w:p w14:paraId="69B6F441" w14:textId="77777777" w:rsidR="00DB77A9" w:rsidRPr="006158E5" w:rsidRDefault="00DB77A9" w:rsidP="006158E5">
      <w:pPr>
        <w:pStyle w:val="NormalWeb"/>
        <w:spacing w:line="360" w:lineRule="auto"/>
        <w:jc w:val="both"/>
        <w:rPr>
          <w:b/>
          <w:bCs/>
          <w:u w:val="single"/>
        </w:rPr>
      </w:pPr>
      <w:r w:rsidRPr="006158E5">
        <w:rPr>
          <w:b/>
          <w:bCs/>
          <w:u w:val="single"/>
        </w:rPr>
        <w:t>Rapid Degradation by DPP-4</w:t>
      </w:r>
    </w:p>
    <w:p w14:paraId="2AC55AEC" w14:textId="77777777" w:rsidR="006158E5" w:rsidRDefault="006158E5" w:rsidP="00D554C6">
      <w:pPr>
        <w:pStyle w:val="NormalWeb"/>
        <w:spacing w:line="360" w:lineRule="auto"/>
        <w:jc w:val="both"/>
      </w:pPr>
      <w:r w:rsidRPr="006158E5">
        <w:t>Native GLP-1 has very potent physiological effects but also suffers from grave instability in circulation. Rapid degradation by DPP-4 takes place. DPP-4 is a serine protease widely expressed on endothelial cells, lymphocytes, and other tissues. The enzyme recognizes and cleaves GLP-1 at the second amino acid from the N-terminus, which transforms the active GLP-1 hormone into an inactive form that cannot bind to the GLP-1 receptor or activate it. This enzymatic cleavage makes GLP-1 native to only 1-2 minutes of plasma half-life and thus incapable of assuming a long-term physiological regulator or therapeutic role when considered in its native form.</w:t>
      </w:r>
    </w:p>
    <w:p w14:paraId="703DEC7E" w14:textId="77777777" w:rsidR="00EF134E" w:rsidRPr="00B9484C" w:rsidRDefault="006158E5" w:rsidP="00D554C6">
      <w:pPr>
        <w:pStyle w:val="NormalWeb"/>
        <w:spacing w:line="360" w:lineRule="auto"/>
        <w:jc w:val="both"/>
        <w:rPr>
          <w:vertAlign w:val="superscript"/>
        </w:rPr>
      </w:pPr>
      <w:r w:rsidRPr="006158E5">
        <w:t>In response to such a limitation, GLP-1 receptor agonists (GLP-1 RAs) have been designed. Agents such as exenatide, liraglutide, and semaglutide have been structurally modified to resist DPP-4 degradation and, as a consequence, have much longer half-lives. Also, the DPP-4 inhibitors (such as sitagliptin and vildagliptin) were developed to prevent GLP-1 break down so that it could stay longer. Both mechanisms are currently used as the major therapy for incretin-based agents in treating type 2 diabetes, helping in glycemic control, weight loss, and also some cardiovascular benefits.</w:t>
      </w:r>
      <w:r w:rsidR="00B9484C">
        <w:rPr>
          <w:vertAlign w:val="superscript"/>
        </w:rPr>
        <w:t>[10]</w:t>
      </w:r>
    </w:p>
    <w:p w14:paraId="12A69909" w14:textId="77777777" w:rsidR="006158E5" w:rsidRPr="00D554C6" w:rsidRDefault="006158E5" w:rsidP="00D554C6">
      <w:pPr>
        <w:pStyle w:val="NormalWeb"/>
        <w:spacing w:line="360" w:lineRule="auto"/>
        <w:jc w:val="both"/>
      </w:pPr>
    </w:p>
    <w:p w14:paraId="1C499A1B" w14:textId="77777777" w:rsidR="00EF134E" w:rsidRPr="00D554C6" w:rsidRDefault="00EF134E" w:rsidP="00D554C6">
      <w:pPr>
        <w:pStyle w:val="NormalWeb"/>
        <w:spacing w:line="360" w:lineRule="auto"/>
        <w:jc w:val="both"/>
      </w:pPr>
    </w:p>
    <w:p w14:paraId="4EA9BB40" w14:textId="77777777" w:rsidR="00DB77A9" w:rsidRPr="006158E5" w:rsidRDefault="006158E5" w:rsidP="00D554C6">
      <w:pPr>
        <w:pStyle w:val="NormalWeb"/>
        <w:spacing w:line="360" w:lineRule="auto"/>
        <w:jc w:val="both"/>
        <w:rPr>
          <w:b/>
          <w:bCs/>
          <w:u w:val="single"/>
        </w:rPr>
      </w:pPr>
      <w:r w:rsidRPr="006158E5">
        <w:rPr>
          <w:b/>
          <w:bCs/>
          <w:u w:val="single"/>
        </w:rPr>
        <w:lastRenderedPageBreak/>
        <w:t>PHYSIOLOGY OF GIP (GLUCOSE-DEPENDENT INSULINOTROPIC POLYPEPTIDE)</w:t>
      </w:r>
    </w:p>
    <w:p w14:paraId="60815DFD" w14:textId="77777777" w:rsidR="006158E5" w:rsidRDefault="006158E5" w:rsidP="00D554C6">
      <w:pPr>
        <w:pStyle w:val="NormalWeb"/>
        <w:spacing w:line="360" w:lineRule="auto"/>
        <w:jc w:val="both"/>
      </w:pPr>
      <w:r w:rsidRPr="006158E5">
        <w:t>GIP is an incretin hormone secreted by K-cells residing in the duodenum and jejunum in reaction to nutrient flow. This hormone thus potentiates glucose-dependent insulin secretion and functions toward fat metabolism. The insulinotropic effect of GIP is impaired in the pathophysiology of T2 diabetes, hence making GIP less efficient than GLP-1 in maintaining glucose homeostasis.</w:t>
      </w:r>
    </w:p>
    <w:p w14:paraId="5DFFA7A6" w14:textId="77777777" w:rsidR="00DB77A9" w:rsidRPr="006158E5" w:rsidRDefault="00DB77A9" w:rsidP="00D554C6">
      <w:pPr>
        <w:pStyle w:val="NormalWeb"/>
        <w:spacing w:line="360" w:lineRule="auto"/>
        <w:jc w:val="both"/>
        <w:rPr>
          <w:b/>
          <w:bCs/>
          <w:u w:val="single"/>
        </w:rPr>
      </w:pPr>
      <w:r w:rsidRPr="006158E5">
        <w:rPr>
          <w:b/>
          <w:bCs/>
          <w:u w:val="single"/>
        </w:rPr>
        <w:t>Site of Secretion (K-cells in Duodenum/Jejunum)</w:t>
      </w:r>
    </w:p>
    <w:p w14:paraId="33CF64FF" w14:textId="77777777" w:rsidR="006158E5" w:rsidRPr="00B9484C" w:rsidRDefault="006158E5" w:rsidP="00D554C6">
      <w:pPr>
        <w:pStyle w:val="NormalWeb"/>
        <w:spacing w:line="360" w:lineRule="auto"/>
        <w:jc w:val="both"/>
        <w:rPr>
          <w:vertAlign w:val="superscript"/>
        </w:rPr>
      </w:pPr>
      <w:r w:rsidRPr="006158E5">
        <w:t>GIP, as an incretin hormone, is secreted from K-cells that are largely situated in the upper small intestine, particularly the duodenum, and into the proximal jejunum. These special cells respond to food ingestion-the faster sugars and fats induce GIP secretion, usually occurring within a few moments of consuming food. This setup allows GIP to aid in initiating an early insulin response. Being the first segment that gets in contact with nutrients from digestion, the proximal gut is the key site for sensing dietary uptake and initiating hormonal responses such as GIP release.</w:t>
      </w:r>
      <w:r w:rsidR="00B9484C">
        <w:rPr>
          <w:vertAlign w:val="superscript"/>
        </w:rPr>
        <w:t>[12]</w:t>
      </w:r>
    </w:p>
    <w:p w14:paraId="36624E5F" w14:textId="77777777" w:rsidR="00DB77A9" w:rsidRPr="006158E5" w:rsidRDefault="00DB77A9" w:rsidP="00D554C6">
      <w:pPr>
        <w:pStyle w:val="NormalWeb"/>
        <w:spacing w:line="360" w:lineRule="auto"/>
        <w:jc w:val="both"/>
        <w:rPr>
          <w:b/>
          <w:bCs/>
          <w:u w:val="single"/>
        </w:rPr>
      </w:pPr>
      <w:r w:rsidRPr="006158E5">
        <w:rPr>
          <w:b/>
          <w:bCs/>
          <w:u w:val="single"/>
        </w:rPr>
        <w:t>Mechanisms: Insulinotropic Action, Fat Metabolism</w:t>
      </w:r>
    </w:p>
    <w:p w14:paraId="74657424" w14:textId="77777777" w:rsidR="006158E5" w:rsidRDefault="006158E5" w:rsidP="006158E5">
      <w:pPr>
        <w:pStyle w:val="NormalWeb"/>
        <w:spacing w:line="360" w:lineRule="auto"/>
        <w:jc w:val="both"/>
      </w:pPr>
      <w:r>
        <w:t>The main function of GIP is to increase insulin secretion by the pancreatic β-cells in a glucose-dependent manner. This means that it acts in concert with GLP-1 to enhance the insulin response to the oral intake of glucose. Actually, maybe this is why GIP has very little ability to suppress glucagon secretion, delay gastric emptying, or produce satiety, contrary to GLP-1.</w:t>
      </w:r>
    </w:p>
    <w:p w14:paraId="73257CEA" w14:textId="77777777" w:rsidR="006158E5" w:rsidRPr="00B9484C" w:rsidRDefault="006158E5" w:rsidP="006158E5">
      <w:pPr>
        <w:pStyle w:val="NormalWeb"/>
        <w:spacing w:line="360" w:lineRule="auto"/>
        <w:jc w:val="both"/>
        <w:rPr>
          <w:vertAlign w:val="superscript"/>
        </w:rPr>
      </w:pPr>
      <w:r>
        <w:t>Besides glucose control, GIP also regulates lipid metabolism. It promotes the activity of lipoprotein lipase in fat tissue, encouraging the deposition of fats, and possibly promotes adipogenesis. Thus, in action, GIP seems to have a double-edged role in maintaining glucose and energy storage systems, especially during a high-fat meal intake. Due to its involvement in lipid metabolism, much interest has been granted to altering GIP signaling in the treatment of obesity and metabolic syndrome.</w:t>
      </w:r>
      <w:r w:rsidR="00B9484C">
        <w:rPr>
          <w:vertAlign w:val="superscript"/>
        </w:rPr>
        <w:t>[13]</w:t>
      </w:r>
    </w:p>
    <w:p w14:paraId="00361652" w14:textId="77777777" w:rsidR="006158E5" w:rsidRDefault="006158E5" w:rsidP="006158E5">
      <w:pPr>
        <w:pStyle w:val="NormalWeb"/>
        <w:spacing w:line="360" w:lineRule="auto"/>
        <w:jc w:val="both"/>
      </w:pPr>
    </w:p>
    <w:p w14:paraId="3602FE43" w14:textId="77777777" w:rsidR="00DB77A9" w:rsidRPr="006158E5" w:rsidRDefault="00DB77A9" w:rsidP="006158E5">
      <w:pPr>
        <w:pStyle w:val="NormalWeb"/>
        <w:spacing w:line="360" w:lineRule="auto"/>
        <w:jc w:val="both"/>
        <w:rPr>
          <w:b/>
          <w:bCs/>
          <w:u w:val="single"/>
        </w:rPr>
      </w:pPr>
      <w:r w:rsidRPr="006158E5">
        <w:rPr>
          <w:b/>
          <w:bCs/>
          <w:u w:val="single"/>
        </w:rPr>
        <w:lastRenderedPageBreak/>
        <w:t>Impaired Response in Type 2 Diabetes (T2D)</w:t>
      </w:r>
    </w:p>
    <w:p w14:paraId="2BE12C34" w14:textId="77777777" w:rsidR="00DB77A9" w:rsidRPr="00B9484C" w:rsidRDefault="006158E5" w:rsidP="00D554C6">
      <w:pPr>
        <w:pStyle w:val="NormalWeb"/>
        <w:spacing w:line="360" w:lineRule="auto"/>
        <w:jc w:val="both"/>
        <w:rPr>
          <w:vertAlign w:val="superscript"/>
        </w:rPr>
      </w:pPr>
      <w:r w:rsidRPr="006158E5">
        <w:t>In type 2 diabetes mellitus (T2DM) patients, insulinotropic GIP activity is greatly attenuated, while the secretion may be normal or even slightly increased. This in turn means that in the presence of GIP, the pancreatic β-cells resist GIP action and mediate a diminished insulin release. The exact underlying causes of this resistance are not clearly understood, but some factors such as chronic hyperglycemia, β-cell dysfunction, and altered receptor signaling seem to be involved. This unresponsiveness makes native GIP less useful therapeutically for type 2 diabetes. However, recent literature has suggested that dual GIP/GLP-1 receptor agonists (for instance, tirzepatide) might be able to largely surmount this resistance, thereby restoring or even potentiating the insulinotropic effect of GIP, when combining GIP and GLP-1 effects, making this a promising approach to diabetes treatment.</w:t>
      </w:r>
      <w:r w:rsidR="00B9484C">
        <w:rPr>
          <w:vertAlign w:val="superscript"/>
        </w:rPr>
        <w:t>[14]</w:t>
      </w:r>
    </w:p>
    <w:p w14:paraId="7869A346" w14:textId="77777777" w:rsidR="00DB77A9" w:rsidRPr="006158E5" w:rsidRDefault="006158E5" w:rsidP="00D554C6">
      <w:pPr>
        <w:pStyle w:val="NormalWeb"/>
        <w:spacing w:line="360" w:lineRule="auto"/>
        <w:jc w:val="both"/>
        <w:rPr>
          <w:b/>
          <w:bCs/>
          <w:u w:val="single"/>
        </w:rPr>
      </w:pPr>
      <w:r w:rsidRPr="006158E5">
        <w:rPr>
          <w:b/>
          <w:bCs/>
          <w:u w:val="single"/>
        </w:rPr>
        <w:t>LIMITATIONS OF NATIVE INCRETIN HORMONES</w:t>
      </w:r>
    </w:p>
    <w:p w14:paraId="07A9B336" w14:textId="77777777" w:rsidR="001D42D3" w:rsidRDefault="001D42D3" w:rsidP="00D554C6">
      <w:pPr>
        <w:pStyle w:val="NormalWeb"/>
        <w:spacing w:line="360" w:lineRule="auto"/>
        <w:jc w:val="both"/>
      </w:pPr>
      <w:r w:rsidRPr="001D42D3">
        <w:t>In T2DM therapy, treatment effectiveness is diminished, especially by native hormones, which are worth therapeutic in type 2 diabetes mellitus (T2DM), owing to their importance in physiological functions with regard to glucose homeostasis.</w:t>
      </w:r>
    </w:p>
    <w:p w14:paraId="144CDEFC" w14:textId="77777777" w:rsidR="00DB77A9" w:rsidRPr="00D554C6" w:rsidRDefault="00DB77A9" w:rsidP="00D554C6">
      <w:pPr>
        <w:pStyle w:val="NormalWeb"/>
        <w:spacing w:line="360" w:lineRule="auto"/>
        <w:jc w:val="both"/>
        <w:rPr>
          <w:b/>
          <w:bCs/>
        </w:rPr>
      </w:pPr>
      <w:r w:rsidRPr="00D554C6">
        <w:rPr>
          <w:b/>
          <w:bCs/>
        </w:rPr>
        <w:t>1. Short Half-Life Due to Rapid Degradation</w:t>
      </w:r>
    </w:p>
    <w:p w14:paraId="64131E25" w14:textId="77777777" w:rsidR="001D42D3" w:rsidRDefault="001D42D3" w:rsidP="00D554C6">
      <w:pPr>
        <w:pStyle w:val="NormalWeb"/>
        <w:spacing w:line="360" w:lineRule="auto"/>
        <w:jc w:val="both"/>
      </w:pPr>
      <w:r w:rsidRPr="001D42D3">
        <w:t>Both GLP-1 and GIP were rapidly subjected to changes brought on by DPP-IV. Native GLP-1 does not sustain for longer than 1-2 minutes while GIP renders fast inactivation. Rapid degradation limits the action; thus, in their native forms, these hormones can be used for direct therapeutic targeting with long action.</w:t>
      </w:r>
    </w:p>
    <w:p w14:paraId="4C785EE9" w14:textId="77777777" w:rsidR="00DB77A9" w:rsidRPr="00D554C6" w:rsidRDefault="00DB77A9" w:rsidP="00D554C6">
      <w:pPr>
        <w:pStyle w:val="NormalWeb"/>
        <w:spacing w:line="360" w:lineRule="auto"/>
        <w:jc w:val="both"/>
        <w:rPr>
          <w:b/>
          <w:bCs/>
        </w:rPr>
      </w:pPr>
      <w:r w:rsidRPr="00D554C6">
        <w:rPr>
          <w:b/>
          <w:bCs/>
        </w:rPr>
        <w:t>2. Impaired Efficacy in Type 2 Diabetes</w:t>
      </w:r>
    </w:p>
    <w:p w14:paraId="40DDF8F2" w14:textId="77777777" w:rsidR="001D42D3" w:rsidRPr="00B9484C" w:rsidRDefault="001D42D3" w:rsidP="00D554C6">
      <w:pPr>
        <w:pStyle w:val="NormalWeb"/>
        <w:spacing w:line="360" w:lineRule="auto"/>
        <w:jc w:val="both"/>
        <w:rPr>
          <w:vertAlign w:val="superscript"/>
        </w:rPr>
      </w:pPr>
      <w:r w:rsidRPr="001D42D3">
        <w:t xml:space="preserve">GIP actually faces quite significant impairment with its response in type 2 diabetic individuals. Although GIP levels could be normal or even high, nevertheless, the pancreatic β cells become resistant to its insulinotropic effect, thereby restricting it from exercising its role in the stimulation of insulin secretion. Therefore, in the diabetic state, GLP-1 function is partially </w:t>
      </w:r>
      <w:r w:rsidRPr="001D42D3">
        <w:lastRenderedPageBreak/>
        <w:t>preserved although its secretion and efficacy may actually undergo downregulation in advanced stages.</w:t>
      </w:r>
      <w:r w:rsidR="00B9484C">
        <w:rPr>
          <w:vertAlign w:val="superscript"/>
        </w:rPr>
        <w:t>[15]</w:t>
      </w:r>
    </w:p>
    <w:p w14:paraId="1EA42FC3" w14:textId="77777777" w:rsidR="00DB77A9" w:rsidRPr="00D554C6" w:rsidRDefault="00DB77A9" w:rsidP="00D554C6">
      <w:pPr>
        <w:pStyle w:val="NormalWeb"/>
        <w:spacing w:line="360" w:lineRule="auto"/>
        <w:jc w:val="both"/>
        <w:rPr>
          <w:b/>
          <w:bCs/>
        </w:rPr>
      </w:pPr>
      <w:r w:rsidRPr="00D554C6">
        <w:rPr>
          <w:b/>
          <w:bCs/>
        </w:rPr>
        <w:t>3. Limited Central and Gastrointestinal Effects (for GIP)</w:t>
      </w:r>
    </w:p>
    <w:p w14:paraId="1BC90922" w14:textId="77777777" w:rsidR="001D42D3" w:rsidRDefault="001D42D3" w:rsidP="00D554C6">
      <w:pPr>
        <w:pStyle w:val="NormalWeb"/>
        <w:spacing w:line="360" w:lineRule="auto"/>
        <w:jc w:val="both"/>
      </w:pPr>
      <w:r w:rsidRPr="001D42D3">
        <w:t>GLP-1 has remarkable extrapancreatic activity; it abates appetite and delays gastric emptying. In contrast, native GIP exerts no real influence on satiety, gastric emptying, and weight reduction, thus limiting its use for obesity and metabolic syndromes-common comorbidities for T2DM.</w:t>
      </w:r>
    </w:p>
    <w:p w14:paraId="0A702729" w14:textId="77777777" w:rsidR="00DB77A9" w:rsidRPr="00D554C6" w:rsidRDefault="00DB77A9" w:rsidP="00D554C6">
      <w:pPr>
        <w:pStyle w:val="NormalWeb"/>
        <w:spacing w:line="360" w:lineRule="auto"/>
        <w:jc w:val="both"/>
        <w:rPr>
          <w:b/>
          <w:bCs/>
        </w:rPr>
      </w:pPr>
      <w:r w:rsidRPr="00D554C6">
        <w:rPr>
          <w:b/>
          <w:bCs/>
        </w:rPr>
        <w:t>4. Poor Suitability for Therapeutic Use</w:t>
      </w:r>
    </w:p>
    <w:p w14:paraId="0B9B0027" w14:textId="77777777" w:rsidR="001D42D3" w:rsidRDefault="001D42D3" w:rsidP="00D554C6">
      <w:pPr>
        <w:pStyle w:val="NormalWeb"/>
        <w:spacing w:line="360" w:lineRule="auto"/>
        <w:jc w:val="both"/>
      </w:pPr>
      <w:r w:rsidRPr="001D42D3">
        <w:t>Because of their high volatility, native incretin hormones were either to be given by continuous intravenous infusion or repeated doses every few hours so as to sustain their therapeutic effects-pose practical problems to the clinical setting. This drawback paved the way for the use of GLP-1 receptor agonists, which are resistant to DPP-4, and DPP-4 inhibitors, which extend the half-life of endogenous incretins.</w:t>
      </w:r>
      <w:r w:rsidR="00B9484C">
        <w:rPr>
          <w:vertAlign w:val="superscript"/>
        </w:rPr>
        <w:t>[16]</w:t>
      </w:r>
      <w:r w:rsidRPr="001D42D3">
        <w:t xml:space="preserve"> </w:t>
      </w:r>
    </w:p>
    <w:p w14:paraId="54618ABE" w14:textId="77777777" w:rsidR="00EF134E" w:rsidRPr="00D554C6" w:rsidRDefault="001D42D3" w:rsidP="00D554C6">
      <w:pPr>
        <w:pStyle w:val="NormalWeb"/>
        <w:spacing w:line="360" w:lineRule="auto"/>
        <w:jc w:val="both"/>
        <w:rPr>
          <w:b/>
          <w:u w:val="single"/>
        </w:rPr>
      </w:pPr>
      <w:r w:rsidRPr="00D554C6">
        <w:rPr>
          <w:b/>
          <w:u w:val="single"/>
        </w:rPr>
        <w:t>INCRETIN-BASED THERAPIES IN DIABETES</w:t>
      </w:r>
    </w:p>
    <w:p w14:paraId="3D148C2A" w14:textId="77777777" w:rsidR="00DB77A9" w:rsidRPr="00D554C6" w:rsidRDefault="00DB77A9" w:rsidP="00D554C6">
      <w:pPr>
        <w:pStyle w:val="NormalWeb"/>
        <w:spacing w:line="360" w:lineRule="auto"/>
        <w:jc w:val="both"/>
        <w:rPr>
          <w:b/>
          <w:bCs/>
        </w:rPr>
      </w:pPr>
      <w:r w:rsidRPr="00D554C6">
        <w:rPr>
          <w:b/>
          <w:bCs/>
        </w:rPr>
        <w:t>Incretin-Based Therapies in Diabetes</w:t>
      </w:r>
    </w:p>
    <w:p w14:paraId="58520BBC" w14:textId="77777777" w:rsidR="001D42D3" w:rsidRDefault="001D42D3" w:rsidP="00D554C6">
      <w:pPr>
        <w:pStyle w:val="NormalWeb"/>
        <w:spacing w:line="360" w:lineRule="auto"/>
        <w:jc w:val="both"/>
      </w:pPr>
      <w:r w:rsidRPr="001D42D3">
        <w:t>Incretin-based therapies have changed the natural course of type 2 diabetes mellitus (T2DM) by facilitating the glycemic actions of incretin hormones- GLP-1 and GIP. These therapies aim at enhancing insulin secretion while suppressing glucagon, delaying gastric emptying, as well as reducing body weight-glucose-dependently so that hypoglycaemia is avoided.</w:t>
      </w:r>
    </w:p>
    <w:p w14:paraId="5E991B63" w14:textId="77777777" w:rsidR="001D42D3" w:rsidRPr="001D42D3" w:rsidRDefault="001D42D3" w:rsidP="001D42D3">
      <w:pPr>
        <w:pStyle w:val="NormalWeb"/>
        <w:spacing w:line="360" w:lineRule="auto"/>
        <w:jc w:val="both"/>
        <w:rPr>
          <w:b/>
          <w:bCs/>
        </w:rPr>
      </w:pPr>
      <w:r w:rsidRPr="001D42D3">
        <w:rPr>
          <w:b/>
          <w:bCs/>
        </w:rPr>
        <w:t>1. GLP-1 Receptor Agonists (GLP-1 RAs)</w:t>
      </w:r>
    </w:p>
    <w:p w14:paraId="32BC9AFA" w14:textId="77777777" w:rsidR="001D42D3" w:rsidRPr="001D42D3" w:rsidRDefault="001D42D3" w:rsidP="001D42D3">
      <w:pPr>
        <w:pStyle w:val="NormalWeb"/>
        <w:spacing w:line="360" w:lineRule="auto"/>
        <w:jc w:val="both"/>
        <w:rPr>
          <w:bCs/>
        </w:rPr>
      </w:pPr>
      <w:r w:rsidRPr="001D42D3">
        <w:rPr>
          <w:bCs/>
        </w:rPr>
        <w:t>GLP-1 receptor agonists are synthetic analogs of GLP-1, designed to resist degradation by DPP-4 and therefore to allow longer half-lives. These drugs bind to the GLP-1 receptor and go on to act like the latter, presenting effects including:</w:t>
      </w:r>
    </w:p>
    <w:p w14:paraId="089245E3" w14:textId="77777777" w:rsidR="001D42D3" w:rsidRPr="001D42D3" w:rsidRDefault="001D42D3" w:rsidP="001D42D3">
      <w:pPr>
        <w:pStyle w:val="NormalWeb"/>
        <w:numPr>
          <w:ilvl w:val="0"/>
          <w:numId w:val="9"/>
        </w:numPr>
        <w:spacing w:line="360" w:lineRule="auto"/>
        <w:jc w:val="both"/>
        <w:rPr>
          <w:bCs/>
        </w:rPr>
      </w:pPr>
      <w:r w:rsidRPr="001D42D3">
        <w:rPr>
          <w:bCs/>
        </w:rPr>
        <w:t xml:space="preserve">Promoting insulin response to glucose retention </w:t>
      </w:r>
    </w:p>
    <w:p w14:paraId="6E8FB981" w14:textId="77777777" w:rsidR="001D42D3" w:rsidRPr="001D42D3" w:rsidRDefault="001D42D3" w:rsidP="001D42D3">
      <w:pPr>
        <w:pStyle w:val="NormalWeb"/>
        <w:numPr>
          <w:ilvl w:val="0"/>
          <w:numId w:val="9"/>
        </w:numPr>
        <w:spacing w:line="360" w:lineRule="auto"/>
        <w:jc w:val="both"/>
        <w:rPr>
          <w:bCs/>
        </w:rPr>
      </w:pPr>
      <w:r w:rsidRPr="001D42D3">
        <w:rPr>
          <w:bCs/>
        </w:rPr>
        <w:t xml:space="preserve">Inhibiting glucagon secretion </w:t>
      </w:r>
    </w:p>
    <w:p w14:paraId="1ACC71DE" w14:textId="77777777" w:rsidR="001D42D3" w:rsidRPr="001D42D3" w:rsidRDefault="001D42D3" w:rsidP="001D42D3">
      <w:pPr>
        <w:pStyle w:val="NormalWeb"/>
        <w:numPr>
          <w:ilvl w:val="0"/>
          <w:numId w:val="9"/>
        </w:numPr>
        <w:spacing w:line="360" w:lineRule="auto"/>
        <w:jc w:val="both"/>
        <w:rPr>
          <w:bCs/>
        </w:rPr>
      </w:pPr>
      <w:r w:rsidRPr="001D42D3">
        <w:rPr>
          <w:bCs/>
        </w:rPr>
        <w:lastRenderedPageBreak/>
        <w:t xml:space="preserve">Delaying gastric emptying </w:t>
      </w:r>
    </w:p>
    <w:p w14:paraId="3039099F" w14:textId="77777777" w:rsidR="001D42D3" w:rsidRPr="001D42D3" w:rsidRDefault="001D42D3" w:rsidP="001D42D3">
      <w:pPr>
        <w:pStyle w:val="NormalWeb"/>
        <w:numPr>
          <w:ilvl w:val="0"/>
          <w:numId w:val="9"/>
        </w:numPr>
        <w:spacing w:line="360" w:lineRule="auto"/>
        <w:jc w:val="both"/>
        <w:rPr>
          <w:bCs/>
        </w:rPr>
      </w:pPr>
      <w:r w:rsidRPr="001D42D3">
        <w:rPr>
          <w:bCs/>
        </w:rPr>
        <w:t>Suppressing appetite and body weight</w:t>
      </w:r>
    </w:p>
    <w:p w14:paraId="1732E68A" w14:textId="77777777" w:rsidR="001D42D3" w:rsidRPr="001D42D3" w:rsidRDefault="001D42D3" w:rsidP="001D42D3">
      <w:pPr>
        <w:pStyle w:val="NormalWeb"/>
        <w:spacing w:line="360" w:lineRule="auto"/>
        <w:jc w:val="both"/>
        <w:rPr>
          <w:bCs/>
        </w:rPr>
      </w:pPr>
      <w:r w:rsidRPr="001D42D3">
        <w:rPr>
          <w:bCs/>
        </w:rPr>
        <w:t>Examples: Exenatide, Liraglutide, Dulaglutide, Semaglutide, Tirzepatide (also has GIP activity)</w:t>
      </w:r>
    </w:p>
    <w:p w14:paraId="16C30471" w14:textId="77777777" w:rsidR="001D42D3" w:rsidRPr="00B9484C" w:rsidRDefault="001D42D3" w:rsidP="001D42D3">
      <w:pPr>
        <w:pStyle w:val="NormalWeb"/>
        <w:spacing w:line="360" w:lineRule="auto"/>
        <w:jc w:val="both"/>
        <w:rPr>
          <w:bCs/>
          <w:vertAlign w:val="superscript"/>
        </w:rPr>
      </w:pPr>
      <w:r w:rsidRPr="001D42D3">
        <w:rPr>
          <w:bCs/>
        </w:rPr>
        <w:t>These agents are administered subcutaneously with a dosing interval that can extend from once a day to once a week; some agents, however, like oral semaglutide, have oral formulations now.</w:t>
      </w:r>
      <w:r w:rsidR="00B9484C">
        <w:rPr>
          <w:bCs/>
          <w:vertAlign w:val="superscript"/>
        </w:rPr>
        <w:t>[17]</w:t>
      </w:r>
    </w:p>
    <w:p w14:paraId="528E2164" w14:textId="77777777" w:rsidR="00DB77A9" w:rsidRPr="00D554C6" w:rsidRDefault="00DB77A9" w:rsidP="001D42D3">
      <w:pPr>
        <w:pStyle w:val="NormalWeb"/>
        <w:spacing w:line="360" w:lineRule="auto"/>
        <w:jc w:val="both"/>
        <w:rPr>
          <w:b/>
          <w:bCs/>
        </w:rPr>
      </w:pPr>
      <w:r w:rsidRPr="00D554C6">
        <w:rPr>
          <w:b/>
          <w:bCs/>
        </w:rPr>
        <w:t>2. DPP-4 Inhibitors</w:t>
      </w:r>
    </w:p>
    <w:p w14:paraId="31A3D7F7" w14:textId="77777777" w:rsidR="001D42D3" w:rsidRDefault="001D42D3" w:rsidP="00D554C6">
      <w:pPr>
        <w:pStyle w:val="NormalWeb"/>
        <w:spacing w:line="360" w:lineRule="auto"/>
        <w:jc w:val="both"/>
      </w:pPr>
      <w:r w:rsidRPr="001D42D3">
        <w:t xml:space="preserve">DPP-4 inhibits the dipeptidyl peptidase-4 enzyme, thereby degrading endogenous GLP-1 and GIP. DPP-4 inhibitors, therefore, increase the half-life of native incretin hormones that slightly stimulate insulin secretion and inhibit glucagon release on a glucose-dependent scale. </w:t>
      </w:r>
    </w:p>
    <w:p w14:paraId="75A0E203" w14:textId="77777777" w:rsidR="00DB77A9" w:rsidRPr="00B9484C" w:rsidRDefault="00DB77A9" w:rsidP="00D554C6">
      <w:pPr>
        <w:pStyle w:val="NormalWeb"/>
        <w:spacing w:line="360" w:lineRule="auto"/>
        <w:jc w:val="both"/>
        <w:rPr>
          <w:vertAlign w:val="superscript"/>
        </w:rPr>
      </w:pPr>
      <w:r w:rsidRPr="00D554C6">
        <w:rPr>
          <w:b/>
          <w:bCs/>
        </w:rPr>
        <w:t>Examples</w:t>
      </w:r>
      <w:r w:rsidR="001D42D3">
        <w:t xml:space="preserve">: </w:t>
      </w:r>
      <w:r w:rsidRPr="00D554C6">
        <w:t>Sitagliptin, Vildagliptin, Saxagliptin, Linagliptin, Alogliptin</w:t>
      </w:r>
      <w:r w:rsidRPr="00D554C6">
        <w:br/>
        <w:t xml:space="preserve">These are administered </w:t>
      </w:r>
      <w:r w:rsidRPr="00D554C6">
        <w:rPr>
          <w:b/>
          <w:bCs/>
        </w:rPr>
        <w:t>orally</w:t>
      </w:r>
      <w:r w:rsidRPr="00D554C6">
        <w:t xml:space="preserve"> once daily, are generally well tolerated, and </w:t>
      </w:r>
      <w:r w:rsidRPr="00D554C6">
        <w:rPr>
          <w:b/>
          <w:bCs/>
        </w:rPr>
        <w:t>do not cause weight loss</w:t>
      </w:r>
      <w:r w:rsidRPr="00D554C6">
        <w:t>, unlike GLP-1 RAs.</w:t>
      </w:r>
      <w:r w:rsidR="00B9484C">
        <w:rPr>
          <w:vertAlign w:val="superscript"/>
        </w:rPr>
        <w:t>[18]</w:t>
      </w:r>
    </w:p>
    <w:p w14:paraId="380B91A4" w14:textId="77777777" w:rsidR="00DB77A9" w:rsidRPr="00D554C6" w:rsidRDefault="00DB77A9" w:rsidP="00D554C6">
      <w:pPr>
        <w:pStyle w:val="NormalWeb"/>
        <w:spacing w:line="360" w:lineRule="auto"/>
        <w:jc w:val="both"/>
        <w:rPr>
          <w:b/>
          <w:bCs/>
        </w:rPr>
      </w:pPr>
      <w:r w:rsidRPr="00D554C6">
        <w:rPr>
          <w:b/>
          <w:bCs/>
        </w:rPr>
        <w:t>3. Dual GIP/GLP-1 Receptor Agonists</w:t>
      </w:r>
    </w:p>
    <w:p w14:paraId="2EDF007E" w14:textId="77777777" w:rsidR="00EF134E" w:rsidRPr="00B9484C" w:rsidRDefault="001D42D3" w:rsidP="00D554C6">
      <w:pPr>
        <w:pStyle w:val="NormalWeb"/>
        <w:spacing w:line="360" w:lineRule="auto"/>
        <w:jc w:val="both"/>
        <w:rPr>
          <w:vertAlign w:val="superscript"/>
        </w:rPr>
      </w:pPr>
      <w:r w:rsidRPr="001D42D3">
        <w:t>The newer class of incretin-based therapies includes dual agonists of GIP and GLP-1 receptors. These agents strive to reinstate GIP responsiveness while harnessing the beneficial properties of GLP-1. The prime agent is Tirzepatide, which outperforms GLP-1 RAs with respect to glycemic control and weight loss.</w:t>
      </w:r>
      <w:r w:rsidR="00B9484C">
        <w:rPr>
          <w:vertAlign w:val="superscript"/>
        </w:rPr>
        <w:t>[19]</w:t>
      </w:r>
    </w:p>
    <w:p w14:paraId="3C22B94A" w14:textId="77777777" w:rsidR="00DB77A9" w:rsidRPr="00D554C6" w:rsidRDefault="001D42D3" w:rsidP="00D554C6">
      <w:pPr>
        <w:pStyle w:val="NormalWeb"/>
        <w:spacing w:line="360" w:lineRule="auto"/>
        <w:jc w:val="both"/>
        <w:rPr>
          <w:b/>
          <w:u w:val="single"/>
        </w:rPr>
      </w:pPr>
      <w:r w:rsidRPr="00D554C6">
        <w:rPr>
          <w:b/>
          <w:u w:val="single"/>
        </w:rPr>
        <w:t>DUAL GIP/GLP-1 RECEPTOR AGONISTS: A NEW ERA IN INCRETIN THERAPY</w:t>
      </w:r>
    </w:p>
    <w:p w14:paraId="1B2B2BB8" w14:textId="77777777" w:rsidR="001D42D3" w:rsidRDefault="001D42D3" w:rsidP="00D554C6">
      <w:pPr>
        <w:pStyle w:val="NormalWeb"/>
        <w:spacing w:line="360" w:lineRule="auto"/>
        <w:jc w:val="both"/>
      </w:pPr>
      <w:r w:rsidRPr="001D42D3">
        <w:t>The type 2 diabetes mellitus (T2DM) treatment landscape has drastically changed over the past 20 years, with incretin-based therapies standing at the centerstage in glycemic control with little risk for hypoglycemia. Of all the incretin hormones, GLP-1 and GIP play the major roles in stimulating postprandial insulin secretion in a glucose-dependent manner. While GLP-1 receptor agonists have shown great promise in lowering plasma glucose and inducing weight loss, the potential of GIP has long been underestimated chiefly because of the diminished insulinotropic effect it demonstrates in T2DM patients.</w:t>
      </w:r>
    </w:p>
    <w:p w14:paraId="6238F188" w14:textId="77777777" w:rsidR="001D42D3" w:rsidRPr="00B9484C" w:rsidRDefault="001D42D3" w:rsidP="001D42D3">
      <w:pPr>
        <w:pStyle w:val="NormalWeb"/>
        <w:spacing w:line="360" w:lineRule="auto"/>
        <w:jc w:val="both"/>
        <w:rPr>
          <w:vertAlign w:val="superscript"/>
        </w:rPr>
      </w:pPr>
      <w:r>
        <w:lastRenderedPageBreak/>
        <w:t>By these recent scientific advances, genesis of the idea that the co-activation of GIP and GLP-1 receptors could exert synergistic and complementary actions on metabolism beyond what the activation of GLP-1 receptor alone sustains, raising the opportunity to develop a new generation of dual GIP/GLP-1 receptor agonists as a new class of drugs that simultaneously target the two incretin pathways for better glycemic control, reduction of body weight, and cardiometabolic benefits. Tirzepatide, regarded as the first in line of dual receptor agonists, has shown superiority in clinical trials to well-established GLP-1 receptor agonists, both in HbA1c reduction and weight loss.</w:t>
      </w:r>
      <w:r w:rsidR="00B9484C">
        <w:rPr>
          <w:vertAlign w:val="superscript"/>
        </w:rPr>
        <w:t>[20]</w:t>
      </w:r>
    </w:p>
    <w:p w14:paraId="3D96D762" w14:textId="77777777" w:rsidR="000374D9" w:rsidRPr="00B9484C" w:rsidRDefault="001D42D3" w:rsidP="00D554C6">
      <w:pPr>
        <w:pStyle w:val="NormalWeb"/>
        <w:spacing w:line="360" w:lineRule="auto"/>
        <w:jc w:val="both"/>
        <w:rPr>
          <w:vertAlign w:val="superscript"/>
        </w:rPr>
      </w:pPr>
      <w:r>
        <w:t>With the coming forth of dual GIP/GLP-1 receptor agonists, a new dimension is added to incretin therapy, providing a more comprehensive, balanced approach to managing T2DM and associated metabolic disorders. The following review gives a synopsis of the physiological basis, mechanisms of action, clinical evidence, and therapeutic potential of these two-pronged agonists while emphasizing the pivotal role that dual receptor agonists play in the new generation of diabetes and obesity treatment.</w:t>
      </w:r>
      <w:r w:rsidR="00B9484C">
        <w:rPr>
          <w:vertAlign w:val="superscript"/>
        </w:rPr>
        <w:t>[21]</w:t>
      </w:r>
    </w:p>
    <w:p w14:paraId="5ED1906F" w14:textId="77777777" w:rsidR="000374D9" w:rsidRPr="001D42D3" w:rsidRDefault="001D42D3" w:rsidP="00D554C6">
      <w:pPr>
        <w:pStyle w:val="NormalWeb"/>
        <w:spacing w:line="360" w:lineRule="auto"/>
        <w:jc w:val="both"/>
        <w:rPr>
          <w:b/>
          <w:bCs/>
          <w:u w:val="single"/>
        </w:rPr>
      </w:pPr>
      <w:r w:rsidRPr="001D42D3">
        <w:rPr>
          <w:b/>
          <w:bCs/>
          <w:u w:val="single"/>
        </w:rPr>
        <w:t xml:space="preserve">RATIONALE FOR DUAL AGONISM </w:t>
      </w:r>
    </w:p>
    <w:p w14:paraId="289ED741" w14:textId="77777777" w:rsidR="000374D9" w:rsidRPr="00B9484C" w:rsidRDefault="001D42D3" w:rsidP="00D554C6">
      <w:pPr>
        <w:pStyle w:val="NormalWeb"/>
        <w:spacing w:line="360" w:lineRule="auto"/>
        <w:jc w:val="both"/>
        <w:rPr>
          <w:vertAlign w:val="superscript"/>
        </w:rPr>
      </w:pPr>
      <w:r w:rsidRPr="001D42D3">
        <w:t>There remain dual GIP/GLP-1 receptor agonists for complementary and synergistic effects of the two incretin hormones, glucose-dependent insulinotropic polypeptide (GIP), and glucagon-like peptide-1 (GLP-1), which are naturally secreted by the gut upon food ingestion. GLP-1 alone enhances glucose-dependent insulin secretion and inhibits glucagon release, gastric emptying, and appetite, consequently improving glycemic control and producing weight loss. GIP, in turn, seems to stimulate insulin secretion and is implicated in lipid metabolism, notwithstanding its diminished insulinotropic activity in T2D. Nevertheless, new studies show that the concurrent administration of GLP-1 can reverse β-cell insensitivity to GIP, thus restoring its insulinotropic effect. The dual agonists, such as tirzepatide, provide improved metabolic effects by activating simultaneously the GIP and GLP-1 receptors, hence exploiting their complementary but not entirely overlapping mechanisms; improved glycemic control, increased insulin secretion, enhanced insulin sensitivity, and marked weight loss are the effects. This dual agonism also allows for a broader and more powerful intervention than either one alone, thus describing a new era.</w:t>
      </w:r>
      <w:r w:rsidR="00B9484C">
        <w:rPr>
          <w:vertAlign w:val="superscript"/>
        </w:rPr>
        <w:t>[22]</w:t>
      </w:r>
    </w:p>
    <w:p w14:paraId="70B4A5C9" w14:textId="77777777" w:rsidR="000374D9" w:rsidRPr="001D42D3" w:rsidRDefault="001D42D3" w:rsidP="00D554C6">
      <w:pPr>
        <w:pStyle w:val="NormalWeb"/>
        <w:spacing w:line="360" w:lineRule="auto"/>
        <w:jc w:val="both"/>
        <w:rPr>
          <w:b/>
          <w:bCs/>
          <w:u w:val="single"/>
        </w:rPr>
      </w:pPr>
      <w:r w:rsidRPr="001D42D3">
        <w:rPr>
          <w:b/>
          <w:bCs/>
          <w:u w:val="single"/>
        </w:rPr>
        <w:lastRenderedPageBreak/>
        <w:t xml:space="preserve">SYNERGISTIC EFFECTS OF GIP AND GLP-1 </w:t>
      </w:r>
    </w:p>
    <w:p w14:paraId="5D4913AB" w14:textId="77777777" w:rsidR="001D42D3" w:rsidRDefault="001D42D3" w:rsidP="00D554C6">
      <w:pPr>
        <w:pStyle w:val="NormalWeb"/>
        <w:spacing w:line="360" w:lineRule="auto"/>
        <w:jc w:val="both"/>
      </w:pPr>
      <w:r w:rsidRPr="001D42D3">
        <w:t>With the stimulation of both receptors of GIP and GLP-1, we observe synergy beyond the mere overlapping activity of each of the two incretins. This synergy is responsible for the dual incretin therapy for all-inclusive metabolic regulation. These effects can be seen as complementary and synergistic:</w:t>
      </w:r>
    </w:p>
    <w:p w14:paraId="57846681" w14:textId="77777777" w:rsidR="000374D9" w:rsidRPr="00D554C6" w:rsidRDefault="000374D9" w:rsidP="00D554C6">
      <w:pPr>
        <w:pStyle w:val="NormalWeb"/>
        <w:spacing w:line="360" w:lineRule="auto"/>
        <w:jc w:val="both"/>
        <w:rPr>
          <w:b/>
          <w:bCs/>
        </w:rPr>
      </w:pPr>
      <w:r w:rsidRPr="00D554C6">
        <w:rPr>
          <w:b/>
          <w:bCs/>
        </w:rPr>
        <w:t>1. Enhanced Glucose-Dependent Insulin Secretion</w:t>
      </w:r>
    </w:p>
    <w:p w14:paraId="0D5D4579" w14:textId="77777777" w:rsidR="001D42D3" w:rsidRPr="00B9484C" w:rsidRDefault="001D42D3" w:rsidP="00D554C6">
      <w:pPr>
        <w:pStyle w:val="NormalWeb"/>
        <w:spacing w:line="360" w:lineRule="auto"/>
        <w:jc w:val="both"/>
        <w:rPr>
          <w:vertAlign w:val="superscript"/>
        </w:rPr>
      </w:pPr>
      <w:r w:rsidRPr="001D42D3">
        <w:t>Both GIP and GLP-1 are known as incretin hormones in that they stimulate insulin secretion on a glucose-dependent basis; in other words, their effects are potentiated only when blood glucose levels are high, and hence, the lower risk of hypoglycemia. GLP-1 binds to GLP-1 receptors on pancreatic β-cells, increases ADP-ribosyl cyclase activity, and intracellular cAMP levels, leading to insulin secretion from the pancreatic β-cells. GIP is secreted from K-cells and acts similarly through its own receptor. Insulin release is more than doubled when both hormones act synergistically on their respective receptors. Such complementary action provides a better control of blood sugars, especially when demand for insulin is highest, i.e., postprandially.</w:t>
      </w:r>
      <w:r w:rsidR="00B9484C">
        <w:rPr>
          <w:vertAlign w:val="superscript"/>
        </w:rPr>
        <w:t>[23]</w:t>
      </w:r>
    </w:p>
    <w:p w14:paraId="4E3EE7EE" w14:textId="77777777" w:rsidR="000374D9" w:rsidRPr="00D554C6" w:rsidRDefault="000374D9" w:rsidP="00D554C6">
      <w:pPr>
        <w:pStyle w:val="NormalWeb"/>
        <w:spacing w:line="360" w:lineRule="auto"/>
        <w:jc w:val="both"/>
        <w:rPr>
          <w:b/>
          <w:bCs/>
        </w:rPr>
      </w:pPr>
      <w:r w:rsidRPr="00D554C6">
        <w:rPr>
          <w:b/>
          <w:bCs/>
        </w:rPr>
        <w:t>2. Improved β-Cell Function and Survival</w:t>
      </w:r>
    </w:p>
    <w:p w14:paraId="5E547F68" w14:textId="77777777" w:rsidR="001D42D3" w:rsidRPr="00B9484C" w:rsidRDefault="001D42D3" w:rsidP="00D554C6">
      <w:pPr>
        <w:pStyle w:val="NormalWeb"/>
        <w:spacing w:line="360" w:lineRule="auto"/>
        <w:jc w:val="both"/>
        <w:rPr>
          <w:vertAlign w:val="superscript"/>
        </w:rPr>
      </w:pPr>
      <w:r w:rsidRPr="001D42D3">
        <w:t>Increased chronic hyperglycemia and metabolic stress in diabetes mellitus type 2 contribute to β-cell dysfunction and apoptosis. GLP-1 has a well-known trophic effect on β-cells; it promotes proliferation, inhibits apoptosis, and enhances insulin gene transcription. Though GIP has weak insulinotropic capabilities in T2DM, simultaneous activation with GLP-1 restores GIP receptor responsiveness, thereby improving β-cell function. This restoration plays an important role in the long-term preservation of insulin secretion capacity. Hence, dual receptor agonists serve as a powerful treatment option foratically slowing or preventing β-cell loss in the course of diabetes.</w:t>
      </w:r>
      <w:r w:rsidR="00B9484C">
        <w:rPr>
          <w:vertAlign w:val="superscript"/>
        </w:rPr>
        <w:t>[24]</w:t>
      </w:r>
    </w:p>
    <w:p w14:paraId="6AA8B2D6" w14:textId="77777777" w:rsidR="000374D9" w:rsidRPr="00D554C6" w:rsidRDefault="000374D9" w:rsidP="00D554C6">
      <w:pPr>
        <w:pStyle w:val="NormalWeb"/>
        <w:spacing w:line="360" w:lineRule="auto"/>
        <w:jc w:val="both"/>
        <w:rPr>
          <w:b/>
          <w:bCs/>
        </w:rPr>
      </w:pPr>
      <w:r w:rsidRPr="00D554C6">
        <w:rPr>
          <w:b/>
          <w:bCs/>
        </w:rPr>
        <w:t>3. Superior Glucagon Suppression</w:t>
      </w:r>
    </w:p>
    <w:p w14:paraId="64E1B7D2" w14:textId="77777777" w:rsidR="000374D9" w:rsidRPr="00B9484C" w:rsidRDefault="001D42D3" w:rsidP="00D554C6">
      <w:pPr>
        <w:pStyle w:val="NormalWeb"/>
        <w:spacing w:line="360" w:lineRule="auto"/>
        <w:jc w:val="both"/>
        <w:rPr>
          <w:vertAlign w:val="superscript"/>
        </w:rPr>
      </w:pPr>
      <w:r w:rsidRPr="001D42D3">
        <w:t xml:space="preserve">Hyperglucagonemia supports the elevation in hepatic glucose production in T2DM. GLP-1 suppresses glucagon release during hyperglycemia, thus helping to lower fasting plasma glucose </w:t>
      </w:r>
      <w:r w:rsidRPr="001D42D3">
        <w:lastRenderedPageBreak/>
        <w:t>levels. The role is more subtle for GIP; in fact, it can be either stimulatory or inhibitory on glucagon secretion depending on the glycemic state. However, its co-activation with GLP-1 results in an enhancement of the overall glucagon-suppressing effects, especially in the postprandial state. This reduction of hepatic glucose output improves glucose homeostasis and adds to the dual agonist effects on fasting glucose reduction observed with agents such as tirzepatide.</w:t>
      </w:r>
      <w:r w:rsidR="00B9484C">
        <w:rPr>
          <w:vertAlign w:val="superscript"/>
        </w:rPr>
        <w:t>[25]</w:t>
      </w:r>
    </w:p>
    <w:p w14:paraId="4255EBB3" w14:textId="77777777" w:rsidR="000374D9" w:rsidRPr="00D554C6" w:rsidRDefault="000374D9" w:rsidP="00D554C6">
      <w:pPr>
        <w:pStyle w:val="NormalWeb"/>
        <w:spacing w:line="360" w:lineRule="auto"/>
        <w:jc w:val="both"/>
        <w:rPr>
          <w:b/>
          <w:bCs/>
        </w:rPr>
      </w:pPr>
      <w:r w:rsidRPr="00D554C6">
        <w:rPr>
          <w:b/>
          <w:bCs/>
        </w:rPr>
        <w:t>4. Greater Weight Reduction and Appetite Control</w:t>
      </w:r>
    </w:p>
    <w:p w14:paraId="754007E4" w14:textId="77777777" w:rsidR="001D42D3" w:rsidRPr="00B9484C" w:rsidRDefault="001D42D3" w:rsidP="00D554C6">
      <w:pPr>
        <w:pStyle w:val="NormalWeb"/>
        <w:spacing w:line="360" w:lineRule="auto"/>
        <w:jc w:val="both"/>
        <w:rPr>
          <w:vertAlign w:val="superscript"/>
        </w:rPr>
      </w:pPr>
      <w:r w:rsidRPr="001D42D3">
        <w:t>GLP-1 slows down gastric emptying, acting on the hypothalamus to bring about the feeling of satiety, thereby preventing the ingestion of calories. On the other hand, GIP, which once was notorious for fat storage, presents beneficial effects, including fat breakdown in combination with GLP-1. Recent literature hypothesizes that the activation of the GIP receptor might actually fight against metabolic compensations resisting weight loss. Thus, GIP and GLP-1 work synergistically to suppress hunger, postpone gastric emptying, and adjust body weight regulation beneficially-the effects of these combinations are far more intense than those of GLP-1 alone.</w:t>
      </w:r>
      <w:r w:rsidR="00B9484C">
        <w:rPr>
          <w:vertAlign w:val="superscript"/>
        </w:rPr>
        <w:t>[26]</w:t>
      </w:r>
    </w:p>
    <w:p w14:paraId="347BBC2D" w14:textId="77777777" w:rsidR="000374D9" w:rsidRPr="00D554C6" w:rsidRDefault="000374D9" w:rsidP="00D554C6">
      <w:pPr>
        <w:pStyle w:val="NormalWeb"/>
        <w:spacing w:line="360" w:lineRule="auto"/>
        <w:jc w:val="both"/>
        <w:rPr>
          <w:b/>
          <w:bCs/>
        </w:rPr>
      </w:pPr>
      <w:r w:rsidRPr="00D554C6">
        <w:rPr>
          <w:b/>
          <w:bCs/>
        </w:rPr>
        <w:t>5. Improved Lipid Metabolism and Insulin Sensitivity</w:t>
      </w:r>
    </w:p>
    <w:p w14:paraId="09EED80D" w14:textId="77777777" w:rsidR="000374D9" w:rsidRPr="00B9484C" w:rsidRDefault="004C5A16" w:rsidP="00D554C6">
      <w:pPr>
        <w:pStyle w:val="NormalWeb"/>
        <w:spacing w:line="360" w:lineRule="auto"/>
        <w:jc w:val="both"/>
        <w:rPr>
          <w:vertAlign w:val="superscript"/>
        </w:rPr>
      </w:pPr>
      <w:r w:rsidRPr="004C5A16">
        <w:t>Lipids and energy are affected by GIP and GLP-1, in addition to glycemic effects. GIP facilitates the uptake of lipids into adipocytes and their storage, which under dual agonism may be regulated to favor fat oxidation instead of accumulation. GLP-1 improves insulin sensitivity in peripheral tissues. Combined, they work to increase glucose and lipid utilization, decrease deposition of ectopic fat, and improve insulin action in muscles and liver. This improvement in metabolism stands as a critical aspect in patients with metabolic syndrome or those with obesity-related insulin resistance.</w:t>
      </w:r>
      <w:r w:rsidR="00B9484C">
        <w:rPr>
          <w:vertAlign w:val="superscript"/>
        </w:rPr>
        <w:t>[27]</w:t>
      </w:r>
    </w:p>
    <w:p w14:paraId="2AE32C10" w14:textId="77777777" w:rsidR="000374D9" w:rsidRPr="00D554C6" w:rsidRDefault="000374D9" w:rsidP="00D554C6">
      <w:pPr>
        <w:pStyle w:val="NormalWeb"/>
        <w:spacing w:line="360" w:lineRule="auto"/>
        <w:jc w:val="both"/>
        <w:rPr>
          <w:b/>
          <w:bCs/>
        </w:rPr>
      </w:pPr>
      <w:r w:rsidRPr="00D554C6">
        <w:rPr>
          <w:b/>
          <w:bCs/>
        </w:rPr>
        <w:t>6. Restoration of GIP Response in T2D</w:t>
      </w:r>
    </w:p>
    <w:p w14:paraId="681E2446" w14:textId="77777777" w:rsidR="004C5A16" w:rsidRPr="00D554C6" w:rsidRDefault="004C5A16" w:rsidP="00D554C6">
      <w:pPr>
        <w:pStyle w:val="NormalWeb"/>
        <w:spacing w:line="360" w:lineRule="auto"/>
        <w:jc w:val="both"/>
      </w:pPr>
      <w:r w:rsidRPr="004C5A16">
        <w:t xml:space="preserve">A major difficulty in using GIP as a therapeutic agent has been the lowered insulinotropic effect in T2DM individuals. Nevertheless, when in tandem with GLP-1, GIP receptors may regain function, perhaps via enhancement of β-cell glucose responsiveness and intracellular signaling synergy. Such restoration allows GIP to reacquire its physiological functions in insulin release </w:t>
      </w:r>
      <w:r w:rsidRPr="004C5A16">
        <w:lastRenderedPageBreak/>
        <w:t>and metabolism. In other words, from a weakened and unproductive player, GIP is transformed into an effective partner in dual drug therapy and one whose effects even outweigh those of GLP-1 monotherapy.</w:t>
      </w:r>
      <w:r w:rsidR="00B9484C">
        <w:rPr>
          <w:vertAlign w:val="superscript"/>
        </w:rPr>
        <w:t>[28]</w:t>
      </w:r>
    </w:p>
    <w:p w14:paraId="67626FB0" w14:textId="023C39B9" w:rsidR="004C5A16" w:rsidRPr="004C5A16" w:rsidRDefault="00875C56" w:rsidP="004C5A1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Table </w:t>
      </w:r>
      <w:proofErr w:type="gramStart"/>
      <w:r>
        <w:rPr>
          <w:rFonts w:ascii="Times New Roman" w:eastAsia="Times New Roman" w:hAnsi="Times New Roman" w:cs="Times New Roman"/>
          <w:b/>
          <w:sz w:val="24"/>
          <w:szCs w:val="24"/>
          <w:u w:val="single"/>
        </w:rPr>
        <w:t>1 :</w:t>
      </w:r>
      <w:proofErr w:type="gramEnd"/>
      <w:r>
        <w:rPr>
          <w:rFonts w:ascii="Times New Roman" w:eastAsia="Times New Roman" w:hAnsi="Times New Roman" w:cs="Times New Roman"/>
          <w:b/>
          <w:sz w:val="24"/>
          <w:szCs w:val="24"/>
          <w:u w:val="single"/>
        </w:rPr>
        <w:t xml:space="preserve"> </w:t>
      </w:r>
      <w:r w:rsidR="004C5A16" w:rsidRPr="004C5A16">
        <w:rPr>
          <w:rFonts w:ascii="Times New Roman" w:eastAsia="Times New Roman" w:hAnsi="Times New Roman" w:cs="Times New Roman"/>
          <w:b/>
          <w:sz w:val="24"/>
          <w:szCs w:val="24"/>
          <w:u w:val="single"/>
        </w:rPr>
        <w:t>PRECLINICAL AND CLINICAL DEVELOPMENT OF DUAL AGONISTS</w:t>
      </w:r>
    </w:p>
    <w:p w14:paraId="4663A01C" w14:textId="77777777" w:rsidR="00EF134E" w:rsidRPr="00D554C6" w:rsidRDefault="00EF134E" w:rsidP="004C5A16"/>
    <w:tbl>
      <w:tblPr>
        <w:tblStyle w:val="TableGrid"/>
        <w:tblW w:w="10005" w:type="dxa"/>
        <w:tblLook w:val="04A0" w:firstRow="1" w:lastRow="0" w:firstColumn="1" w:lastColumn="0" w:noHBand="0" w:noVBand="1"/>
      </w:tblPr>
      <w:tblGrid>
        <w:gridCol w:w="1537"/>
        <w:gridCol w:w="3334"/>
        <w:gridCol w:w="1433"/>
        <w:gridCol w:w="3701"/>
      </w:tblGrid>
      <w:tr w:rsidR="003F6EFB" w:rsidRPr="00D554C6" w14:paraId="3E7F44FD" w14:textId="77777777" w:rsidTr="003F6EFB">
        <w:trPr>
          <w:trHeight w:val="727"/>
        </w:trPr>
        <w:tc>
          <w:tcPr>
            <w:tcW w:w="1537" w:type="dxa"/>
            <w:vAlign w:val="center"/>
            <w:hideMark/>
          </w:tcPr>
          <w:p w14:paraId="77021E98"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Trial Name</w:t>
            </w:r>
          </w:p>
        </w:tc>
        <w:tc>
          <w:tcPr>
            <w:tcW w:w="3334" w:type="dxa"/>
            <w:vAlign w:val="center"/>
            <w:hideMark/>
          </w:tcPr>
          <w:p w14:paraId="275CB7EA"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Title</w:t>
            </w:r>
          </w:p>
        </w:tc>
        <w:tc>
          <w:tcPr>
            <w:tcW w:w="0" w:type="auto"/>
            <w:vAlign w:val="center"/>
            <w:hideMark/>
          </w:tcPr>
          <w:p w14:paraId="2B0847E1"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Author(s)</w:t>
            </w:r>
          </w:p>
        </w:tc>
        <w:tc>
          <w:tcPr>
            <w:tcW w:w="0" w:type="auto"/>
            <w:vAlign w:val="center"/>
            <w:hideMark/>
          </w:tcPr>
          <w:p w14:paraId="77BA3B3B" w14:textId="77777777" w:rsidR="003F6EFB" w:rsidRPr="000374D9" w:rsidRDefault="003F6EFB"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Conclusion</w:t>
            </w:r>
          </w:p>
        </w:tc>
      </w:tr>
      <w:tr w:rsidR="003F6EFB" w:rsidRPr="00D554C6" w14:paraId="64B1257B" w14:textId="77777777" w:rsidTr="003F6EFB">
        <w:trPr>
          <w:trHeight w:val="2546"/>
        </w:trPr>
        <w:tc>
          <w:tcPr>
            <w:tcW w:w="1537" w:type="dxa"/>
            <w:vAlign w:val="center"/>
            <w:hideMark/>
          </w:tcPr>
          <w:p w14:paraId="33866FCF"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SURPASS-1</w:t>
            </w:r>
          </w:p>
        </w:tc>
        <w:tc>
          <w:tcPr>
            <w:tcW w:w="3334" w:type="dxa"/>
            <w:vAlign w:val="center"/>
            <w:hideMark/>
          </w:tcPr>
          <w:p w14:paraId="477C2021"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Efficacy and safety of tirzepatide monotherapy versus placebo in patients with type 2 diabetes (SURPASS-1): a double-blind, randomised, phase 3 trial</w:t>
            </w:r>
          </w:p>
        </w:tc>
        <w:tc>
          <w:tcPr>
            <w:tcW w:w="0" w:type="auto"/>
            <w:vAlign w:val="center"/>
            <w:hideMark/>
          </w:tcPr>
          <w:p w14:paraId="7FE97A36"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Rosenstock J, et al.</w:t>
            </w:r>
          </w:p>
        </w:tc>
        <w:tc>
          <w:tcPr>
            <w:tcW w:w="0" w:type="auto"/>
            <w:vAlign w:val="center"/>
            <w:hideMark/>
          </w:tcPr>
          <w:p w14:paraId="3B025CDC"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significantly improved glycemic control and reduced body weight compared with placebo in patients inadequately controlled with diet and exercise.</w:t>
            </w:r>
            <w:r>
              <w:rPr>
                <w:rFonts w:ascii="Times New Roman" w:eastAsia="Times New Roman" w:hAnsi="Times New Roman" w:cs="Times New Roman"/>
                <w:sz w:val="24"/>
                <w:szCs w:val="24"/>
                <w:vertAlign w:val="superscript"/>
              </w:rPr>
              <w:t>[29]</w:t>
            </w:r>
          </w:p>
        </w:tc>
      </w:tr>
      <w:tr w:rsidR="003F6EFB" w:rsidRPr="00D554C6" w14:paraId="093112BD" w14:textId="77777777" w:rsidTr="003F6EFB">
        <w:trPr>
          <w:trHeight w:val="2546"/>
        </w:trPr>
        <w:tc>
          <w:tcPr>
            <w:tcW w:w="1537" w:type="dxa"/>
            <w:vAlign w:val="center"/>
            <w:hideMark/>
          </w:tcPr>
          <w:p w14:paraId="7AF7DD6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SURPASS-2</w:t>
            </w:r>
          </w:p>
        </w:tc>
        <w:tc>
          <w:tcPr>
            <w:tcW w:w="3334" w:type="dxa"/>
            <w:vAlign w:val="center"/>
            <w:hideMark/>
          </w:tcPr>
          <w:p w14:paraId="11F5FD68"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Once-weekly tirzepatide versus once-weekly semaglutide in patients with type 2 diabetes (SURPASS-2): a randomised, open-label, phase 3 trial</w:t>
            </w:r>
          </w:p>
        </w:tc>
        <w:tc>
          <w:tcPr>
            <w:tcW w:w="0" w:type="auto"/>
            <w:vAlign w:val="center"/>
            <w:hideMark/>
          </w:tcPr>
          <w:p w14:paraId="250746CA"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Frias JP, et al.</w:t>
            </w:r>
          </w:p>
        </w:tc>
        <w:tc>
          <w:tcPr>
            <w:tcW w:w="0" w:type="auto"/>
            <w:vAlign w:val="center"/>
            <w:hideMark/>
          </w:tcPr>
          <w:p w14:paraId="23337C37"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was superior to semaglutide in reducing HbA1c and body weight in patients with type 2 diabetes on metformin.</w:t>
            </w:r>
            <w:r>
              <w:rPr>
                <w:rFonts w:ascii="Times New Roman" w:eastAsia="Times New Roman" w:hAnsi="Times New Roman" w:cs="Times New Roman"/>
                <w:sz w:val="24"/>
                <w:szCs w:val="24"/>
                <w:vertAlign w:val="superscript"/>
              </w:rPr>
              <w:t>[30]</w:t>
            </w:r>
          </w:p>
        </w:tc>
      </w:tr>
      <w:tr w:rsidR="003F6EFB" w:rsidRPr="00D554C6" w14:paraId="25D0BFC1" w14:textId="77777777" w:rsidTr="003F6EFB">
        <w:trPr>
          <w:trHeight w:val="2182"/>
        </w:trPr>
        <w:tc>
          <w:tcPr>
            <w:tcW w:w="1537" w:type="dxa"/>
            <w:vAlign w:val="center"/>
            <w:hideMark/>
          </w:tcPr>
          <w:p w14:paraId="3AA89E73"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SURPASS-3</w:t>
            </w:r>
          </w:p>
        </w:tc>
        <w:tc>
          <w:tcPr>
            <w:tcW w:w="3334" w:type="dxa"/>
            <w:vAlign w:val="center"/>
            <w:hideMark/>
          </w:tcPr>
          <w:p w14:paraId="71D367AF"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Tirzepatide vs insulin degludec in type 2 diabetes (SURPASS-3): a randomised, open-label, phase 3 trial</w:t>
            </w:r>
          </w:p>
        </w:tc>
        <w:tc>
          <w:tcPr>
            <w:tcW w:w="0" w:type="auto"/>
            <w:vAlign w:val="center"/>
            <w:hideMark/>
          </w:tcPr>
          <w:p w14:paraId="563D9078"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Del Prato S, et al.</w:t>
            </w:r>
          </w:p>
        </w:tc>
        <w:tc>
          <w:tcPr>
            <w:tcW w:w="0" w:type="auto"/>
            <w:vAlign w:val="center"/>
            <w:hideMark/>
          </w:tcPr>
          <w:p w14:paraId="12DC3B04"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resulted in superior HbA1c and weight reductions versus insulin degludec in patients with type 2 diabetes on oral agents.</w:t>
            </w:r>
            <w:r>
              <w:rPr>
                <w:rFonts w:ascii="Times New Roman" w:eastAsia="Times New Roman" w:hAnsi="Times New Roman" w:cs="Times New Roman"/>
                <w:sz w:val="24"/>
                <w:szCs w:val="24"/>
                <w:vertAlign w:val="superscript"/>
              </w:rPr>
              <w:t>[31]</w:t>
            </w:r>
          </w:p>
        </w:tc>
      </w:tr>
      <w:tr w:rsidR="003F6EFB" w:rsidRPr="00D554C6" w14:paraId="3FC2EC71" w14:textId="77777777" w:rsidTr="003F6EFB">
        <w:trPr>
          <w:trHeight w:val="2214"/>
        </w:trPr>
        <w:tc>
          <w:tcPr>
            <w:tcW w:w="1537" w:type="dxa"/>
            <w:vAlign w:val="center"/>
            <w:hideMark/>
          </w:tcPr>
          <w:p w14:paraId="5459048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SURPASS-5</w:t>
            </w:r>
          </w:p>
        </w:tc>
        <w:tc>
          <w:tcPr>
            <w:tcW w:w="3334" w:type="dxa"/>
            <w:vAlign w:val="center"/>
            <w:hideMark/>
          </w:tcPr>
          <w:p w14:paraId="760FE929"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iCs/>
                <w:sz w:val="24"/>
                <w:szCs w:val="24"/>
              </w:rPr>
              <w:t>Tirzepatide versus placebo as add-on to insulin glargine in type 2 diabetes (SURPASS-5): a phase 3, double-blind, randomised trial</w:t>
            </w:r>
          </w:p>
        </w:tc>
        <w:tc>
          <w:tcPr>
            <w:tcW w:w="0" w:type="auto"/>
            <w:vAlign w:val="center"/>
            <w:hideMark/>
          </w:tcPr>
          <w:p w14:paraId="5B70D197" w14:textId="77777777" w:rsidR="003F6EFB" w:rsidRPr="000374D9" w:rsidRDefault="003F6EFB" w:rsidP="004C5A16">
            <w:pPr>
              <w:spacing w:line="360" w:lineRule="auto"/>
              <w:jc w:val="center"/>
              <w:rPr>
                <w:rFonts w:ascii="Times New Roman" w:eastAsia="Times New Roman" w:hAnsi="Times New Roman" w:cs="Times New Roman"/>
                <w:sz w:val="24"/>
                <w:szCs w:val="24"/>
              </w:rPr>
            </w:pPr>
            <w:r w:rsidRPr="000374D9">
              <w:rPr>
                <w:rFonts w:ascii="Times New Roman" w:eastAsia="Times New Roman" w:hAnsi="Times New Roman" w:cs="Times New Roman"/>
                <w:sz w:val="24"/>
                <w:szCs w:val="24"/>
              </w:rPr>
              <w:t>Ludvik B, et al.</w:t>
            </w:r>
          </w:p>
        </w:tc>
        <w:tc>
          <w:tcPr>
            <w:tcW w:w="0" w:type="auto"/>
            <w:vAlign w:val="center"/>
            <w:hideMark/>
          </w:tcPr>
          <w:p w14:paraId="122565E6" w14:textId="77777777" w:rsidR="003F6EFB" w:rsidRPr="000374D9" w:rsidRDefault="003F6EFB" w:rsidP="004C5A16">
            <w:pPr>
              <w:spacing w:line="360" w:lineRule="auto"/>
              <w:jc w:val="center"/>
              <w:rPr>
                <w:rFonts w:ascii="Times New Roman" w:eastAsia="Times New Roman" w:hAnsi="Times New Roman" w:cs="Times New Roman"/>
                <w:sz w:val="24"/>
                <w:szCs w:val="24"/>
                <w:vertAlign w:val="superscript"/>
              </w:rPr>
            </w:pPr>
            <w:r w:rsidRPr="000374D9">
              <w:rPr>
                <w:rFonts w:ascii="Times New Roman" w:eastAsia="Times New Roman" w:hAnsi="Times New Roman" w:cs="Times New Roman"/>
                <w:sz w:val="24"/>
                <w:szCs w:val="24"/>
              </w:rPr>
              <w:t>Tirzepatide added to basal insulin significantly improved glycemic control and led to weight reduction, without increasing hypoglycemia risk.</w:t>
            </w:r>
            <w:r>
              <w:rPr>
                <w:rFonts w:ascii="Times New Roman" w:eastAsia="Times New Roman" w:hAnsi="Times New Roman" w:cs="Times New Roman"/>
                <w:sz w:val="24"/>
                <w:szCs w:val="24"/>
                <w:vertAlign w:val="superscript"/>
              </w:rPr>
              <w:t>[32]</w:t>
            </w:r>
          </w:p>
        </w:tc>
      </w:tr>
    </w:tbl>
    <w:p w14:paraId="33F57442" w14:textId="77777777" w:rsidR="000374D9" w:rsidRPr="004C5A16" w:rsidRDefault="004C5A16" w:rsidP="00D554C6">
      <w:pPr>
        <w:pStyle w:val="NormalWeb"/>
        <w:spacing w:line="360" w:lineRule="auto"/>
        <w:jc w:val="both"/>
        <w:rPr>
          <w:b/>
          <w:bCs/>
          <w:u w:val="single"/>
        </w:rPr>
      </w:pPr>
      <w:r w:rsidRPr="004C5A16">
        <w:rPr>
          <w:b/>
          <w:bCs/>
          <w:u w:val="single"/>
        </w:rPr>
        <w:lastRenderedPageBreak/>
        <w:t>TIRZEPATIDE: FIRST-IN-CLASS DUAL AGONIST</w:t>
      </w:r>
    </w:p>
    <w:p w14:paraId="6A79CD35" w14:textId="77777777" w:rsidR="004C5A16" w:rsidRDefault="004C5A16" w:rsidP="00D554C6">
      <w:pPr>
        <w:pStyle w:val="NormalWeb"/>
        <w:spacing w:line="360" w:lineRule="auto"/>
        <w:jc w:val="both"/>
      </w:pPr>
      <w:r w:rsidRPr="004C5A16">
        <w:t>Tirzepatide is a 39 amino acid synthetic peptide that is designed to bind and activate both glucose-dependent insulinotropic polypeptide (GIP) and glucagon-like peptide-1 (GLP-1) receptors. Having been engineered with a fatty acid moiety to extend its half-life, it may be administered once a week. The molecule binds and activates both incretin receptors, thus increasing insulin release depending on the glucose level, inhibiting glucagon release, causing satiety, delaying gastric emptying, and decreasing blood glucose levels. Dual receptor binding, in contrast to GLP-1 receptor agonists, enhances the benefits for metabolism, which includes particularly restoring GIP sensitivity, thereby usually impaired in T2DM.</w:t>
      </w:r>
    </w:p>
    <w:p w14:paraId="5DC26429" w14:textId="77777777" w:rsidR="004C5A16" w:rsidRPr="00B9484C" w:rsidRDefault="004C5A16" w:rsidP="00D554C6">
      <w:pPr>
        <w:pStyle w:val="NormalWeb"/>
        <w:spacing w:line="360" w:lineRule="auto"/>
        <w:jc w:val="both"/>
        <w:rPr>
          <w:vertAlign w:val="superscript"/>
        </w:rPr>
      </w:pPr>
      <w:r w:rsidRPr="004C5A16">
        <w:t>Tirzepatide shows slow absorption after subcutaneous administration, with a peak plasma concentration occurring at about 24–48 hours postdose. Once weekly dosing is based on its long half-life of approximately five days. The exclusion of any significant renal excretion is attributed to plasma proteases metabolizing it. The pharmacodynamic ramifications are a forceful reduction in HbA1c concentration, a significant decrease in body weight, and improved insulin sensitivity. Contrary to native GIP, tirzepatide restored the insulinotropic effects of GIP and enhanced GLP-1 mediated responses to lower fasting and postprandial glucose levels while reducing appetite and food intake.</w:t>
      </w:r>
      <w:r w:rsidR="00B9484C">
        <w:rPr>
          <w:vertAlign w:val="superscript"/>
        </w:rPr>
        <w:t>[33]</w:t>
      </w:r>
    </w:p>
    <w:p w14:paraId="0589670B" w14:textId="77777777" w:rsidR="000374D9" w:rsidRPr="00D554C6" w:rsidRDefault="000374D9" w:rsidP="00D554C6">
      <w:pPr>
        <w:pStyle w:val="NormalWeb"/>
        <w:spacing w:line="360" w:lineRule="auto"/>
        <w:jc w:val="both"/>
        <w:rPr>
          <w:b/>
          <w:bCs/>
        </w:rPr>
      </w:pPr>
      <w:r w:rsidRPr="00D554C6">
        <w:rPr>
          <w:b/>
          <w:bCs/>
        </w:rPr>
        <w:t>Dosing and Administration</w:t>
      </w:r>
    </w:p>
    <w:p w14:paraId="0342C4ED" w14:textId="77777777" w:rsidR="000374D9" w:rsidRDefault="004C5A16" w:rsidP="00D554C6">
      <w:pPr>
        <w:pStyle w:val="NormalWeb"/>
        <w:spacing w:line="360" w:lineRule="auto"/>
        <w:jc w:val="both"/>
        <w:rPr>
          <w:vertAlign w:val="superscript"/>
        </w:rPr>
      </w:pPr>
      <w:r w:rsidRPr="004C5A16">
        <w:t>The administration of tirzepatide is via weekly subcutaneous injection with no relation to food intake. Treatment usually begins with a dose of 2.5 mg once weekly, which is then increased by 2.5 mg increments every 4 weeks to decrease the probability of gastrointestinal side effects. The highest dose recommended is 15 mg once weekly, while doses of 5 mg, 10 mg, and 15 mg are commonly used for maintenance according to tolerability and treatment objectives. No dose adjustment is usually needed in cases of renal or hepatic impairment; however, the clinician must exercise judgment in special patient populations, including the elderly or those with severe gastrointestinal impairment.</w:t>
      </w:r>
      <w:r w:rsidR="00B9484C">
        <w:rPr>
          <w:vertAlign w:val="superscript"/>
        </w:rPr>
        <w:t>[34]</w:t>
      </w:r>
    </w:p>
    <w:p w14:paraId="338966DB" w14:textId="77777777" w:rsidR="003F6EFB" w:rsidRPr="00B9484C" w:rsidRDefault="003F6EFB" w:rsidP="00D554C6">
      <w:pPr>
        <w:pStyle w:val="NormalWeb"/>
        <w:spacing w:line="360" w:lineRule="auto"/>
        <w:jc w:val="both"/>
        <w:rPr>
          <w:vertAlign w:val="superscript"/>
        </w:rPr>
      </w:pPr>
    </w:p>
    <w:p w14:paraId="393BA03A" w14:textId="3829EC61" w:rsidR="004C5A16" w:rsidRPr="004C5A16" w:rsidRDefault="00875C56" w:rsidP="00D554C6">
      <w:pPr>
        <w:pStyle w:val="NormalWeb"/>
        <w:spacing w:line="360" w:lineRule="auto"/>
        <w:jc w:val="both"/>
        <w:rPr>
          <w:b/>
          <w:u w:val="single"/>
        </w:rPr>
      </w:pPr>
      <w:r>
        <w:rPr>
          <w:b/>
          <w:u w:val="single"/>
        </w:rPr>
        <w:lastRenderedPageBreak/>
        <w:t xml:space="preserve">Table </w:t>
      </w:r>
      <w:proofErr w:type="gramStart"/>
      <w:r>
        <w:rPr>
          <w:b/>
          <w:u w:val="single"/>
        </w:rPr>
        <w:t>2 :</w:t>
      </w:r>
      <w:proofErr w:type="gramEnd"/>
      <w:r>
        <w:rPr>
          <w:b/>
          <w:u w:val="single"/>
        </w:rPr>
        <w:t xml:space="preserve"> </w:t>
      </w:r>
      <w:r w:rsidR="004C5A16" w:rsidRPr="004C5A16">
        <w:rPr>
          <w:b/>
          <w:u w:val="single"/>
        </w:rPr>
        <w:t>COMPARATIVE EFFICACY WITH OTHER ANTIDIABETIC DRUGS</w:t>
      </w:r>
    </w:p>
    <w:tbl>
      <w:tblPr>
        <w:tblStyle w:val="TableGrid"/>
        <w:tblW w:w="9738" w:type="dxa"/>
        <w:tblLook w:val="04A0" w:firstRow="1" w:lastRow="0" w:firstColumn="1" w:lastColumn="0" w:noHBand="0" w:noVBand="1"/>
      </w:tblPr>
      <w:tblGrid>
        <w:gridCol w:w="1827"/>
        <w:gridCol w:w="1612"/>
        <w:gridCol w:w="1646"/>
        <w:gridCol w:w="1449"/>
        <w:gridCol w:w="1674"/>
        <w:gridCol w:w="1530"/>
      </w:tblGrid>
      <w:tr w:rsidR="00D554C6" w:rsidRPr="00D554C6" w14:paraId="1BA8A63C" w14:textId="77777777" w:rsidTr="004C5A16">
        <w:trPr>
          <w:trHeight w:val="864"/>
        </w:trPr>
        <w:tc>
          <w:tcPr>
            <w:tcW w:w="0" w:type="auto"/>
            <w:vAlign w:val="center"/>
            <w:hideMark/>
          </w:tcPr>
          <w:p w14:paraId="3F7E922F"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Parameter</w:t>
            </w:r>
          </w:p>
        </w:tc>
        <w:tc>
          <w:tcPr>
            <w:tcW w:w="0" w:type="auto"/>
            <w:vAlign w:val="center"/>
            <w:hideMark/>
          </w:tcPr>
          <w:p w14:paraId="75BAE8FE"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Dual GIP/GLP-1 Agonists (e.g., Tirzepatide)</w:t>
            </w:r>
          </w:p>
        </w:tc>
        <w:tc>
          <w:tcPr>
            <w:tcW w:w="0" w:type="auto"/>
            <w:vAlign w:val="center"/>
            <w:hideMark/>
          </w:tcPr>
          <w:p w14:paraId="1E8942E6"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GLP-1 RAs (e.g., Semaglutide)</w:t>
            </w:r>
          </w:p>
        </w:tc>
        <w:tc>
          <w:tcPr>
            <w:tcW w:w="0" w:type="auto"/>
            <w:vAlign w:val="center"/>
            <w:hideMark/>
          </w:tcPr>
          <w:p w14:paraId="12D83751"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DPP-4 Inhibitors (e.g., Sitagliptin)</w:t>
            </w:r>
          </w:p>
        </w:tc>
        <w:tc>
          <w:tcPr>
            <w:tcW w:w="1674" w:type="dxa"/>
            <w:vAlign w:val="center"/>
            <w:hideMark/>
          </w:tcPr>
          <w:p w14:paraId="0BCED607"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SGLT-2 Inhibitors (e.g., Dapagliflozin)</w:t>
            </w:r>
          </w:p>
        </w:tc>
        <w:tc>
          <w:tcPr>
            <w:tcW w:w="1530" w:type="dxa"/>
            <w:vAlign w:val="center"/>
            <w:hideMark/>
          </w:tcPr>
          <w:p w14:paraId="18F5757B" w14:textId="77777777" w:rsidR="00D554C6" w:rsidRPr="00D554C6" w:rsidRDefault="00D554C6" w:rsidP="004C5A16">
            <w:pPr>
              <w:spacing w:line="360" w:lineRule="auto"/>
              <w:jc w:val="center"/>
              <w:rPr>
                <w:rFonts w:ascii="Times New Roman" w:eastAsia="Times New Roman" w:hAnsi="Times New Roman" w:cs="Times New Roman"/>
                <w:b/>
                <w:bCs/>
                <w:sz w:val="24"/>
                <w:szCs w:val="24"/>
              </w:rPr>
            </w:pPr>
            <w:r w:rsidRPr="00D554C6">
              <w:rPr>
                <w:rFonts w:ascii="Times New Roman" w:eastAsia="Times New Roman" w:hAnsi="Times New Roman" w:cs="Times New Roman"/>
                <w:b/>
                <w:bCs/>
                <w:sz w:val="24"/>
                <w:szCs w:val="24"/>
              </w:rPr>
              <w:t>Insulin Glargine</w:t>
            </w:r>
          </w:p>
        </w:tc>
      </w:tr>
      <w:tr w:rsidR="00D554C6" w:rsidRPr="00D554C6" w14:paraId="5424C87C" w14:textId="77777777" w:rsidTr="004C5A16">
        <w:trPr>
          <w:trHeight w:val="864"/>
        </w:trPr>
        <w:tc>
          <w:tcPr>
            <w:tcW w:w="0" w:type="auto"/>
            <w:vAlign w:val="center"/>
            <w:hideMark/>
          </w:tcPr>
          <w:p w14:paraId="2FFE084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Blood Sugar Control</w:t>
            </w:r>
          </w:p>
        </w:tc>
        <w:tc>
          <w:tcPr>
            <w:tcW w:w="0" w:type="auto"/>
            <w:vAlign w:val="center"/>
            <w:hideMark/>
          </w:tcPr>
          <w:p w14:paraId="3F8FE29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strong glucose-lowering effect</w:t>
            </w:r>
          </w:p>
        </w:tc>
        <w:tc>
          <w:tcPr>
            <w:tcW w:w="0" w:type="auto"/>
            <w:vAlign w:val="center"/>
            <w:hideMark/>
          </w:tcPr>
          <w:p w14:paraId="0DF44BB8"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effect</w:t>
            </w:r>
          </w:p>
        </w:tc>
        <w:tc>
          <w:tcPr>
            <w:tcW w:w="0" w:type="auto"/>
            <w:vAlign w:val="center"/>
            <w:hideMark/>
          </w:tcPr>
          <w:p w14:paraId="7009804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effect</w:t>
            </w:r>
          </w:p>
        </w:tc>
        <w:tc>
          <w:tcPr>
            <w:tcW w:w="1674" w:type="dxa"/>
            <w:vAlign w:val="center"/>
            <w:hideMark/>
          </w:tcPr>
          <w:p w14:paraId="378BD52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effect</w:t>
            </w:r>
          </w:p>
        </w:tc>
        <w:tc>
          <w:tcPr>
            <w:tcW w:w="1530" w:type="dxa"/>
            <w:vAlign w:val="center"/>
            <w:hideMark/>
          </w:tcPr>
          <w:p w14:paraId="0A7C0DA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but needs careful titration</w:t>
            </w:r>
          </w:p>
        </w:tc>
      </w:tr>
      <w:tr w:rsidR="00D554C6" w:rsidRPr="00D554C6" w14:paraId="76B469DA" w14:textId="77777777" w:rsidTr="004C5A16">
        <w:trPr>
          <w:trHeight w:val="864"/>
        </w:trPr>
        <w:tc>
          <w:tcPr>
            <w:tcW w:w="0" w:type="auto"/>
            <w:vAlign w:val="center"/>
            <w:hideMark/>
          </w:tcPr>
          <w:p w14:paraId="222C30D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Weight Impact</w:t>
            </w:r>
          </w:p>
        </w:tc>
        <w:tc>
          <w:tcPr>
            <w:tcW w:w="0" w:type="auto"/>
            <w:vAlign w:val="center"/>
            <w:hideMark/>
          </w:tcPr>
          <w:p w14:paraId="1459676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Promotes significant weight loss</w:t>
            </w:r>
          </w:p>
        </w:tc>
        <w:tc>
          <w:tcPr>
            <w:tcW w:w="0" w:type="auto"/>
            <w:vAlign w:val="center"/>
            <w:hideMark/>
          </w:tcPr>
          <w:p w14:paraId="44E03A4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Helps with weight loss</w:t>
            </w:r>
          </w:p>
        </w:tc>
        <w:tc>
          <w:tcPr>
            <w:tcW w:w="0" w:type="auto"/>
            <w:vAlign w:val="center"/>
            <w:hideMark/>
          </w:tcPr>
          <w:p w14:paraId="69286C3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Weight neutral</w:t>
            </w:r>
          </w:p>
        </w:tc>
        <w:tc>
          <w:tcPr>
            <w:tcW w:w="1674" w:type="dxa"/>
            <w:vAlign w:val="center"/>
            <w:hideMark/>
          </w:tcPr>
          <w:p w14:paraId="4ECB68B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Mild weight loss</w:t>
            </w:r>
          </w:p>
        </w:tc>
        <w:tc>
          <w:tcPr>
            <w:tcW w:w="1530" w:type="dxa"/>
            <w:vAlign w:val="center"/>
            <w:hideMark/>
          </w:tcPr>
          <w:p w14:paraId="6C7C46C8"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May cause weight gain</w:t>
            </w:r>
          </w:p>
        </w:tc>
      </w:tr>
      <w:tr w:rsidR="00D554C6" w:rsidRPr="00D554C6" w14:paraId="62391EE4" w14:textId="77777777" w:rsidTr="004C5A16">
        <w:trPr>
          <w:trHeight w:val="864"/>
        </w:trPr>
        <w:tc>
          <w:tcPr>
            <w:tcW w:w="0" w:type="auto"/>
            <w:vAlign w:val="center"/>
            <w:hideMark/>
          </w:tcPr>
          <w:p w14:paraId="024DD28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Hypoglycemia Risk</w:t>
            </w:r>
          </w:p>
        </w:tc>
        <w:tc>
          <w:tcPr>
            <w:tcW w:w="0" w:type="auto"/>
            <w:vAlign w:val="center"/>
            <w:hideMark/>
          </w:tcPr>
          <w:p w14:paraId="7E91272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when used alone</w:t>
            </w:r>
          </w:p>
        </w:tc>
        <w:tc>
          <w:tcPr>
            <w:tcW w:w="0" w:type="auto"/>
            <w:vAlign w:val="center"/>
            <w:hideMark/>
          </w:tcPr>
          <w:p w14:paraId="2198EFC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risk</w:t>
            </w:r>
          </w:p>
        </w:tc>
        <w:tc>
          <w:tcPr>
            <w:tcW w:w="0" w:type="auto"/>
            <w:vAlign w:val="center"/>
            <w:hideMark/>
          </w:tcPr>
          <w:p w14:paraId="0333443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low risk</w:t>
            </w:r>
          </w:p>
        </w:tc>
        <w:tc>
          <w:tcPr>
            <w:tcW w:w="1674" w:type="dxa"/>
            <w:vAlign w:val="center"/>
            <w:hideMark/>
          </w:tcPr>
          <w:p w14:paraId="60CDB2A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Low risk</w:t>
            </w:r>
          </w:p>
        </w:tc>
        <w:tc>
          <w:tcPr>
            <w:tcW w:w="1530" w:type="dxa"/>
            <w:vAlign w:val="center"/>
            <w:hideMark/>
          </w:tcPr>
          <w:p w14:paraId="4E4C5A8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to high risk</w:t>
            </w:r>
          </w:p>
        </w:tc>
      </w:tr>
      <w:tr w:rsidR="00D554C6" w:rsidRPr="00D554C6" w14:paraId="00C4D9D1" w14:textId="77777777" w:rsidTr="004C5A16">
        <w:trPr>
          <w:trHeight w:val="864"/>
        </w:trPr>
        <w:tc>
          <w:tcPr>
            <w:tcW w:w="0" w:type="auto"/>
            <w:vAlign w:val="center"/>
            <w:hideMark/>
          </w:tcPr>
          <w:p w14:paraId="4462FFB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Appetite Suppression</w:t>
            </w:r>
          </w:p>
        </w:tc>
        <w:tc>
          <w:tcPr>
            <w:tcW w:w="0" w:type="auto"/>
            <w:vAlign w:val="center"/>
            <w:hideMark/>
          </w:tcPr>
          <w:p w14:paraId="24F92F7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appetite control, promotes satiety</w:t>
            </w:r>
          </w:p>
        </w:tc>
        <w:tc>
          <w:tcPr>
            <w:tcW w:w="0" w:type="auto"/>
            <w:vAlign w:val="center"/>
            <w:hideMark/>
          </w:tcPr>
          <w:p w14:paraId="069E476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Moderate appetite control</w:t>
            </w:r>
          </w:p>
        </w:tc>
        <w:tc>
          <w:tcPr>
            <w:tcW w:w="0" w:type="auto"/>
            <w:vAlign w:val="center"/>
            <w:hideMark/>
          </w:tcPr>
          <w:p w14:paraId="012671EC"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appetite effect</w:t>
            </w:r>
          </w:p>
        </w:tc>
        <w:tc>
          <w:tcPr>
            <w:tcW w:w="1674" w:type="dxa"/>
            <w:vAlign w:val="center"/>
            <w:hideMark/>
          </w:tcPr>
          <w:p w14:paraId="3AED17F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Minimal appetite effect</w:t>
            </w:r>
          </w:p>
        </w:tc>
        <w:tc>
          <w:tcPr>
            <w:tcW w:w="1530" w:type="dxa"/>
            <w:vAlign w:val="center"/>
            <w:hideMark/>
          </w:tcPr>
          <w:p w14:paraId="34BE3A0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effect</w:t>
            </w:r>
          </w:p>
        </w:tc>
      </w:tr>
      <w:tr w:rsidR="00D554C6" w:rsidRPr="00D554C6" w14:paraId="2C8E2DDC" w14:textId="77777777" w:rsidTr="004C5A16">
        <w:trPr>
          <w:trHeight w:val="864"/>
        </w:trPr>
        <w:tc>
          <w:tcPr>
            <w:tcW w:w="0" w:type="auto"/>
            <w:vAlign w:val="center"/>
            <w:hideMark/>
          </w:tcPr>
          <w:p w14:paraId="1AE4CE0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Cardiovascular Effect</w:t>
            </w:r>
          </w:p>
        </w:tc>
        <w:tc>
          <w:tcPr>
            <w:tcW w:w="0" w:type="auto"/>
            <w:vAlign w:val="center"/>
            <w:hideMark/>
          </w:tcPr>
          <w:p w14:paraId="56C1286E"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Positive outcomes in trials</w:t>
            </w:r>
          </w:p>
        </w:tc>
        <w:tc>
          <w:tcPr>
            <w:tcW w:w="0" w:type="auto"/>
            <w:vAlign w:val="center"/>
            <w:hideMark/>
          </w:tcPr>
          <w:p w14:paraId="4B38DE4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Proven benefits in many patients</w:t>
            </w:r>
          </w:p>
        </w:tc>
        <w:tc>
          <w:tcPr>
            <w:tcW w:w="0" w:type="auto"/>
            <w:vAlign w:val="center"/>
            <w:hideMark/>
          </w:tcPr>
          <w:p w14:paraId="5FB48244"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major effect</w:t>
            </w:r>
          </w:p>
        </w:tc>
        <w:tc>
          <w:tcPr>
            <w:tcW w:w="1674" w:type="dxa"/>
            <w:vAlign w:val="center"/>
            <w:hideMark/>
          </w:tcPr>
          <w:p w14:paraId="2AF64C30"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Proven benefits in heart failure</w:t>
            </w:r>
          </w:p>
        </w:tc>
        <w:tc>
          <w:tcPr>
            <w:tcW w:w="1530" w:type="dxa"/>
            <w:vAlign w:val="center"/>
            <w:hideMark/>
          </w:tcPr>
          <w:p w14:paraId="45D58CFA"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Neutral to mild benefit</w:t>
            </w:r>
          </w:p>
        </w:tc>
      </w:tr>
      <w:tr w:rsidR="00D554C6" w:rsidRPr="00D554C6" w14:paraId="77DCCD09" w14:textId="77777777" w:rsidTr="004C5A16">
        <w:trPr>
          <w:trHeight w:val="864"/>
        </w:trPr>
        <w:tc>
          <w:tcPr>
            <w:tcW w:w="0" w:type="auto"/>
            <w:vAlign w:val="center"/>
            <w:hideMark/>
          </w:tcPr>
          <w:p w14:paraId="65821EFF"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Kidney Protection</w:t>
            </w:r>
          </w:p>
        </w:tc>
        <w:tc>
          <w:tcPr>
            <w:tcW w:w="0" w:type="auto"/>
            <w:vAlign w:val="center"/>
            <w:hideMark/>
          </w:tcPr>
          <w:p w14:paraId="4BEC00D1"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Being investigated, early promising results</w:t>
            </w:r>
          </w:p>
        </w:tc>
        <w:tc>
          <w:tcPr>
            <w:tcW w:w="0" w:type="auto"/>
            <w:vAlign w:val="center"/>
            <w:hideMark/>
          </w:tcPr>
          <w:p w14:paraId="37E8262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Some benefit observed</w:t>
            </w:r>
          </w:p>
        </w:tc>
        <w:tc>
          <w:tcPr>
            <w:tcW w:w="0" w:type="auto"/>
            <w:vAlign w:val="center"/>
            <w:hideMark/>
          </w:tcPr>
          <w:p w14:paraId="600C3993"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No kidney protection</w:t>
            </w:r>
          </w:p>
        </w:tc>
        <w:tc>
          <w:tcPr>
            <w:tcW w:w="1674" w:type="dxa"/>
            <w:vAlign w:val="center"/>
            <w:hideMark/>
          </w:tcPr>
          <w:p w14:paraId="500997F7"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Strong protection in chronic kidney disease</w:t>
            </w:r>
          </w:p>
        </w:tc>
        <w:tc>
          <w:tcPr>
            <w:tcW w:w="1530" w:type="dxa"/>
            <w:vAlign w:val="center"/>
            <w:hideMark/>
          </w:tcPr>
          <w:p w14:paraId="1B17B73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Minimal protection</w:t>
            </w:r>
          </w:p>
        </w:tc>
      </w:tr>
      <w:tr w:rsidR="00D554C6" w:rsidRPr="00D554C6" w14:paraId="6CF1FA28" w14:textId="77777777" w:rsidTr="004C5A16">
        <w:trPr>
          <w:trHeight w:val="864"/>
        </w:trPr>
        <w:tc>
          <w:tcPr>
            <w:tcW w:w="0" w:type="auto"/>
            <w:vAlign w:val="center"/>
            <w:hideMark/>
          </w:tcPr>
          <w:p w14:paraId="6CB2CF7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t>Convenience</w:t>
            </w:r>
          </w:p>
        </w:tc>
        <w:tc>
          <w:tcPr>
            <w:tcW w:w="0" w:type="auto"/>
            <w:vAlign w:val="center"/>
            <w:hideMark/>
          </w:tcPr>
          <w:p w14:paraId="22CE42E1"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Once-weekly injection</w:t>
            </w:r>
          </w:p>
        </w:tc>
        <w:tc>
          <w:tcPr>
            <w:tcW w:w="0" w:type="auto"/>
            <w:vAlign w:val="center"/>
            <w:hideMark/>
          </w:tcPr>
          <w:p w14:paraId="5DE8773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Once-weekly injection</w:t>
            </w:r>
          </w:p>
        </w:tc>
        <w:tc>
          <w:tcPr>
            <w:tcW w:w="0" w:type="auto"/>
            <w:vAlign w:val="center"/>
            <w:hideMark/>
          </w:tcPr>
          <w:p w14:paraId="3A31A19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Oral daily tablets</w:t>
            </w:r>
          </w:p>
        </w:tc>
        <w:tc>
          <w:tcPr>
            <w:tcW w:w="1674" w:type="dxa"/>
            <w:vAlign w:val="center"/>
            <w:hideMark/>
          </w:tcPr>
          <w:p w14:paraId="1D11E5D2"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Oral daily or weekly</w:t>
            </w:r>
          </w:p>
        </w:tc>
        <w:tc>
          <w:tcPr>
            <w:tcW w:w="1530" w:type="dxa"/>
            <w:vAlign w:val="center"/>
            <w:hideMark/>
          </w:tcPr>
          <w:p w14:paraId="52AA5E56"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Daily injection</w:t>
            </w:r>
          </w:p>
        </w:tc>
      </w:tr>
      <w:tr w:rsidR="00D554C6" w:rsidRPr="00D554C6" w14:paraId="3C9C7BAA" w14:textId="77777777" w:rsidTr="004C5A16">
        <w:trPr>
          <w:trHeight w:val="864"/>
        </w:trPr>
        <w:tc>
          <w:tcPr>
            <w:tcW w:w="0" w:type="auto"/>
            <w:vAlign w:val="center"/>
            <w:hideMark/>
          </w:tcPr>
          <w:p w14:paraId="1A16C679"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b/>
                <w:bCs/>
                <w:sz w:val="24"/>
                <w:szCs w:val="24"/>
              </w:rPr>
              <w:lastRenderedPageBreak/>
              <w:t>Tolerability</w:t>
            </w:r>
          </w:p>
        </w:tc>
        <w:tc>
          <w:tcPr>
            <w:tcW w:w="0" w:type="auto"/>
            <w:vAlign w:val="center"/>
            <w:hideMark/>
          </w:tcPr>
          <w:p w14:paraId="76C8BFD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Generally well tolerated; may cause GI symptoms</w:t>
            </w:r>
          </w:p>
        </w:tc>
        <w:tc>
          <w:tcPr>
            <w:tcW w:w="0" w:type="auto"/>
            <w:vAlign w:val="center"/>
            <w:hideMark/>
          </w:tcPr>
          <w:p w14:paraId="0E745135"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Well tolerated; GI symptoms possible</w:t>
            </w:r>
          </w:p>
        </w:tc>
        <w:tc>
          <w:tcPr>
            <w:tcW w:w="0" w:type="auto"/>
            <w:vAlign w:val="center"/>
            <w:hideMark/>
          </w:tcPr>
          <w:p w14:paraId="1F5C176D"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Very well tolerated</w:t>
            </w:r>
          </w:p>
        </w:tc>
        <w:tc>
          <w:tcPr>
            <w:tcW w:w="1674" w:type="dxa"/>
            <w:vAlign w:val="center"/>
            <w:hideMark/>
          </w:tcPr>
          <w:p w14:paraId="2AFB7AC7" w14:textId="77777777" w:rsidR="00D554C6" w:rsidRPr="00D554C6" w:rsidRDefault="00D554C6" w:rsidP="004C5A16">
            <w:pPr>
              <w:spacing w:line="360" w:lineRule="auto"/>
              <w:jc w:val="center"/>
              <w:rPr>
                <w:rFonts w:ascii="Times New Roman" w:eastAsia="Times New Roman" w:hAnsi="Times New Roman" w:cs="Times New Roman"/>
                <w:sz w:val="24"/>
                <w:szCs w:val="24"/>
              </w:rPr>
            </w:pPr>
            <w:r w:rsidRPr="00D554C6">
              <w:rPr>
                <w:rFonts w:ascii="Times New Roman" w:eastAsia="Times New Roman" w:hAnsi="Times New Roman" w:cs="Times New Roman"/>
                <w:sz w:val="24"/>
                <w:szCs w:val="24"/>
              </w:rPr>
              <w:t>Usually well tolerated</w:t>
            </w:r>
          </w:p>
        </w:tc>
        <w:tc>
          <w:tcPr>
            <w:tcW w:w="1530" w:type="dxa"/>
            <w:vAlign w:val="center"/>
            <w:hideMark/>
          </w:tcPr>
          <w:p w14:paraId="0CA1F764" w14:textId="77777777" w:rsidR="00D554C6" w:rsidRPr="00D554C6" w:rsidRDefault="00D554C6" w:rsidP="004C5A16">
            <w:pPr>
              <w:spacing w:line="360" w:lineRule="auto"/>
              <w:jc w:val="center"/>
              <w:rPr>
                <w:rFonts w:ascii="Times New Roman" w:eastAsia="Times New Roman" w:hAnsi="Times New Roman" w:cs="Times New Roman"/>
                <w:sz w:val="24"/>
                <w:szCs w:val="24"/>
                <w:vertAlign w:val="superscript"/>
              </w:rPr>
            </w:pPr>
            <w:r w:rsidRPr="00D554C6">
              <w:rPr>
                <w:rFonts w:ascii="Times New Roman" w:eastAsia="Times New Roman" w:hAnsi="Times New Roman" w:cs="Times New Roman"/>
                <w:sz w:val="24"/>
                <w:szCs w:val="24"/>
              </w:rPr>
              <w:t>May cause injection site reactions</w:t>
            </w:r>
            <w:r w:rsidR="00B9484C">
              <w:rPr>
                <w:rFonts w:ascii="Times New Roman" w:eastAsia="Times New Roman" w:hAnsi="Times New Roman" w:cs="Times New Roman"/>
                <w:sz w:val="24"/>
                <w:szCs w:val="24"/>
                <w:vertAlign w:val="superscript"/>
              </w:rPr>
              <w:t>[35]</w:t>
            </w:r>
          </w:p>
        </w:tc>
      </w:tr>
    </w:tbl>
    <w:p w14:paraId="5A40F568" w14:textId="77777777" w:rsidR="00EF134E" w:rsidRPr="003F6EFB" w:rsidRDefault="00EF134E" w:rsidP="00D554C6">
      <w:pPr>
        <w:pStyle w:val="NormalWeb"/>
        <w:spacing w:line="360" w:lineRule="auto"/>
        <w:jc w:val="both"/>
        <w:rPr>
          <w:sz w:val="2"/>
        </w:rPr>
      </w:pPr>
    </w:p>
    <w:p w14:paraId="09139005" w14:textId="77777777" w:rsidR="00D554C6" w:rsidRPr="00D554C6" w:rsidRDefault="004C5A16" w:rsidP="00D554C6">
      <w:pPr>
        <w:spacing w:after="0"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t>FUTURE DIRECTIONS AND RESEARCH GAPS</w:t>
      </w:r>
    </w:p>
    <w:p w14:paraId="4E88BF3F" w14:textId="77777777" w:rsidR="00D554C6" w:rsidRPr="004C5A16" w:rsidRDefault="00D554C6" w:rsidP="00D554C6">
      <w:pPr>
        <w:pStyle w:val="NormalWeb"/>
        <w:spacing w:line="360" w:lineRule="auto"/>
        <w:jc w:val="both"/>
        <w:rPr>
          <w:b/>
        </w:rPr>
      </w:pPr>
      <w:r w:rsidRPr="004C5A16">
        <w:rPr>
          <w:b/>
        </w:rPr>
        <w:t>1. Long-Term Safety and Cardiovascular Outcomes</w:t>
      </w:r>
    </w:p>
    <w:p w14:paraId="6F1DACE6" w14:textId="77777777" w:rsidR="004C5A16" w:rsidRDefault="004C5A16" w:rsidP="00D554C6">
      <w:pPr>
        <w:pStyle w:val="NormalWeb"/>
        <w:spacing w:line="360" w:lineRule="auto"/>
        <w:jc w:val="both"/>
      </w:pPr>
      <w:r w:rsidRPr="004C5A16">
        <w:t>Long duration CVOTs should ascertain any cardioprotective effects of these dual agonists. Early results are encouraging, but ongoing studies such as SURPASS-CVOT are needed to firmly establish the efficacy of dual equivalents in decreasing cardiovascular risk in high-risk type 2 diabetes patients and those with established cardiovascular disease.</w:t>
      </w:r>
    </w:p>
    <w:p w14:paraId="607EEBAA" w14:textId="77777777" w:rsidR="00D554C6" w:rsidRPr="00B9484C" w:rsidRDefault="00D554C6" w:rsidP="00D554C6">
      <w:pPr>
        <w:pStyle w:val="NormalWeb"/>
        <w:spacing w:line="360" w:lineRule="auto"/>
        <w:jc w:val="both"/>
        <w:rPr>
          <w:b/>
        </w:rPr>
      </w:pPr>
      <w:r w:rsidRPr="00B9484C">
        <w:rPr>
          <w:b/>
        </w:rPr>
        <w:t>2. Mechanistic Insights into GIP Biology</w:t>
      </w:r>
    </w:p>
    <w:p w14:paraId="0023B932" w14:textId="77777777" w:rsidR="004C5A16" w:rsidRPr="00B9484C" w:rsidRDefault="004C5A16" w:rsidP="00D554C6">
      <w:pPr>
        <w:pStyle w:val="NormalWeb"/>
        <w:spacing w:line="360" w:lineRule="auto"/>
        <w:jc w:val="both"/>
        <w:rPr>
          <w:vertAlign w:val="superscript"/>
        </w:rPr>
      </w:pPr>
      <w:r w:rsidRPr="004C5A16">
        <w:t>The role of GIP in metabolism is not well-understood. Future studies will have to address GIP's effects on insulin sensitivity, fat metabolism, and central appetite regulation. Understanding its physiological role would help to better grasp the synergistic effects of dual agonists and might allow for the development of better targeted treatment strategies for metabolic disorders and obesity.</w:t>
      </w:r>
      <w:r w:rsidR="00B9484C">
        <w:rPr>
          <w:vertAlign w:val="superscript"/>
        </w:rPr>
        <w:t>[36]</w:t>
      </w:r>
    </w:p>
    <w:p w14:paraId="75845DDF" w14:textId="77777777" w:rsidR="00D554C6" w:rsidRPr="004C5A16" w:rsidRDefault="00D554C6" w:rsidP="00D554C6">
      <w:pPr>
        <w:pStyle w:val="NormalWeb"/>
        <w:spacing w:line="360" w:lineRule="auto"/>
        <w:jc w:val="both"/>
        <w:rPr>
          <w:b/>
        </w:rPr>
      </w:pPr>
      <w:r w:rsidRPr="004C5A16">
        <w:rPr>
          <w:b/>
        </w:rPr>
        <w:t>3. Head-to-Head Trials with Other Antidiabetics</w:t>
      </w:r>
    </w:p>
    <w:p w14:paraId="72122261" w14:textId="77777777" w:rsidR="004C5A16" w:rsidRDefault="004C5A16" w:rsidP="00D554C6">
      <w:pPr>
        <w:pStyle w:val="NormalWeb"/>
        <w:spacing w:line="360" w:lineRule="auto"/>
        <w:jc w:val="both"/>
      </w:pPr>
      <w:r w:rsidRPr="004C5A16">
        <w:t>More clinical trials need to compare co-agonists with GLP-1 receptor agonists, SGLT-2 inhibitors, and insulin. Results of such investigations would be crucial in assessing the comparative efficacy, safety, and patient outcomes, thereby aiding in the development of evidence-based treatment algorithms and best combination therapies that can be adapted in type 2 diabetes across the spectrum of clinical subgroups.</w:t>
      </w:r>
    </w:p>
    <w:p w14:paraId="3CBDE0E5" w14:textId="77777777" w:rsidR="003F6EFB" w:rsidRDefault="003F6EFB" w:rsidP="00D554C6">
      <w:pPr>
        <w:pStyle w:val="NormalWeb"/>
        <w:spacing w:line="360" w:lineRule="auto"/>
        <w:jc w:val="both"/>
        <w:rPr>
          <w:b/>
        </w:rPr>
      </w:pPr>
    </w:p>
    <w:p w14:paraId="5B697C31" w14:textId="77777777" w:rsidR="003F6EFB" w:rsidRDefault="003F6EFB" w:rsidP="00D554C6">
      <w:pPr>
        <w:pStyle w:val="NormalWeb"/>
        <w:spacing w:line="360" w:lineRule="auto"/>
        <w:jc w:val="both"/>
        <w:rPr>
          <w:b/>
        </w:rPr>
      </w:pPr>
    </w:p>
    <w:p w14:paraId="78CE5D2E" w14:textId="77777777" w:rsidR="00D554C6" w:rsidRPr="004C5A16" w:rsidRDefault="00D554C6" w:rsidP="00D554C6">
      <w:pPr>
        <w:pStyle w:val="NormalWeb"/>
        <w:spacing w:line="360" w:lineRule="auto"/>
        <w:jc w:val="both"/>
        <w:rPr>
          <w:b/>
        </w:rPr>
      </w:pPr>
      <w:r w:rsidRPr="004C5A16">
        <w:rPr>
          <w:b/>
        </w:rPr>
        <w:lastRenderedPageBreak/>
        <w:t>4. Personalized Medicine and Pharmacogenomics</w:t>
      </w:r>
    </w:p>
    <w:p w14:paraId="1FD9B7CE" w14:textId="77777777" w:rsidR="004C5A16" w:rsidRPr="00B9484C" w:rsidRDefault="004C5A16" w:rsidP="00D554C6">
      <w:pPr>
        <w:pStyle w:val="NormalWeb"/>
        <w:spacing w:line="360" w:lineRule="auto"/>
        <w:jc w:val="both"/>
        <w:rPr>
          <w:vertAlign w:val="superscript"/>
        </w:rPr>
      </w:pPr>
      <w:r w:rsidRPr="004C5A16">
        <w:t>Individual patients might respond differently to dual agonists on grounds of their personal genetic predispositions, microbiota, or ethnicity. Forthcoming research should focus on these differentials to establish personalized therapy. Pharmacogenomics will, therefore, be in a position to predict drug response as well as to tailor treatments that minimize adverse effects and amplify efficacy in specific populations or metabolic phenotypes.</w:t>
      </w:r>
      <w:r w:rsidR="00B9484C">
        <w:rPr>
          <w:vertAlign w:val="superscript"/>
        </w:rPr>
        <w:t>[37]</w:t>
      </w:r>
    </w:p>
    <w:p w14:paraId="7E6D2AAE" w14:textId="77777777" w:rsidR="00D554C6" w:rsidRPr="004C5A16" w:rsidRDefault="00D554C6" w:rsidP="00D554C6">
      <w:pPr>
        <w:pStyle w:val="NormalWeb"/>
        <w:spacing w:line="360" w:lineRule="auto"/>
        <w:jc w:val="both"/>
        <w:rPr>
          <w:b/>
        </w:rPr>
      </w:pPr>
      <w:r w:rsidRPr="004C5A16">
        <w:rPr>
          <w:b/>
        </w:rPr>
        <w:t>5. Expanded Indications Beyond Type 2 Diabetes</w:t>
      </w:r>
    </w:p>
    <w:p w14:paraId="3D0B550A" w14:textId="77777777" w:rsidR="004C5A16" w:rsidRDefault="004C5A16" w:rsidP="00D554C6">
      <w:pPr>
        <w:pStyle w:val="NormalWeb"/>
        <w:spacing w:line="360" w:lineRule="auto"/>
        <w:jc w:val="both"/>
      </w:pPr>
      <w:r w:rsidRPr="004C5A16">
        <w:t>Beyond T2DM: dual agonists are promising for obesity, NAFLD/NASH, PCOS, and even neurodegenerative diseases. Clinical trials are necessary to investigate efficacy in this light. Positive findings would endow them with wider therapeutic implications and mark a definitive role in treating several metabolic and inflammatory comorbidities.</w:t>
      </w:r>
    </w:p>
    <w:p w14:paraId="76CA35F9" w14:textId="77777777" w:rsidR="00D554C6" w:rsidRPr="004C5A16" w:rsidRDefault="00D554C6" w:rsidP="00D554C6">
      <w:pPr>
        <w:pStyle w:val="NormalWeb"/>
        <w:spacing w:line="360" w:lineRule="auto"/>
        <w:jc w:val="both"/>
        <w:rPr>
          <w:b/>
        </w:rPr>
      </w:pPr>
      <w:r w:rsidRPr="004C5A16">
        <w:rPr>
          <w:b/>
        </w:rPr>
        <w:t>6. Development of Triple and Multi-Agonists</w:t>
      </w:r>
    </w:p>
    <w:p w14:paraId="46858D63" w14:textId="77777777" w:rsidR="004C5A16" w:rsidRDefault="004C5A16" w:rsidP="00D554C6">
      <w:pPr>
        <w:pStyle w:val="NormalWeb"/>
        <w:spacing w:line="360" w:lineRule="auto"/>
        <w:jc w:val="both"/>
      </w:pPr>
      <w:r w:rsidRPr="004C5A16">
        <w:t>Innovations on GLP-1/GIP/glucagon receptor agonism combination therapy (e.g., Retatrutide) are underway. The triple combo may prove even more capable of controlling proper glycemia, weight loss, and lipid profiles. Further research is warranted to explore their synergistic mechanism, dosing paradigms, and actual long-term safety and tolerability profiles.</w:t>
      </w:r>
    </w:p>
    <w:p w14:paraId="0C8DF997" w14:textId="77777777" w:rsidR="00D554C6" w:rsidRPr="004C5A16" w:rsidRDefault="00D554C6" w:rsidP="00D554C6">
      <w:pPr>
        <w:pStyle w:val="NormalWeb"/>
        <w:spacing w:line="360" w:lineRule="auto"/>
        <w:jc w:val="both"/>
        <w:rPr>
          <w:b/>
        </w:rPr>
      </w:pPr>
      <w:r w:rsidRPr="004C5A16">
        <w:rPr>
          <w:b/>
        </w:rPr>
        <w:t>7. Real-World Evidence and Cost-Effectiveness</w:t>
      </w:r>
    </w:p>
    <w:p w14:paraId="3DACDB8A" w14:textId="77777777" w:rsidR="004C5A16" w:rsidRPr="00B9484C" w:rsidRDefault="004C5A16" w:rsidP="00D554C6">
      <w:pPr>
        <w:spacing w:line="360" w:lineRule="auto"/>
        <w:jc w:val="both"/>
        <w:rPr>
          <w:rFonts w:ascii="Times New Roman" w:eastAsia="Times New Roman" w:hAnsi="Times New Roman" w:cs="Times New Roman"/>
          <w:sz w:val="24"/>
          <w:szCs w:val="24"/>
          <w:vertAlign w:val="superscript"/>
        </w:rPr>
      </w:pPr>
      <w:r w:rsidRPr="004C5A16">
        <w:rPr>
          <w:rFonts w:ascii="Times New Roman" w:eastAsia="Times New Roman" w:hAnsi="Times New Roman" w:cs="Times New Roman"/>
          <w:sz w:val="24"/>
          <w:szCs w:val="24"/>
        </w:rPr>
        <w:t>Greater consideration must be given to the analysis of effectiveness in larger populations by means of real-world studies than by clinical trial data. The cost-effectiveness analysis will throw light on whether these medicines are economically viable and will aid global accessibility in regions that call for it, with low resources available, where the weight of diabetes is high and the affordability of treatment is an issue.</w:t>
      </w:r>
      <w:r w:rsidR="00B9484C">
        <w:rPr>
          <w:rFonts w:ascii="Times New Roman" w:eastAsia="Times New Roman" w:hAnsi="Times New Roman" w:cs="Times New Roman"/>
          <w:sz w:val="24"/>
          <w:szCs w:val="24"/>
          <w:vertAlign w:val="superscript"/>
        </w:rPr>
        <w:t>[38]</w:t>
      </w:r>
    </w:p>
    <w:p w14:paraId="2B6F1420" w14:textId="77777777" w:rsidR="003F6A28" w:rsidRPr="00D554C6" w:rsidRDefault="00D554C6" w:rsidP="00D554C6">
      <w:pPr>
        <w:spacing w:line="360" w:lineRule="auto"/>
        <w:jc w:val="both"/>
        <w:rPr>
          <w:rFonts w:ascii="Times New Roman" w:eastAsia="Times New Roman" w:hAnsi="Times New Roman" w:cs="Times New Roman"/>
          <w:b/>
          <w:sz w:val="24"/>
          <w:szCs w:val="24"/>
          <w:u w:val="single"/>
        </w:rPr>
      </w:pPr>
      <w:r w:rsidRPr="00D554C6">
        <w:rPr>
          <w:rFonts w:ascii="Times New Roman" w:eastAsia="Times New Roman" w:hAnsi="Times New Roman" w:cs="Times New Roman"/>
          <w:b/>
          <w:sz w:val="24"/>
          <w:szCs w:val="24"/>
          <w:u w:val="single"/>
        </w:rPr>
        <w:t>CONCLUSION</w:t>
      </w:r>
    </w:p>
    <w:p w14:paraId="5F63E50B" w14:textId="77777777" w:rsidR="00D554C6" w:rsidRDefault="004C5A16" w:rsidP="00D554C6">
      <w:pPr>
        <w:spacing w:line="360" w:lineRule="auto"/>
        <w:jc w:val="both"/>
        <w:rPr>
          <w:rFonts w:ascii="Times New Roman" w:eastAsia="Times New Roman" w:hAnsi="Times New Roman" w:cs="Times New Roman"/>
          <w:sz w:val="24"/>
          <w:szCs w:val="24"/>
        </w:rPr>
      </w:pPr>
      <w:r w:rsidRPr="004C5A16">
        <w:rPr>
          <w:rFonts w:ascii="Times New Roman" w:eastAsia="Times New Roman" w:hAnsi="Times New Roman" w:cs="Times New Roman"/>
          <w:sz w:val="24"/>
          <w:szCs w:val="24"/>
        </w:rPr>
        <w:t xml:space="preserve">Treatment with incretin-based therapies has revolutionized the scenario of therapy for type 2 diabetes mellitus (T2DM), especially the introduction of GLP-1 receptor agonists. However, they </w:t>
      </w:r>
      <w:r w:rsidRPr="004C5A16">
        <w:rPr>
          <w:rFonts w:ascii="Times New Roman" w:eastAsia="Times New Roman" w:hAnsi="Times New Roman" w:cs="Times New Roman"/>
          <w:sz w:val="24"/>
          <w:szCs w:val="24"/>
        </w:rPr>
        <w:lastRenderedPageBreak/>
        <w:t>come with limitations, including gastrointestinal side effects and poor response in some patients, the need for continuous improvements and newer generations. With this, the arrival of dual GIP/GLP-1 receptor agonists undoubtedly provokes excitement for having methods stored up for use. Taking advantage of the complementary actions of GIP and GLP-1, dual agonists such as tirzepatide provide better glycemic control and weight loss than conventional GLP-1 RAs. Their safety and efficacy have been proven by clinical trials and have additional targets to explore the metabolic processes other than glucose. Nonetheless, issues pertaining to long-term safety, effectiveness on real-world patients, and cost are yet to be resolved. So, by continuing to modify the diabetes treatment approach, the dual receptor agonists mark an important stride toward patient-centered, thorough care for those with T2DM.</w:t>
      </w:r>
    </w:p>
    <w:p w14:paraId="1656B389" w14:textId="77777777" w:rsidR="004C5A16" w:rsidRDefault="003F6EFB" w:rsidP="00D554C6">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REFERENCES</w:t>
      </w:r>
    </w:p>
    <w:p w14:paraId="17324EC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Reed J, Bain S, Kanamarlapudi V. A Review of Current Trends with Type 2 Diabetes Epidemiology, Aetiology, Pathogenesis, Treatments and Future Perspectives. Diabetes Metab Syndr Obes. 2021 Aug 10;14:3567-3602</w:t>
      </w:r>
    </w:p>
    <w:p w14:paraId="000446F7"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Blonde L, Dipp S, Cadena D. Combination Glucose-Lowering Therapy Plans in T2DM: Case-Based Considerations. Adv Ther. 2018 Jul;35(7):939-965. doi: 10.1007/s12325-018-0694-0. Epub 2018 May 18. Erratum in: Adv Ther. 2018 Jul;35(7):966.</w:t>
      </w:r>
    </w:p>
    <w:p w14:paraId="3F23271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Cernea S, Raz I. Therapy in the early stage: incretins. Diabetes Care. 2011 May;34 Suppl 2(Suppl 2):S264-71.</w:t>
      </w:r>
    </w:p>
    <w:p w14:paraId="429F10B2"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Deacon CF, Ahrén B. Physiology of incretins in health and disease. Rev Diabet Stud. 2011 Fall;8(3):293-306</w:t>
      </w:r>
    </w:p>
    <w:p w14:paraId="6B50499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Kim W, Egan JM. The role of incretins in glucose homeostasis and diabetes treatment. Pharmacol Rev. 2008 Dec;60(4):470-512.</w:t>
      </w:r>
    </w:p>
    <w:p w14:paraId="0224FAC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Boer GA, Holst JJ. Incretin Hormones and Type 2 Diabetes-Mechanistic Insights and Therapeutic Approaches. Biology (Basel). 2020 Dec 16;9(12):473</w:t>
      </w:r>
    </w:p>
    <w:p w14:paraId="5FB5901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Müller TD, Finan B, Bloom SR, D'Alessio D, Drucker DJ, Flatt PR, Fritsche A, Gribble F, Grill HJ, Habener JF, Holst JJ, Langhans W, Meier JJ, Nauck MA, Perez-Tilve D, Pocai A, </w:t>
      </w:r>
      <w:r w:rsidRPr="00AC7213">
        <w:rPr>
          <w:rFonts w:ascii="Times New Roman" w:eastAsia="Times New Roman" w:hAnsi="Times New Roman" w:cs="Times New Roman"/>
          <w:sz w:val="24"/>
          <w:szCs w:val="24"/>
        </w:rPr>
        <w:lastRenderedPageBreak/>
        <w:t>Reimann F, Sandoval DA, Schwartz TW, Seeley RJ, Stemmer K, Tang-Christensen M, Woods SC, DiMarchi RD, Tschöp MH. Glucagon-like peptide 1 (GLP-1). Mol Metab. 2019 Dec;30:72-130. </w:t>
      </w:r>
    </w:p>
    <w:p w14:paraId="536690F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Kuhre RE, Deacon CF, Holst JJ, Petersen N. What Is an L-Cell and How Do We Study the Secretory Mechanisms of the L-Cell? Front Endocrinol (Lausanne). 2021 Jun 8;12:694284</w:t>
      </w:r>
    </w:p>
    <w:p w14:paraId="20D50C5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Drucker DJ. Mechanisms of Action and Therapeutic Application of Glucagon-like Peptide-1. Cell Metab. 2018 Apr 3;27(4):740-756. </w:t>
      </w:r>
    </w:p>
    <w:p w14:paraId="2846EB3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Sharma A, Paliwal G, Upadhyay N, Tiwari A. Therapeutic stimulation of GLP-1 and GIP protein with DPP-4 inhibitors for type-2 diabetes treatment. J Diabetes Metab Disord. 2015 Mar 19;14:15.</w:t>
      </w:r>
    </w:p>
    <w:p w14:paraId="43BADB7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Müller TD, Adriaenssens A, Ahrén B, Blüher M, Birkenfeld AL, Campbell JE, Coghlan MP, D'Alessio D, Deacon CF, DelPrato S, Douros JD, Drucker DJ, Figueredo Burgos NS, Flatt PR, Finan B, Gimeno RE, Gribble FM, Hayes MR, Hölscher C, Holst JJ, Knerr PJ, Knop FK, Kusminski CM, Liskiewicz A, Mabilleau G, Mowery SA, Nauck MA, Novikoff A, Reimann F, Roberts AG, Rosenkilde MM, Samms RJ, Scherer PE, Seeley RJ, Sloop KW, Wolfrum C, Wootten D, DiMarchi RD, Tschöp MH. Glucose-dependent insulinotropic polypeptide (GIP). Mol Metab. 2025 May;95:102118.</w:t>
      </w:r>
    </w:p>
    <w:p w14:paraId="72819A4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Ezcurra M, Reimann F, Gribble FM, Emery E. Molecular mechanisms of incretin hormone secretion. Curr Opin Pharmacol. 2013 Dec;13(6):922-7.</w:t>
      </w:r>
    </w:p>
    <w:p w14:paraId="710864E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Reimann F, Gribble FM. Mechanisms underlying glucose-dependent insulinotropic polypeptide and glucagon-like peptide-1 secretion. J Diabetes Investig. 2016 Apr;7 Suppl 1(Suppl 1):13-9.</w:t>
      </w:r>
    </w:p>
    <w:p w14:paraId="6A145E0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Nauck, Michael &amp; Quast, Daniel &amp; Wefers, Jakob &amp; Pfeiffer, Andreas. (2021). The evolving story of incretins (GIP and GLP‐1) in metabolic and cardiovascular disease: A pathophysiological update. Diabetes, Obesity and Metabolism. 23. 5-29</w:t>
      </w:r>
    </w:p>
    <w:p w14:paraId="2A67A6C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lastRenderedPageBreak/>
        <w:t>Nauck M. Incretin therapies: highlighting common features and differences in the modes of action of glucagon-like peptide-1 receptor agonists and dipeptidyl peptidase-4 inhibitors. Diabetes Obes Metab. 2016 Mar;18(3):203-16</w:t>
      </w:r>
    </w:p>
    <w:p w14:paraId="65760CA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Marathe CS, Rayner CK, Jones KL, Horowitz M. Effects of GLP-1 and incretin-based therapies on gastrointestinal motor function. Exp Diabetes Res. 2011;2011:279530.</w:t>
      </w:r>
    </w:p>
    <w:p w14:paraId="7CCFBC1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Chia CW, Egan JM. Incretin-based therapies in type 2 diabetes mellitus. J Clin Endocrinol Metab. 2008 Oct;93(10):3703-16.</w:t>
      </w:r>
    </w:p>
    <w:p w14:paraId="486F3690"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Florentin M, Kostapanos MS, Papazafiropoulou AK. Role of dipeptidyl peptidase 4 inhibitors in the new era of antidiabetic treatment. World J Diabetes. 2022 Feb 15;13(2):85-96.</w:t>
      </w:r>
    </w:p>
    <w:p w14:paraId="6D8D105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Min T, Bain SC. The role of tirzepatide, dual GIP and GLP-1 receptor agonist, in the management of type 2 diabetes: the SURPASS Clinical Trials. </w:t>
      </w:r>
      <w:r w:rsidRPr="00AC7213">
        <w:rPr>
          <w:rFonts w:ascii="Times New Roman" w:eastAsia="Times New Roman" w:hAnsi="Times New Roman" w:cs="Times New Roman"/>
          <w:iCs/>
          <w:sz w:val="24"/>
          <w:szCs w:val="24"/>
        </w:rPr>
        <w:t>Diabetes Ther</w:t>
      </w:r>
      <w:r w:rsidRPr="00AC7213">
        <w:rPr>
          <w:rFonts w:ascii="Times New Roman" w:eastAsia="Times New Roman" w:hAnsi="Times New Roman" w:cs="Times New Roman"/>
          <w:sz w:val="24"/>
          <w:szCs w:val="24"/>
        </w:rPr>
        <w:t>. 2021;12(1):143–157.</w:t>
      </w:r>
    </w:p>
    <w:p w14:paraId="57B8FE9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Alicic RZ, Neumiller JJ. Incretin Therapies for Patients with Type 2 Diabetes and Chronic Kidney Disease. </w:t>
      </w:r>
      <w:r w:rsidRPr="00AC7213">
        <w:rPr>
          <w:rFonts w:ascii="Times New Roman" w:eastAsia="Times New Roman" w:hAnsi="Times New Roman" w:cs="Times New Roman"/>
          <w:iCs/>
          <w:sz w:val="24"/>
          <w:szCs w:val="24"/>
        </w:rPr>
        <w:t>Journal of Clinical Medicine</w:t>
      </w:r>
      <w:r w:rsidRPr="00AC7213">
        <w:rPr>
          <w:rFonts w:ascii="Times New Roman" w:eastAsia="Times New Roman" w:hAnsi="Times New Roman" w:cs="Times New Roman"/>
          <w:sz w:val="24"/>
          <w:szCs w:val="24"/>
        </w:rPr>
        <w:t>. 2024; 13(1):201.</w:t>
      </w:r>
    </w:p>
    <w:p w14:paraId="6F0C0C8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Frias JP, Bastyr EJ 3rd, Vignati L, et al. The sustained effects of a dual GIP/GLP-1 receptor agonist, NNC0090-2746, in patients with type 2 diabetes. </w:t>
      </w:r>
      <w:r w:rsidRPr="00AC7213">
        <w:rPr>
          <w:rFonts w:ascii="Times New Roman" w:eastAsia="Times New Roman" w:hAnsi="Times New Roman" w:cs="Times New Roman"/>
          <w:iCs/>
          <w:sz w:val="24"/>
          <w:szCs w:val="24"/>
        </w:rPr>
        <w:t>Cell Metab</w:t>
      </w:r>
      <w:r w:rsidRPr="00AC7213">
        <w:rPr>
          <w:rFonts w:ascii="Times New Roman" w:eastAsia="Times New Roman" w:hAnsi="Times New Roman" w:cs="Times New Roman"/>
          <w:sz w:val="24"/>
          <w:szCs w:val="24"/>
        </w:rPr>
        <w:t>. 2017;26(2):343–352.e2.</w:t>
      </w:r>
    </w:p>
    <w:p w14:paraId="3C493B7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Pelle MC, Provenzano M, Zaffina I, Pujia R, Giofrè F, Lucà S, Andreucci M, Sciacqua A, Arturi F. Role of a Dual Glucose-Dependent Insulinotropic Peptide (GIP)/Glucagon-like Peptide-1 Receptor Agonist (Twincretin) in Glycemic Control: From Pathophysiology to Treatment. Life (Basel). 2021 Dec 25;12(1):29.</w:t>
      </w:r>
    </w:p>
    <w:p w14:paraId="607ADC22"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Seino Y, Fukushima M, Yabe D. GIP and GLP-1, the two incretin hormones: Similarities and differences. J Diabetes Investig. 2010 Apr 22;1(1-2):8-23.</w:t>
      </w:r>
    </w:p>
    <w:p w14:paraId="645BDC0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Cerf ME. Beta cell dysfunction and insulin resistance. Front Endocrinol (Lausanne). 2013 Mar 27;4:37</w:t>
      </w:r>
    </w:p>
    <w:p w14:paraId="33147339"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lastRenderedPageBreak/>
        <w:t>Jamison RA, Stark R, Dong J, Yonemitsu S, Zhang D, Shulman GI, Kibbey RG. Hyperglucagonemia precedes a decline in insulin secretion and causes hyperglycemia in chronically glucose-infused rats. Am J Physiol Endocrinol Metab. 2011 Dec;301(6):E1174-83</w:t>
      </w:r>
    </w:p>
    <w:p w14:paraId="32952F85"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Shah M, Vella A. Effects of GLP-1 on appetite and weight. Rev Endocr Metab Disord. 2014 Sep;15(3):181-7</w:t>
      </w:r>
    </w:p>
    <w:p w14:paraId="204CC4AE"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Capozzi ME, DiMarchi RD, Tschöp MH, Finan B, Campbell JE. Targeting the Incretin/Glucagon System With Triagonists to Treat Diabetes. Endocr Rev. 2018 Oct 1;39(5):719-738.</w:t>
      </w:r>
    </w:p>
    <w:p w14:paraId="3C220600"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Mathiesen DS, Bagger JI, Bergmann NC, Lund A, Christensen MB, Vilsbøll T, Knop FK. The Effects of Dual GLP-1/GIP Receptor Agonism on Glucagon Secretion-A Review. Int J Mol Sci. 2019 Aug 22;20(17):4092.</w:t>
      </w:r>
    </w:p>
    <w:p w14:paraId="004D101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Rosenstock J, Wysham C, Frías JP, Kaneko S, Lee CJ, Fernández Landó L, Mao H, Cui X, Karanikas CA, Thieu VT. Efficacy and safety of a novel dual GIP and GLP-1 receptor agonist tirzepatide in patients with type 2 diabetes (SURPASS-1): a double-blind, randomised, phase 3 trial. Lancet. 2021 Jul 10;398(10295):143-155. doi: 10.1016/S0140-6736(21)01324-6. Epub 2021 Jun 27. Erratum in: Lancet. 2021 Jul 17;398(10296):212. </w:t>
      </w:r>
    </w:p>
    <w:p w14:paraId="276EC68E"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Frías JP, Davies MJ, Rosenstock J, Pérez Manghi FC, Fernández Landó L, Bergman BK, Liu B, Cui X, Brown K; SURPASS-2 Investigators. Tirzepatide versus Semaglutide Once Weekly in Patients with Type 2 Diabetes. N Engl J Med. 2021 Aug 5;385(6):503-515.</w:t>
      </w:r>
    </w:p>
    <w:p w14:paraId="5FC3EFA8"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Del Prato S, Kahn SE, Pavo I, Weerakkody GJ, Yang Z, Doupis J, Aizenberg D, Wynne AG, Riesmeyer JS, Heine RJ, Wiese RJ; SURPASS-4 Investigators. Tirzepatide versus insulin glargine in type 2 diabetes and increased cardiovascular risk (SURPASS-4): a randomised, open-label, parallel-group, multicentre, phase 3 trial. Lancet. 2021 Nov 13;398(10313):1811-1824</w:t>
      </w:r>
    </w:p>
    <w:p w14:paraId="7ACDDF7D"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 xml:space="preserve">Dahl D, Onishi Y, Norwood P, Huh R, Bray R, Patel H, Rodríguez Á. Effect of Subcutaneous Tirzepatide vs Placebo Added to Titrated Insulin Glargine on Glycemic </w:t>
      </w:r>
      <w:r w:rsidRPr="00AC7213">
        <w:rPr>
          <w:rFonts w:ascii="Times New Roman" w:eastAsia="Times New Roman" w:hAnsi="Times New Roman" w:cs="Times New Roman"/>
          <w:sz w:val="24"/>
          <w:szCs w:val="24"/>
        </w:rPr>
        <w:lastRenderedPageBreak/>
        <w:t>Control in Patients With Type 2 Diabetes: The SURPASS-5 Randomized Clinical Trial. JAMA. 2022 Feb 8;327(6):534-545.</w:t>
      </w:r>
    </w:p>
    <w:p w14:paraId="4703A7FC"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Min T, Bain SC. The Role of Tirzepatide, Dual GIP and GLP-1 Receptor Agonist, in the Management of Type 2 Diabetes: The SURPASS Clinical Trials. Diabetes Ther. 2021 Jan;12(1):143-157.</w:t>
      </w:r>
    </w:p>
    <w:p w14:paraId="725045D6"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Baker DE, Walley K, Levien TL. Tirzepatide. Hosp Pharm. 2023 Jun;58(3):227-243.</w:t>
      </w:r>
    </w:p>
    <w:p w14:paraId="0C94140A"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Osumili B, Sapin H, Yang Z, Ranta K, Paik JS, Blüher M. Efficacy and Safety of Tirzepatide Compared with GLP-1 RAs in Patients with Type 2 Diabetes Treated with Basal Insulin: A Network Meta-analysis. Diabetes Ther. 2025 Jun;16(6):1279-1311</w:t>
      </w:r>
    </w:p>
    <w:p w14:paraId="27D16953"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Taktaz F, Fontanella RA, Scisciola L, Pesapane A, Basilicata MG, Ghosh P, Franzese M, Tortorella G, Puocci A, Vietri MT, Capuano A, Paolisso G, Barbieri M. Bridging the gap between GLP1-receptor agonists and cardiovascular outcomes: evidence for the role of tirzepatide. Cardiovasc Diabetol. 2024 Jul 10;23(1):242.</w:t>
      </w:r>
    </w:p>
    <w:p w14:paraId="27C256A4" w14:textId="77777777" w:rsidR="003F6EFB"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Scheen A. Une nouvelle ère pour les incrétines : des agonistes des récepteurs du GLP-1 aux co-agonistes et poly-agonistes [A new era for incretins : from GLP-1 receptor agonists to co-agonists and poly-agonists]. Rev Med Liege. 2024 Sep;79(9):605-612. </w:t>
      </w:r>
    </w:p>
    <w:p w14:paraId="6582A1F9" w14:textId="77777777" w:rsidR="00FB2CCC" w:rsidRPr="00AC7213" w:rsidRDefault="003F6EFB" w:rsidP="003F6EFB">
      <w:pPr>
        <w:numPr>
          <w:ilvl w:val="0"/>
          <w:numId w:val="10"/>
        </w:numPr>
        <w:spacing w:line="360" w:lineRule="auto"/>
        <w:ind w:left="360"/>
        <w:jc w:val="both"/>
        <w:rPr>
          <w:rFonts w:ascii="Times New Roman" w:eastAsia="Times New Roman" w:hAnsi="Times New Roman" w:cs="Times New Roman"/>
          <w:sz w:val="24"/>
          <w:szCs w:val="24"/>
        </w:rPr>
      </w:pPr>
      <w:r w:rsidRPr="00AC7213">
        <w:rPr>
          <w:rFonts w:ascii="Times New Roman" w:eastAsia="Times New Roman" w:hAnsi="Times New Roman" w:cs="Times New Roman"/>
          <w:sz w:val="24"/>
          <w:szCs w:val="24"/>
        </w:rPr>
        <w:t>Movahednasab, M., Dianat-Moghadam, H., Khodadad, S. </w:t>
      </w:r>
      <w:r w:rsidRPr="00AC7213">
        <w:rPr>
          <w:rFonts w:ascii="Times New Roman" w:eastAsia="Times New Roman" w:hAnsi="Times New Roman" w:cs="Times New Roman"/>
          <w:iCs/>
          <w:sz w:val="24"/>
          <w:szCs w:val="24"/>
        </w:rPr>
        <w:t>et al.</w:t>
      </w:r>
      <w:r w:rsidRPr="00AC7213">
        <w:rPr>
          <w:rFonts w:ascii="Times New Roman" w:eastAsia="Times New Roman" w:hAnsi="Times New Roman" w:cs="Times New Roman"/>
          <w:sz w:val="24"/>
          <w:szCs w:val="24"/>
        </w:rPr>
        <w:t> GLP-1-based therapies for type 2 diabetes: from single, dual and triple agonists to endogenous GLP-1 production and L-cell differentiation. </w:t>
      </w:r>
      <w:r w:rsidRPr="00AC7213">
        <w:rPr>
          <w:rFonts w:ascii="Times New Roman" w:eastAsia="Times New Roman" w:hAnsi="Times New Roman" w:cs="Times New Roman"/>
          <w:iCs/>
          <w:sz w:val="24"/>
          <w:szCs w:val="24"/>
        </w:rPr>
        <w:t>Diabetol Metab Syndr</w:t>
      </w:r>
      <w:r w:rsidRPr="00AC7213">
        <w:rPr>
          <w:rFonts w:ascii="Times New Roman" w:eastAsia="Times New Roman" w:hAnsi="Times New Roman" w:cs="Times New Roman"/>
          <w:sz w:val="24"/>
          <w:szCs w:val="24"/>
        </w:rPr>
        <w:t> </w:t>
      </w:r>
      <w:r w:rsidRPr="00AC7213">
        <w:rPr>
          <w:rFonts w:ascii="Times New Roman" w:eastAsia="Times New Roman" w:hAnsi="Times New Roman" w:cs="Times New Roman"/>
          <w:bCs/>
          <w:sz w:val="24"/>
          <w:szCs w:val="24"/>
        </w:rPr>
        <w:t>17</w:t>
      </w:r>
      <w:r w:rsidRPr="00AC7213">
        <w:rPr>
          <w:rFonts w:ascii="Times New Roman" w:eastAsia="Times New Roman" w:hAnsi="Times New Roman" w:cs="Times New Roman"/>
          <w:sz w:val="24"/>
          <w:szCs w:val="24"/>
        </w:rPr>
        <w:t>, 60 (2025)</w:t>
      </w:r>
    </w:p>
    <w:p w14:paraId="5F8CC9D6" w14:textId="77777777" w:rsidR="003F6EFB" w:rsidRPr="004C5A16" w:rsidRDefault="003F6EFB" w:rsidP="00D554C6">
      <w:pPr>
        <w:spacing w:line="360" w:lineRule="auto"/>
        <w:jc w:val="both"/>
        <w:rPr>
          <w:rFonts w:ascii="Times New Roman" w:eastAsia="Times New Roman" w:hAnsi="Times New Roman" w:cs="Times New Roman"/>
          <w:b/>
          <w:sz w:val="24"/>
          <w:szCs w:val="24"/>
          <w:u w:val="single"/>
        </w:rPr>
      </w:pPr>
    </w:p>
    <w:sectPr w:rsidR="003F6EFB" w:rsidRPr="004C5A16" w:rsidSect="00EF13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470BE" w14:textId="77777777" w:rsidR="00046CF5" w:rsidRDefault="00046CF5" w:rsidP="004C5A16">
      <w:pPr>
        <w:spacing w:after="0" w:line="240" w:lineRule="auto"/>
      </w:pPr>
      <w:r>
        <w:separator/>
      </w:r>
    </w:p>
  </w:endnote>
  <w:endnote w:type="continuationSeparator" w:id="0">
    <w:p w14:paraId="29ED5429" w14:textId="77777777" w:rsidR="00046CF5" w:rsidRDefault="00046CF5" w:rsidP="004C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A2E82" w14:textId="77777777" w:rsidR="004A0AE8" w:rsidRDefault="004A0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480C" w14:textId="77777777" w:rsidR="004A0AE8" w:rsidRDefault="004A0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E372" w14:textId="77777777" w:rsidR="004A0AE8" w:rsidRDefault="004A0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FF3D" w14:textId="77777777" w:rsidR="00046CF5" w:rsidRDefault="00046CF5" w:rsidP="004C5A16">
      <w:pPr>
        <w:spacing w:after="0" w:line="240" w:lineRule="auto"/>
      </w:pPr>
      <w:r>
        <w:separator/>
      </w:r>
    </w:p>
  </w:footnote>
  <w:footnote w:type="continuationSeparator" w:id="0">
    <w:p w14:paraId="5DACED31" w14:textId="77777777" w:rsidR="00046CF5" w:rsidRDefault="00046CF5" w:rsidP="004C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C392" w14:textId="69C20449" w:rsidR="004A0AE8" w:rsidRDefault="004A0AE8">
    <w:pPr>
      <w:pStyle w:val="Header"/>
    </w:pPr>
    <w:r>
      <w:rPr>
        <w:noProof/>
      </w:rPr>
      <w:pict w14:anchorId="09B11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2D3E6" w14:textId="0271B209" w:rsidR="004A0AE8" w:rsidRDefault="004A0AE8">
    <w:pPr>
      <w:pStyle w:val="Header"/>
    </w:pPr>
    <w:r>
      <w:rPr>
        <w:noProof/>
      </w:rPr>
      <w:pict w14:anchorId="28C0A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6F60" w14:textId="43C2C273" w:rsidR="004A0AE8" w:rsidRDefault="004A0AE8">
    <w:pPr>
      <w:pStyle w:val="Header"/>
    </w:pPr>
    <w:r>
      <w:rPr>
        <w:noProof/>
      </w:rPr>
      <w:pict w14:anchorId="3378F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46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B2DA5"/>
    <w:multiLevelType w:val="hybridMultilevel"/>
    <w:tmpl w:val="8118E9D6"/>
    <w:lvl w:ilvl="0" w:tplc="6366BE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E1D69"/>
    <w:multiLevelType w:val="hybridMultilevel"/>
    <w:tmpl w:val="FA2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80E1B"/>
    <w:multiLevelType w:val="hybridMultilevel"/>
    <w:tmpl w:val="9BF8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90492"/>
    <w:multiLevelType w:val="multilevel"/>
    <w:tmpl w:val="18D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2FE"/>
    <w:multiLevelType w:val="multilevel"/>
    <w:tmpl w:val="BBB8F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709DD"/>
    <w:multiLevelType w:val="hybridMultilevel"/>
    <w:tmpl w:val="E6282A22"/>
    <w:lvl w:ilvl="0" w:tplc="6366B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94797"/>
    <w:multiLevelType w:val="hybridMultilevel"/>
    <w:tmpl w:val="76F6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31E28"/>
    <w:multiLevelType w:val="multilevel"/>
    <w:tmpl w:val="33B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51B6A"/>
    <w:multiLevelType w:val="multilevel"/>
    <w:tmpl w:val="F44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82980"/>
    <w:multiLevelType w:val="multilevel"/>
    <w:tmpl w:val="AEA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8"/>
  </w:num>
  <w:num w:numId="4">
    <w:abstractNumId w:val="4"/>
  </w:num>
  <w:num w:numId="5">
    <w:abstractNumId w:val="3"/>
  </w:num>
  <w:num w:numId="6">
    <w:abstractNumId w:val="9"/>
  </w:num>
  <w:num w:numId="7">
    <w:abstractNumId w:val="1"/>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A28"/>
    <w:rsid w:val="000374D9"/>
    <w:rsid w:val="00046CF5"/>
    <w:rsid w:val="000826CC"/>
    <w:rsid w:val="001B4552"/>
    <w:rsid w:val="001C2541"/>
    <w:rsid w:val="001D2EC2"/>
    <w:rsid w:val="001D42D3"/>
    <w:rsid w:val="003A5250"/>
    <w:rsid w:val="003F6A28"/>
    <w:rsid w:val="003F6EFB"/>
    <w:rsid w:val="004A0AE8"/>
    <w:rsid w:val="004C5A16"/>
    <w:rsid w:val="004E5B3F"/>
    <w:rsid w:val="005C0D21"/>
    <w:rsid w:val="006158E5"/>
    <w:rsid w:val="00636C69"/>
    <w:rsid w:val="00874B60"/>
    <w:rsid w:val="00875C56"/>
    <w:rsid w:val="00893642"/>
    <w:rsid w:val="009518CB"/>
    <w:rsid w:val="00962C05"/>
    <w:rsid w:val="00AC7213"/>
    <w:rsid w:val="00B86D87"/>
    <w:rsid w:val="00B9484C"/>
    <w:rsid w:val="00BD71F9"/>
    <w:rsid w:val="00D552C0"/>
    <w:rsid w:val="00D554C6"/>
    <w:rsid w:val="00DB77A9"/>
    <w:rsid w:val="00EF134E"/>
    <w:rsid w:val="00F40285"/>
    <w:rsid w:val="00FB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3689E"/>
  <w15:docId w15:val="{ADAEE52C-4165-4512-BE02-37DEF146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A28"/>
    <w:pPr>
      <w:ind w:left="720"/>
      <w:contextualSpacing/>
    </w:pPr>
  </w:style>
  <w:style w:type="paragraph" w:styleId="NormalWeb">
    <w:name w:val="Normal (Web)"/>
    <w:basedOn w:val="Normal"/>
    <w:uiPriority w:val="99"/>
    <w:unhideWhenUsed/>
    <w:rsid w:val="00EF1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34E"/>
    <w:rPr>
      <w:b/>
      <w:bCs/>
    </w:rPr>
  </w:style>
  <w:style w:type="character" w:customStyle="1" w:styleId="sr-only">
    <w:name w:val="sr-only"/>
    <w:basedOn w:val="DefaultParagraphFont"/>
    <w:rsid w:val="00DB77A9"/>
  </w:style>
  <w:style w:type="character" w:styleId="Emphasis">
    <w:name w:val="Emphasis"/>
    <w:basedOn w:val="DefaultParagraphFont"/>
    <w:uiPriority w:val="20"/>
    <w:qFormat/>
    <w:rsid w:val="000374D9"/>
    <w:rPr>
      <w:i/>
      <w:iCs/>
    </w:rPr>
  </w:style>
  <w:style w:type="character" w:styleId="Hyperlink">
    <w:name w:val="Hyperlink"/>
    <w:basedOn w:val="DefaultParagraphFont"/>
    <w:uiPriority w:val="99"/>
    <w:unhideWhenUsed/>
    <w:rsid w:val="000374D9"/>
    <w:rPr>
      <w:color w:val="0000FF"/>
      <w:u w:val="single"/>
    </w:rPr>
  </w:style>
  <w:style w:type="table" w:styleId="TableGrid">
    <w:name w:val="Table Grid"/>
    <w:basedOn w:val="TableNormal"/>
    <w:uiPriority w:val="59"/>
    <w:rsid w:val="00037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A16"/>
  </w:style>
  <w:style w:type="paragraph" w:styleId="Footer">
    <w:name w:val="footer"/>
    <w:basedOn w:val="Normal"/>
    <w:link w:val="FooterChar"/>
    <w:uiPriority w:val="99"/>
    <w:unhideWhenUsed/>
    <w:rsid w:val="004C5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A16"/>
  </w:style>
  <w:style w:type="character" w:styleId="UnresolvedMention">
    <w:name w:val="Unresolved Mention"/>
    <w:basedOn w:val="DefaultParagraphFont"/>
    <w:uiPriority w:val="99"/>
    <w:semiHidden/>
    <w:unhideWhenUsed/>
    <w:rsid w:val="00875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1760">
      <w:bodyDiv w:val="1"/>
      <w:marLeft w:val="0"/>
      <w:marRight w:val="0"/>
      <w:marTop w:val="0"/>
      <w:marBottom w:val="0"/>
      <w:divBdr>
        <w:top w:val="none" w:sz="0" w:space="0" w:color="auto"/>
        <w:left w:val="none" w:sz="0" w:space="0" w:color="auto"/>
        <w:bottom w:val="none" w:sz="0" w:space="0" w:color="auto"/>
        <w:right w:val="none" w:sz="0" w:space="0" w:color="auto"/>
      </w:divBdr>
    </w:div>
    <w:div w:id="36903560">
      <w:bodyDiv w:val="1"/>
      <w:marLeft w:val="0"/>
      <w:marRight w:val="0"/>
      <w:marTop w:val="0"/>
      <w:marBottom w:val="0"/>
      <w:divBdr>
        <w:top w:val="none" w:sz="0" w:space="0" w:color="auto"/>
        <w:left w:val="none" w:sz="0" w:space="0" w:color="auto"/>
        <w:bottom w:val="none" w:sz="0" w:space="0" w:color="auto"/>
        <w:right w:val="none" w:sz="0" w:space="0" w:color="auto"/>
      </w:divBdr>
    </w:div>
    <w:div w:id="106242833">
      <w:bodyDiv w:val="1"/>
      <w:marLeft w:val="0"/>
      <w:marRight w:val="0"/>
      <w:marTop w:val="0"/>
      <w:marBottom w:val="0"/>
      <w:divBdr>
        <w:top w:val="none" w:sz="0" w:space="0" w:color="auto"/>
        <w:left w:val="none" w:sz="0" w:space="0" w:color="auto"/>
        <w:bottom w:val="none" w:sz="0" w:space="0" w:color="auto"/>
        <w:right w:val="none" w:sz="0" w:space="0" w:color="auto"/>
      </w:divBdr>
    </w:div>
    <w:div w:id="117917341">
      <w:bodyDiv w:val="1"/>
      <w:marLeft w:val="0"/>
      <w:marRight w:val="0"/>
      <w:marTop w:val="0"/>
      <w:marBottom w:val="0"/>
      <w:divBdr>
        <w:top w:val="none" w:sz="0" w:space="0" w:color="auto"/>
        <w:left w:val="none" w:sz="0" w:space="0" w:color="auto"/>
        <w:bottom w:val="none" w:sz="0" w:space="0" w:color="auto"/>
        <w:right w:val="none" w:sz="0" w:space="0" w:color="auto"/>
      </w:divBdr>
    </w:div>
    <w:div w:id="162284822">
      <w:bodyDiv w:val="1"/>
      <w:marLeft w:val="0"/>
      <w:marRight w:val="0"/>
      <w:marTop w:val="0"/>
      <w:marBottom w:val="0"/>
      <w:divBdr>
        <w:top w:val="none" w:sz="0" w:space="0" w:color="auto"/>
        <w:left w:val="none" w:sz="0" w:space="0" w:color="auto"/>
        <w:bottom w:val="none" w:sz="0" w:space="0" w:color="auto"/>
        <w:right w:val="none" w:sz="0" w:space="0" w:color="auto"/>
      </w:divBdr>
    </w:div>
    <w:div w:id="296909386">
      <w:bodyDiv w:val="1"/>
      <w:marLeft w:val="0"/>
      <w:marRight w:val="0"/>
      <w:marTop w:val="0"/>
      <w:marBottom w:val="0"/>
      <w:divBdr>
        <w:top w:val="none" w:sz="0" w:space="0" w:color="auto"/>
        <w:left w:val="none" w:sz="0" w:space="0" w:color="auto"/>
        <w:bottom w:val="none" w:sz="0" w:space="0" w:color="auto"/>
        <w:right w:val="none" w:sz="0" w:space="0" w:color="auto"/>
      </w:divBdr>
    </w:div>
    <w:div w:id="347147372">
      <w:bodyDiv w:val="1"/>
      <w:marLeft w:val="0"/>
      <w:marRight w:val="0"/>
      <w:marTop w:val="0"/>
      <w:marBottom w:val="0"/>
      <w:divBdr>
        <w:top w:val="none" w:sz="0" w:space="0" w:color="auto"/>
        <w:left w:val="none" w:sz="0" w:space="0" w:color="auto"/>
        <w:bottom w:val="none" w:sz="0" w:space="0" w:color="auto"/>
        <w:right w:val="none" w:sz="0" w:space="0" w:color="auto"/>
      </w:divBdr>
      <w:divsChild>
        <w:div w:id="1877308635">
          <w:marLeft w:val="0"/>
          <w:marRight w:val="0"/>
          <w:marTop w:val="0"/>
          <w:marBottom w:val="0"/>
          <w:divBdr>
            <w:top w:val="none" w:sz="0" w:space="0" w:color="auto"/>
            <w:left w:val="none" w:sz="0" w:space="0" w:color="auto"/>
            <w:bottom w:val="none" w:sz="0" w:space="0" w:color="auto"/>
            <w:right w:val="none" w:sz="0" w:space="0" w:color="auto"/>
          </w:divBdr>
          <w:divsChild>
            <w:div w:id="1699548107">
              <w:marLeft w:val="0"/>
              <w:marRight w:val="0"/>
              <w:marTop w:val="0"/>
              <w:marBottom w:val="0"/>
              <w:divBdr>
                <w:top w:val="none" w:sz="0" w:space="0" w:color="auto"/>
                <w:left w:val="none" w:sz="0" w:space="0" w:color="auto"/>
                <w:bottom w:val="none" w:sz="0" w:space="0" w:color="auto"/>
                <w:right w:val="none" w:sz="0" w:space="0" w:color="auto"/>
              </w:divBdr>
              <w:divsChild>
                <w:div w:id="541478566">
                  <w:marLeft w:val="0"/>
                  <w:marRight w:val="0"/>
                  <w:marTop w:val="0"/>
                  <w:marBottom w:val="0"/>
                  <w:divBdr>
                    <w:top w:val="none" w:sz="0" w:space="0" w:color="auto"/>
                    <w:left w:val="none" w:sz="0" w:space="0" w:color="auto"/>
                    <w:bottom w:val="none" w:sz="0" w:space="0" w:color="auto"/>
                    <w:right w:val="none" w:sz="0" w:space="0" w:color="auto"/>
                  </w:divBdr>
                  <w:divsChild>
                    <w:div w:id="1290279238">
                      <w:marLeft w:val="0"/>
                      <w:marRight w:val="0"/>
                      <w:marTop w:val="0"/>
                      <w:marBottom w:val="0"/>
                      <w:divBdr>
                        <w:top w:val="none" w:sz="0" w:space="0" w:color="auto"/>
                        <w:left w:val="none" w:sz="0" w:space="0" w:color="auto"/>
                        <w:bottom w:val="none" w:sz="0" w:space="0" w:color="auto"/>
                        <w:right w:val="none" w:sz="0" w:space="0" w:color="auto"/>
                      </w:divBdr>
                      <w:divsChild>
                        <w:div w:id="2096432170">
                          <w:marLeft w:val="0"/>
                          <w:marRight w:val="0"/>
                          <w:marTop w:val="0"/>
                          <w:marBottom w:val="0"/>
                          <w:divBdr>
                            <w:top w:val="none" w:sz="0" w:space="0" w:color="auto"/>
                            <w:left w:val="none" w:sz="0" w:space="0" w:color="auto"/>
                            <w:bottom w:val="none" w:sz="0" w:space="0" w:color="auto"/>
                            <w:right w:val="none" w:sz="0" w:space="0" w:color="auto"/>
                          </w:divBdr>
                          <w:divsChild>
                            <w:div w:id="10568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9291">
                  <w:marLeft w:val="0"/>
                  <w:marRight w:val="0"/>
                  <w:marTop w:val="0"/>
                  <w:marBottom w:val="0"/>
                  <w:divBdr>
                    <w:top w:val="none" w:sz="0" w:space="0" w:color="auto"/>
                    <w:left w:val="none" w:sz="0" w:space="0" w:color="auto"/>
                    <w:bottom w:val="none" w:sz="0" w:space="0" w:color="auto"/>
                    <w:right w:val="none" w:sz="0" w:space="0" w:color="auto"/>
                  </w:divBdr>
                  <w:divsChild>
                    <w:div w:id="16580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33531">
      <w:bodyDiv w:val="1"/>
      <w:marLeft w:val="0"/>
      <w:marRight w:val="0"/>
      <w:marTop w:val="0"/>
      <w:marBottom w:val="0"/>
      <w:divBdr>
        <w:top w:val="none" w:sz="0" w:space="0" w:color="auto"/>
        <w:left w:val="none" w:sz="0" w:space="0" w:color="auto"/>
        <w:bottom w:val="none" w:sz="0" w:space="0" w:color="auto"/>
        <w:right w:val="none" w:sz="0" w:space="0" w:color="auto"/>
      </w:divBdr>
    </w:div>
    <w:div w:id="521478553">
      <w:bodyDiv w:val="1"/>
      <w:marLeft w:val="0"/>
      <w:marRight w:val="0"/>
      <w:marTop w:val="0"/>
      <w:marBottom w:val="0"/>
      <w:divBdr>
        <w:top w:val="none" w:sz="0" w:space="0" w:color="auto"/>
        <w:left w:val="none" w:sz="0" w:space="0" w:color="auto"/>
        <w:bottom w:val="none" w:sz="0" w:space="0" w:color="auto"/>
        <w:right w:val="none" w:sz="0" w:space="0" w:color="auto"/>
      </w:divBdr>
    </w:div>
    <w:div w:id="741803975">
      <w:bodyDiv w:val="1"/>
      <w:marLeft w:val="0"/>
      <w:marRight w:val="0"/>
      <w:marTop w:val="0"/>
      <w:marBottom w:val="0"/>
      <w:divBdr>
        <w:top w:val="none" w:sz="0" w:space="0" w:color="auto"/>
        <w:left w:val="none" w:sz="0" w:space="0" w:color="auto"/>
        <w:bottom w:val="none" w:sz="0" w:space="0" w:color="auto"/>
        <w:right w:val="none" w:sz="0" w:space="0" w:color="auto"/>
      </w:divBdr>
      <w:divsChild>
        <w:div w:id="1454052518">
          <w:marLeft w:val="0"/>
          <w:marRight w:val="0"/>
          <w:marTop w:val="0"/>
          <w:marBottom w:val="0"/>
          <w:divBdr>
            <w:top w:val="none" w:sz="0" w:space="0" w:color="auto"/>
            <w:left w:val="none" w:sz="0" w:space="0" w:color="auto"/>
            <w:bottom w:val="none" w:sz="0" w:space="0" w:color="auto"/>
            <w:right w:val="none" w:sz="0" w:space="0" w:color="auto"/>
          </w:divBdr>
          <w:divsChild>
            <w:div w:id="1710911658">
              <w:marLeft w:val="0"/>
              <w:marRight w:val="0"/>
              <w:marTop w:val="0"/>
              <w:marBottom w:val="0"/>
              <w:divBdr>
                <w:top w:val="none" w:sz="0" w:space="0" w:color="auto"/>
                <w:left w:val="none" w:sz="0" w:space="0" w:color="auto"/>
                <w:bottom w:val="none" w:sz="0" w:space="0" w:color="auto"/>
                <w:right w:val="none" w:sz="0" w:space="0" w:color="auto"/>
              </w:divBdr>
              <w:divsChild>
                <w:div w:id="235164099">
                  <w:marLeft w:val="0"/>
                  <w:marRight w:val="0"/>
                  <w:marTop w:val="0"/>
                  <w:marBottom w:val="0"/>
                  <w:divBdr>
                    <w:top w:val="none" w:sz="0" w:space="0" w:color="auto"/>
                    <w:left w:val="none" w:sz="0" w:space="0" w:color="auto"/>
                    <w:bottom w:val="none" w:sz="0" w:space="0" w:color="auto"/>
                    <w:right w:val="none" w:sz="0" w:space="0" w:color="auto"/>
                  </w:divBdr>
                  <w:divsChild>
                    <w:div w:id="2107193442">
                      <w:marLeft w:val="0"/>
                      <w:marRight w:val="0"/>
                      <w:marTop w:val="0"/>
                      <w:marBottom w:val="0"/>
                      <w:divBdr>
                        <w:top w:val="none" w:sz="0" w:space="0" w:color="auto"/>
                        <w:left w:val="none" w:sz="0" w:space="0" w:color="auto"/>
                        <w:bottom w:val="none" w:sz="0" w:space="0" w:color="auto"/>
                        <w:right w:val="none" w:sz="0" w:space="0" w:color="auto"/>
                      </w:divBdr>
                      <w:divsChild>
                        <w:div w:id="927471084">
                          <w:marLeft w:val="0"/>
                          <w:marRight w:val="0"/>
                          <w:marTop w:val="0"/>
                          <w:marBottom w:val="0"/>
                          <w:divBdr>
                            <w:top w:val="none" w:sz="0" w:space="0" w:color="auto"/>
                            <w:left w:val="none" w:sz="0" w:space="0" w:color="auto"/>
                            <w:bottom w:val="none" w:sz="0" w:space="0" w:color="auto"/>
                            <w:right w:val="none" w:sz="0" w:space="0" w:color="auto"/>
                          </w:divBdr>
                          <w:divsChild>
                            <w:div w:id="1713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413">
                  <w:marLeft w:val="0"/>
                  <w:marRight w:val="0"/>
                  <w:marTop w:val="0"/>
                  <w:marBottom w:val="0"/>
                  <w:divBdr>
                    <w:top w:val="none" w:sz="0" w:space="0" w:color="auto"/>
                    <w:left w:val="none" w:sz="0" w:space="0" w:color="auto"/>
                    <w:bottom w:val="none" w:sz="0" w:space="0" w:color="auto"/>
                    <w:right w:val="none" w:sz="0" w:space="0" w:color="auto"/>
                  </w:divBdr>
                  <w:divsChild>
                    <w:div w:id="9082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6190">
      <w:bodyDiv w:val="1"/>
      <w:marLeft w:val="0"/>
      <w:marRight w:val="0"/>
      <w:marTop w:val="0"/>
      <w:marBottom w:val="0"/>
      <w:divBdr>
        <w:top w:val="none" w:sz="0" w:space="0" w:color="auto"/>
        <w:left w:val="none" w:sz="0" w:space="0" w:color="auto"/>
        <w:bottom w:val="none" w:sz="0" w:space="0" w:color="auto"/>
        <w:right w:val="none" w:sz="0" w:space="0" w:color="auto"/>
      </w:divBdr>
    </w:div>
    <w:div w:id="744374357">
      <w:bodyDiv w:val="1"/>
      <w:marLeft w:val="0"/>
      <w:marRight w:val="0"/>
      <w:marTop w:val="0"/>
      <w:marBottom w:val="0"/>
      <w:divBdr>
        <w:top w:val="none" w:sz="0" w:space="0" w:color="auto"/>
        <w:left w:val="none" w:sz="0" w:space="0" w:color="auto"/>
        <w:bottom w:val="none" w:sz="0" w:space="0" w:color="auto"/>
        <w:right w:val="none" w:sz="0" w:space="0" w:color="auto"/>
      </w:divBdr>
    </w:div>
    <w:div w:id="761220730">
      <w:bodyDiv w:val="1"/>
      <w:marLeft w:val="0"/>
      <w:marRight w:val="0"/>
      <w:marTop w:val="0"/>
      <w:marBottom w:val="0"/>
      <w:divBdr>
        <w:top w:val="none" w:sz="0" w:space="0" w:color="auto"/>
        <w:left w:val="none" w:sz="0" w:space="0" w:color="auto"/>
        <w:bottom w:val="none" w:sz="0" w:space="0" w:color="auto"/>
        <w:right w:val="none" w:sz="0" w:space="0" w:color="auto"/>
      </w:divBdr>
    </w:div>
    <w:div w:id="765662455">
      <w:bodyDiv w:val="1"/>
      <w:marLeft w:val="0"/>
      <w:marRight w:val="0"/>
      <w:marTop w:val="0"/>
      <w:marBottom w:val="0"/>
      <w:divBdr>
        <w:top w:val="none" w:sz="0" w:space="0" w:color="auto"/>
        <w:left w:val="none" w:sz="0" w:space="0" w:color="auto"/>
        <w:bottom w:val="none" w:sz="0" w:space="0" w:color="auto"/>
        <w:right w:val="none" w:sz="0" w:space="0" w:color="auto"/>
      </w:divBdr>
    </w:div>
    <w:div w:id="942997757">
      <w:bodyDiv w:val="1"/>
      <w:marLeft w:val="0"/>
      <w:marRight w:val="0"/>
      <w:marTop w:val="0"/>
      <w:marBottom w:val="0"/>
      <w:divBdr>
        <w:top w:val="none" w:sz="0" w:space="0" w:color="auto"/>
        <w:left w:val="none" w:sz="0" w:space="0" w:color="auto"/>
        <w:bottom w:val="none" w:sz="0" w:space="0" w:color="auto"/>
        <w:right w:val="none" w:sz="0" w:space="0" w:color="auto"/>
      </w:divBdr>
    </w:div>
    <w:div w:id="969363905">
      <w:bodyDiv w:val="1"/>
      <w:marLeft w:val="0"/>
      <w:marRight w:val="0"/>
      <w:marTop w:val="0"/>
      <w:marBottom w:val="0"/>
      <w:divBdr>
        <w:top w:val="none" w:sz="0" w:space="0" w:color="auto"/>
        <w:left w:val="none" w:sz="0" w:space="0" w:color="auto"/>
        <w:bottom w:val="none" w:sz="0" w:space="0" w:color="auto"/>
        <w:right w:val="none" w:sz="0" w:space="0" w:color="auto"/>
      </w:divBdr>
    </w:div>
    <w:div w:id="982007568">
      <w:bodyDiv w:val="1"/>
      <w:marLeft w:val="0"/>
      <w:marRight w:val="0"/>
      <w:marTop w:val="0"/>
      <w:marBottom w:val="0"/>
      <w:divBdr>
        <w:top w:val="none" w:sz="0" w:space="0" w:color="auto"/>
        <w:left w:val="none" w:sz="0" w:space="0" w:color="auto"/>
        <w:bottom w:val="none" w:sz="0" w:space="0" w:color="auto"/>
        <w:right w:val="none" w:sz="0" w:space="0" w:color="auto"/>
      </w:divBdr>
    </w:div>
    <w:div w:id="997852638">
      <w:bodyDiv w:val="1"/>
      <w:marLeft w:val="0"/>
      <w:marRight w:val="0"/>
      <w:marTop w:val="0"/>
      <w:marBottom w:val="0"/>
      <w:divBdr>
        <w:top w:val="none" w:sz="0" w:space="0" w:color="auto"/>
        <w:left w:val="none" w:sz="0" w:space="0" w:color="auto"/>
        <w:bottom w:val="none" w:sz="0" w:space="0" w:color="auto"/>
        <w:right w:val="none" w:sz="0" w:space="0" w:color="auto"/>
      </w:divBdr>
      <w:divsChild>
        <w:div w:id="2113165720">
          <w:marLeft w:val="0"/>
          <w:marRight w:val="0"/>
          <w:marTop w:val="0"/>
          <w:marBottom w:val="0"/>
          <w:divBdr>
            <w:top w:val="none" w:sz="0" w:space="0" w:color="auto"/>
            <w:left w:val="none" w:sz="0" w:space="0" w:color="auto"/>
            <w:bottom w:val="none" w:sz="0" w:space="0" w:color="auto"/>
            <w:right w:val="none" w:sz="0" w:space="0" w:color="auto"/>
          </w:divBdr>
          <w:divsChild>
            <w:div w:id="1559633809">
              <w:marLeft w:val="0"/>
              <w:marRight w:val="0"/>
              <w:marTop w:val="0"/>
              <w:marBottom w:val="0"/>
              <w:divBdr>
                <w:top w:val="none" w:sz="0" w:space="0" w:color="auto"/>
                <w:left w:val="none" w:sz="0" w:space="0" w:color="auto"/>
                <w:bottom w:val="none" w:sz="0" w:space="0" w:color="auto"/>
                <w:right w:val="none" w:sz="0" w:space="0" w:color="auto"/>
              </w:divBdr>
              <w:divsChild>
                <w:div w:id="2044555324">
                  <w:marLeft w:val="0"/>
                  <w:marRight w:val="0"/>
                  <w:marTop w:val="0"/>
                  <w:marBottom w:val="0"/>
                  <w:divBdr>
                    <w:top w:val="none" w:sz="0" w:space="0" w:color="auto"/>
                    <w:left w:val="none" w:sz="0" w:space="0" w:color="auto"/>
                    <w:bottom w:val="none" w:sz="0" w:space="0" w:color="auto"/>
                    <w:right w:val="none" w:sz="0" w:space="0" w:color="auto"/>
                  </w:divBdr>
                  <w:divsChild>
                    <w:div w:id="1795251069">
                      <w:marLeft w:val="0"/>
                      <w:marRight w:val="0"/>
                      <w:marTop w:val="0"/>
                      <w:marBottom w:val="0"/>
                      <w:divBdr>
                        <w:top w:val="none" w:sz="0" w:space="0" w:color="auto"/>
                        <w:left w:val="none" w:sz="0" w:space="0" w:color="auto"/>
                        <w:bottom w:val="none" w:sz="0" w:space="0" w:color="auto"/>
                        <w:right w:val="none" w:sz="0" w:space="0" w:color="auto"/>
                      </w:divBdr>
                      <w:divsChild>
                        <w:div w:id="791243262">
                          <w:marLeft w:val="0"/>
                          <w:marRight w:val="0"/>
                          <w:marTop w:val="0"/>
                          <w:marBottom w:val="0"/>
                          <w:divBdr>
                            <w:top w:val="none" w:sz="0" w:space="0" w:color="auto"/>
                            <w:left w:val="none" w:sz="0" w:space="0" w:color="auto"/>
                            <w:bottom w:val="none" w:sz="0" w:space="0" w:color="auto"/>
                            <w:right w:val="none" w:sz="0" w:space="0" w:color="auto"/>
                          </w:divBdr>
                          <w:divsChild>
                            <w:div w:id="1621649079">
                              <w:marLeft w:val="0"/>
                              <w:marRight w:val="0"/>
                              <w:marTop w:val="0"/>
                              <w:marBottom w:val="0"/>
                              <w:divBdr>
                                <w:top w:val="none" w:sz="0" w:space="0" w:color="auto"/>
                                <w:left w:val="none" w:sz="0" w:space="0" w:color="auto"/>
                                <w:bottom w:val="none" w:sz="0" w:space="0" w:color="auto"/>
                                <w:right w:val="none" w:sz="0" w:space="0" w:color="auto"/>
                              </w:divBdr>
                              <w:divsChild>
                                <w:div w:id="6948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80202">
      <w:bodyDiv w:val="1"/>
      <w:marLeft w:val="0"/>
      <w:marRight w:val="0"/>
      <w:marTop w:val="0"/>
      <w:marBottom w:val="0"/>
      <w:divBdr>
        <w:top w:val="none" w:sz="0" w:space="0" w:color="auto"/>
        <w:left w:val="none" w:sz="0" w:space="0" w:color="auto"/>
        <w:bottom w:val="none" w:sz="0" w:space="0" w:color="auto"/>
        <w:right w:val="none" w:sz="0" w:space="0" w:color="auto"/>
      </w:divBdr>
      <w:divsChild>
        <w:div w:id="514930213">
          <w:marLeft w:val="0"/>
          <w:marRight w:val="0"/>
          <w:marTop w:val="0"/>
          <w:marBottom w:val="0"/>
          <w:divBdr>
            <w:top w:val="none" w:sz="0" w:space="0" w:color="auto"/>
            <w:left w:val="none" w:sz="0" w:space="0" w:color="auto"/>
            <w:bottom w:val="none" w:sz="0" w:space="0" w:color="auto"/>
            <w:right w:val="none" w:sz="0" w:space="0" w:color="auto"/>
          </w:divBdr>
          <w:divsChild>
            <w:div w:id="1725326280">
              <w:marLeft w:val="0"/>
              <w:marRight w:val="0"/>
              <w:marTop w:val="0"/>
              <w:marBottom w:val="0"/>
              <w:divBdr>
                <w:top w:val="none" w:sz="0" w:space="0" w:color="auto"/>
                <w:left w:val="none" w:sz="0" w:space="0" w:color="auto"/>
                <w:bottom w:val="none" w:sz="0" w:space="0" w:color="auto"/>
                <w:right w:val="none" w:sz="0" w:space="0" w:color="auto"/>
              </w:divBdr>
              <w:divsChild>
                <w:div w:id="1092048835">
                  <w:marLeft w:val="0"/>
                  <w:marRight w:val="0"/>
                  <w:marTop w:val="0"/>
                  <w:marBottom w:val="0"/>
                  <w:divBdr>
                    <w:top w:val="none" w:sz="0" w:space="0" w:color="auto"/>
                    <w:left w:val="none" w:sz="0" w:space="0" w:color="auto"/>
                    <w:bottom w:val="none" w:sz="0" w:space="0" w:color="auto"/>
                    <w:right w:val="none" w:sz="0" w:space="0" w:color="auto"/>
                  </w:divBdr>
                  <w:divsChild>
                    <w:div w:id="1145900785">
                      <w:marLeft w:val="0"/>
                      <w:marRight w:val="0"/>
                      <w:marTop w:val="0"/>
                      <w:marBottom w:val="0"/>
                      <w:divBdr>
                        <w:top w:val="none" w:sz="0" w:space="0" w:color="auto"/>
                        <w:left w:val="none" w:sz="0" w:space="0" w:color="auto"/>
                        <w:bottom w:val="none" w:sz="0" w:space="0" w:color="auto"/>
                        <w:right w:val="none" w:sz="0" w:space="0" w:color="auto"/>
                      </w:divBdr>
                      <w:divsChild>
                        <w:div w:id="452020010">
                          <w:marLeft w:val="0"/>
                          <w:marRight w:val="0"/>
                          <w:marTop w:val="0"/>
                          <w:marBottom w:val="0"/>
                          <w:divBdr>
                            <w:top w:val="none" w:sz="0" w:space="0" w:color="auto"/>
                            <w:left w:val="none" w:sz="0" w:space="0" w:color="auto"/>
                            <w:bottom w:val="none" w:sz="0" w:space="0" w:color="auto"/>
                            <w:right w:val="none" w:sz="0" w:space="0" w:color="auto"/>
                          </w:divBdr>
                          <w:divsChild>
                            <w:div w:id="892079539">
                              <w:marLeft w:val="0"/>
                              <w:marRight w:val="0"/>
                              <w:marTop w:val="0"/>
                              <w:marBottom w:val="0"/>
                              <w:divBdr>
                                <w:top w:val="none" w:sz="0" w:space="0" w:color="auto"/>
                                <w:left w:val="none" w:sz="0" w:space="0" w:color="auto"/>
                                <w:bottom w:val="none" w:sz="0" w:space="0" w:color="auto"/>
                                <w:right w:val="none" w:sz="0" w:space="0" w:color="auto"/>
                              </w:divBdr>
                              <w:divsChild>
                                <w:div w:id="2082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544347">
      <w:bodyDiv w:val="1"/>
      <w:marLeft w:val="0"/>
      <w:marRight w:val="0"/>
      <w:marTop w:val="0"/>
      <w:marBottom w:val="0"/>
      <w:divBdr>
        <w:top w:val="none" w:sz="0" w:space="0" w:color="auto"/>
        <w:left w:val="none" w:sz="0" w:space="0" w:color="auto"/>
        <w:bottom w:val="none" w:sz="0" w:space="0" w:color="auto"/>
        <w:right w:val="none" w:sz="0" w:space="0" w:color="auto"/>
      </w:divBdr>
    </w:div>
    <w:div w:id="1431394647">
      <w:bodyDiv w:val="1"/>
      <w:marLeft w:val="0"/>
      <w:marRight w:val="0"/>
      <w:marTop w:val="0"/>
      <w:marBottom w:val="0"/>
      <w:divBdr>
        <w:top w:val="none" w:sz="0" w:space="0" w:color="auto"/>
        <w:left w:val="none" w:sz="0" w:space="0" w:color="auto"/>
        <w:bottom w:val="none" w:sz="0" w:space="0" w:color="auto"/>
        <w:right w:val="none" w:sz="0" w:space="0" w:color="auto"/>
      </w:divBdr>
    </w:div>
    <w:div w:id="1481506926">
      <w:bodyDiv w:val="1"/>
      <w:marLeft w:val="0"/>
      <w:marRight w:val="0"/>
      <w:marTop w:val="0"/>
      <w:marBottom w:val="0"/>
      <w:divBdr>
        <w:top w:val="none" w:sz="0" w:space="0" w:color="auto"/>
        <w:left w:val="none" w:sz="0" w:space="0" w:color="auto"/>
        <w:bottom w:val="none" w:sz="0" w:space="0" w:color="auto"/>
        <w:right w:val="none" w:sz="0" w:space="0" w:color="auto"/>
      </w:divBdr>
    </w:div>
    <w:div w:id="1530799704">
      <w:bodyDiv w:val="1"/>
      <w:marLeft w:val="0"/>
      <w:marRight w:val="0"/>
      <w:marTop w:val="0"/>
      <w:marBottom w:val="0"/>
      <w:divBdr>
        <w:top w:val="none" w:sz="0" w:space="0" w:color="auto"/>
        <w:left w:val="none" w:sz="0" w:space="0" w:color="auto"/>
        <w:bottom w:val="none" w:sz="0" w:space="0" w:color="auto"/>
        <w:right w:val="none" w:sz="0" w:space="0" w:color="auto"/>
      </w:divBdr>
    </w:div>
    <w:div w:id="1553689272">
      <w:bodyDiv w:val="1"/>
      <w:marLeft w:val="0"/>
      <w:marRight w:val="0"/>
      <w:marTop w:val="0"/>
      <w:marBottom w:val="0"/>
      <w:divBdr>
        <w:top w:val="none" w:sz="0" w:space="0" w:color="auto"/>
        <w:left w:val="none" w:sz="0" w:space="0" w:color="auto"/>
        <w:bottom w:val="none" w:sz="0" w:space="0" w:color="auto"/>
        <w:right w:val="none" w:sz="0" w:space="0" w:color="auto"/>
      </w:divBdr>
    </w:div>
    <w:div w:id="1720977507">
      <w:bodyDiv w:val="1"/>
      <w:marLeft w:val="0"/>
      <w:marRight w:val="0"/>
      <w:marTop w:val="0"/>
      <w:marBottom w:val="0"/>
      <w:divBdr>
        <w:top w:val="none" w:sz="0" w:space="0" w:color="auto"/>
        <w:left w:val="none" w:sz="0" w:space="0" w:color="auto"/>
        <w:bottom w:val="none" w:sz="0" w:space="0" w:color="auto"/>
        <w:right w:val="none" w:sz="0" w:space="0" w:color="auto"/>
      </w:divBdr>
      <w:divsChild>
        <w:div w:id="712383576">
          <w:marLeft w:val="0"/>
          <w:marRight w:val="0"/>
          <w:marTop w:val="0"/>
          <w:marBottom w:val="0"/>
          <w:divBdr>
            <w:top w:val="none" w:sz="0" w:space="0" w:color="auto"/>
            <w:left w:val="none" w:sz="0" w:space="0" w:color="auto"/>
            <w:bottom w:val="none" w:sz="0" w:space="0" w:color="auto"/>
            <w:right w:val="none" w:sz="0" w:space="0" w:color="auto"/>
          </w:divBdr>
          <w:divsChild>
            <w:div w:id="2086107369">
              <w:marLeft w:val="0"/>
              <w:marRight w:val="0"/>
              <w:marTop w:val="0"/>
              <w:marBottom w:val="0"/>
              <w:divBdr>
                <w:top w:val="none" w:sz="0" w:space="0" w:color="auto"/>
                <w:left w:val="none" w:sz="0" w:space="0" w:color="auto"/>
                <w:bottom w:val="none" w:sz="0" w:space="0" w:color="auto"/>
                <w:right w:val="none" w:sz="0" w:space="0" w:color="auto"/>
              </w:divBdr>
              <w:divsChild>
                <w:div w:id="589628346">
                  <w:marLeft w:val="0"/>
                  <w:marRight w:val="0"/>
                  <w:marTop w:val="0"/>
                  <w:marBottom w:val="0"/>
                  <w:divBdr>
                    <w:top w:val="none" w:sz="0" w:space="0" w:color="auto"/>
                    <w:left w:val="none" w:sz="0" w:space="0" w:color="auto"/>
                    <w:bottom w:val="none" w:sz="0" w:space="0" w:color="auto"/>
                    <w:right w:val="none" w:sz="0" w:space="0" w:color="auto"/>
                  </w:divBdr>
                  <w:divsChild>
                    <w:div w:id="1845053980">
                      <w:marLeft w:val="0"/>
                      <w:marRight w:val="0"/>
                      <w:marTop w:val="0"/>
                      <w:marBottom w:val="0"/>
                      <w:divBdr>
                        <w:top w:val="none" w:sz="0" w:space="0" w:color="auto"/>
                        <w:left w:val="none" w:sz="0" w:space="0" w:color="auto"/>
                        <w:bottom w:val="none" w:sz="0" w:space="0" w:color="auto"/>
                        <w:right w:val="none" w:sz="0" w:space="0" w:color="auto"/>
                      </w:divBdr>
                      <w:divsChild>
                        <w:div w:id="1851528720">
                          <w:marLeft w:val="0"/>
                          <w:marRight w:val="0"/>
                          <w:marTop w:val="0"/>
                          <w:marBottom w:val="0"/>
                          <w:divBdr>
                            <w:top w:val="none" w:sz="0" w:space="0" w:color="auto"/>
                            <w:left w:val="none" w:sz="0" w:space="0" w:color="auto"/>
                            <w:bottom w:val="none" w:sz="0" w:space="0" w:color="auto"/>
                            <w:right w:val="none" w:sz="0" w:space="0" w:color="auto"/>
                          </w:divBdr>
                          <w:divsChild>
                            <w:div w:id="416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5083">
                  <w:marLeft w:val="0"/>
                  <w:marRight w:val="0"/>
                  <w:marTop w:val="0"/>
                  <w:marBottom w:val="0"/>
                  <w:divBdr>
                    <w:top w:val="none" w:sz="0" w:space="0" w:color="auto"/>
                    <w:left w:val="none" w:sz="0" w:space="0" w:color="auto"/>
                    <w:bottom w:val="none" w:sz="0" w:space="0" w:color="auto"/>
                    <w:right w:val="none" w:sz="0" w:space="0" w:color="auto"/>
                  </w:divBdr>
                  <w:divsChild>
                    <w:div w:id="20699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2300">
      <w:bodyDiv w:val="1"/>
      <w:marLeft w:val="0"/>
      <w:marRight w:val="0"/>
      <w:marTop w:val="0"/>
      <w:marBottom w:val="0"/>
      <w:divBdr>
        <w:top w:val="none" w:sz="0" w:space="0" w:color="auto"/>
        <w:left w:val="none" w:sz="0" w:space="0" w:color="auto"/>
        <w:bottom w:val="none" w:sz="0" w:space="0" w:color="auto"/>
        <w:right w:val="none" w:sz="0" w:space="0" w:color="auto"/>
      </w:divBdr>
    </w:div>
    <w:div w:id="1939411867">
      <w:bodyDiv w:val="1"/>
      <w:marLeft w:val="0"/>
      <w:marRight w:val="0"/>
      <w:marTop w:val="0"/>
      <w:marBottom w:val="0"/>
      <w:divBdr>
        <w:top w:val="none" w:sz="0" w:space="0" w:color="auto"/>
        <w:left w:val="none" w:sz="0" w:space="0" w:color="auto"/>
        <w:bottom w:val="none" w:sz="0" w:space="0" w:color="auto"/>
        <w:right w:val="none" w:sz="0" w:space="0" w:color="auto"/>
      </w:divBdr>
    </w:div>
    <w:div w:id="20577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6284</Words>
  <Characters>35819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2025-08-02T13:45:00Z</dcterms:created>
  <dcterms:modified xsi:type="dcterms:W3CDTF">2025-08-04T12:39:00Z</dcterms:modified>
</cp:coreProperties>
</file>