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272" w:rsidRPr="00C13AA6" w:rsidRDefault="0053427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6"/>
        <w:tblW w:w="1278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534272" w:rsidRPr="00C13AA6">
        <w:trPr>
          <w:trHeight w:val="280"/>
        </w:trPr>
        <w:tc>
          <w:tcPr>
            <w:tcW w:w="2160" w:type="dxa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color w:val="000000"/>
                <w:sz w:val="20"/>
                <w:szCs w:val="20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272" w:rsidRPr="00C13AA6" w:rsidRDefault="006D6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6">
              <w:r w:rsidR="0093214A" w:rsidRPr="00C13AA6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534272" w:rsidRPr="00C13AA6">
        <w:trPr>
          <w:trHeight w:val="280"/>
        </w:trPr>
        <w:tc>
          <w:tcPr>
            <w:tcW w:w="2160" w:type="dxa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Ms_UPJOZ_5269</w:t>
            </w:r>
          </w:p>
        </w:tc>
      </w:tr>
      <w:tr w:rsidR="00534272" w:rsidRPr="00C13AA6">
        <w:trPr>
          <w:trHeight w:val="640"/>
        </w:trPr>
        <w:tc>
          <w:tcPr>
            <w:tcW w:w="2160" w:type="dxa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Integrative Review of Reproductive Biology in the Muga Silkworm (Antheraeaassamensis): Anatomy, Endocrinology, Seasonality, and Seed Technology</w:t>
            </w:r>
          </w:p>
        </w:tc>
      </w:tr>
      <w:tr w:rsidR="00534272" w:rsidRPr="00C13AA6">
        <w:trPr>
          <w:trHeight w:val="320"/>
        </w:trPr>
        <w:tc>
          <w:tcPr>
            <w:tcW w:w="2160" w:type="dxa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4272" w:rsidRPr="00C13AA6" w:rsidRDefault="009321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C13AA6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534272" w:rsidRPr="00C13AA6" w:rsidRDefault="0053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:rsidR="00534272" w:rsidRPr="00C13AA6" w:rsidRDefault="0053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gjdgxs" w:colFirst="0" w:colLast="0"/>
      <w:bookmarkEnd w:id="0"/>
    </w:p>
    <w:p w:rsidR="00534272" w:rsidRPr="00C13AA6" w:rsidRDefault="00534272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7"/>
        <w:tblW w:w="131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534272" w:rsidRPr="00C13AA6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C13AA6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534272" w:rsidRPr="00C13AA6" w:rsidRDefault="005342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272" w:rsidRPr="00C13AA6">
        <w:tc>
          <w:tcPr>
            <w:tcW w:w="3334" w:type="dxa"/>
          </w:tcPr>
          <w:p w:rsidR="00534272" w:rsidRPr="00C13AA6" w:rsidRDefault="00534272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13AA6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534272" w:rsidRPr="00C13AA6" w:rsidRDefault="00534272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272" w:rsidRPr="00C13AA6">
        <w:trPr>
          <w:trHeight w:val="1260"/>
        </w:trPr>
        <w:tc>
          <w:tcPr>
            <w:tcW w:w="3334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534272" w:rsidRPr="00C13AA6" w:rsidRDefault="005342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This manuscript provides a comprehensive and integrative review of the reproductive biology of Antheraeaassamensis, a species of high economic and cultural significance in the muga silk industry. It compiles recent advances in anatomy, endocrinology, seasonality, mating behaviour, and seed technology, filling a gap in literature where previous works were fragmented. The synthesis presented here offers both scientific insights and practical recommendations for improving , reproductive efficiency, and climate resilience in sericulture.</w:t>
            </w:r>
          </w:p>
        </w:tc>
        <w:tc>
          <w:tcPr>
            <w:tcW w:w="4013" w:type="dxa"/>
          </w:tcPr>
          <w:p w:rsidR="00534272" w:rsidRPr="00C13AA6" w:rsidRDefault="003C2EA4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1260"/>
        </w:trPr>
        <w:tc>
          <w:tcPr>
            <w:tcW w:w="3334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534272" w:rsidRPr="00C13AA6" w:rsidRDefault="00534272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 xml:space="preserve">YES , suitable </w:t>
            </w:r>
          </w:p>
        </w:tc>
        <w:tc>
          <w:tcPr>
            <w:tcW w:w="4013" w:type="dxa"/>
          </w:tcPr>
          <w:p w:rsidR="00534272" w:rsidRPr="00C13AA6" w:rsidRDefault="003C2EA4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1260"/>
        </w:trPr>
        <w:tc>
          <w:tcPr>
            <w:tcW w:w="3334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534272" w:rsidRPr="00C13AA6" w:rsidRDefault="00534272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The summary is generally comprehensive and informative. It can be improved by: (1) reducing details and focusing on the main results; (2) including specific quantitative results from key studies (e.g., percentage improvements in fertility); (3) ensuring the use of standardized terminology, mentioning the full names of hormones upon first reference followed by their abbreviations.</w:t>
            </w:r>
          </w:p>
          <w:p w:rsidR="00DA4403" w:rsidRPr="00C13AA6" w:rsidRDefault="00DA4403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Delete the images in the introduction</w:t>
            </w:r>
          </w:p>
        </w:tc>
        <w:tc>
          <w:tcPr>
            <w:tcW w:w="4013" w:type="dxa"/>
          </w:tcPr>
          <w:p w:rsidR="00534272" w:rsidRPr="00C13AA6" w:rsidRDefault="003C2EA4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bookmarkStart w:id="1" w:name="_1fob9te" w:colFirst="0" w:colLast="0"/>
            <w:bookmarkEnd w:id="1"/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700"/>
        </w:trPr>
        <w:tc>
          <w:tcPr>
            <w:tcW w:w="3334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534272" w:rsidRPr="00C13AA6" w:rsidRDefault="003C2EA4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700"/>
        </w:trPr>
        <w:tc>
          <w:tcPr>
            <w:tcW w:w="3334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Yes. The references are sufficient, relevant, and include both classic works and recent studies (up to 2025). </w:t>
            </w:r>
          </w:p>
        </w:tc>
        <w:tc>
          <w:tcPr>
            <w:tcW w:w="4013" w:type="dxa"/>
          </w:tcPr>
          <w:p w:rsidR="00534272" w:rsidRPr="00C13AA6" w:rsidRDefault="003C2EA4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380"/>
        </w:trPr>
        <w:tc>
          <w:tcPr>
            <w:tcW w:w="3334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534272" w:rsidRPr="00C13AA6" w:rsidRDefault="00534272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Yes. The language is generally appropriate for scholarly publication. </w:t>
            </w:r>
          </w:p>
        </w:tc>
        <w:tc>
          <w:tcPr>
            <w:tcW w:w="4013" w:type="dxa"/>
          </w:tcPr>
          <w:p w:rsidR="00534272" w:rsidRPr="00C13AA6" w:rsidRDefault="003C2EA4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534272" w:rsidRPr="00C13AA6">
        <w:trPr>
          <w:trHeight w:val="1160"/>
        </w:trPr>
        <w:tc>
          <w:tcPr>
            <w:tcW w:w="3334" w:type="dxa"/>
          </w:tcPr>
          <w:p w:rsidR="00534272" w:rsidRPr="00C13AA6" w:rsidRDefault="0093214A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C13AA6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534272" w:rsidRPr="00C13AA6" w:rsidRDefault="00534272">
            <w:pPr>
              <w:keepNext/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534272" w:rsidRPr="00C13AA6" w:rsidRDefault="0093214A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eastAsia="Arial" w:hAnsi="Arial" w:cs="Arial"/>
                <w:color w:val="111111"/>
                <w:sz w:val="20"/>
                <w:szCs w:val="20"/>
                <w:highlight w:val="white"/>
              </w:rPr>
              <w:t>The research is valuable and well-structured, successfully integrating anatomical, physiological, and technological aspects, providing a roadmap for future research and its application in the rearing of the muga silk worm. With some minor editorial adjustments, the research manuscript is suitable for publication.</w:t>
            </w:r>
          </w:p>
        </w:tc>
        <w:tc>
          <w:tcPr>
            <w:tcW w:w="4013" w:type="dxa"/>
          </w:tcPr>
          <w:p w:rsidR="00534272" w:rsidRPr="00C13AA6" w:rsidRDefault="003C2EA4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13AA6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</w:tbl>
    <w:p w:rsidR="00534272" w:rsidRPr="00C13AA6" w:rsidRDefault="00534272">
      <w:pPr>
        <w:ind w:left="0" w:hanging="2"/>
        <w:jc w:val="both"/>
        <w:rPr>
          <w:rFonts w:ascii="Arial" w:hAnsi="Arial" w:cs="Arial"/>
          <w:sz w:val="20"/>
          <w:szCs w:val="20"/>
          <w:u w:val="single"/>
        </w:rPr>
      </w:pPr>
    </w:p>
    <w:p w:rsidR="00534272" w:rsidRPr="00C13AA6" w:rsidRDefault="00534272" w:rsidP="00C13AA6">
      <w:pPr>
        <w:ind w:leftChars="0" w:left="0" w:firstLineChars="0" w:firstLine="0"/>
        <w:jc w:val="both"/>
        <w:rPr>
          <w:rFonts w:ascii="Arial" w:hAnsi="Arial" w:cs="Arial"/>
          <w:sz w:val="20"/>
          <w:szCs w:val="20"/>
          <w:u w:val="single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8D5C1D" w:rsidRPr="00C13AA6" w:rsidTr="008D5C1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13AA6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u w:val="single"/>
                <w:lang w:val="en-GB"/>
              </w:rPr>
            </w:pPr>
          </w:p>
        </w:tc>
      </w:tr>
      <w:tr w:rsidR="008D5C1D" w:rsidRPr="00C13AA6" w:rsidTr="008D5C1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C1D" w:rsidRPr="00C13AA6" w:rsidRDefault="008D5C1D" w:rsidP="008D5C1D">
            <w:pPr>
              <w:keepNext/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</w:pPr>
            <w:r w:rsidRPr="00C13AA6">
              <w:rPr>
                <w:rFonts w:ascii="Arial" w:eastAsia="MS Mincho" w:hAnsi="Arial" w:cs="Arial"/>
                <w:b/>
                <w:bCs/>
                <w:position w:val="0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C1D" w:rsidRPr="00C13AA6" w:rsidRDefault="008D5C1D" w:rsidP="008D5C1D">
            <w:pPr>
              <w:suppressAutoHyphens w:val="0"/>
              <w:spacing w:after="160" w:line="252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Calibri" w:hAnsi="Arial" w:cs="Arial"/>
                <w:kern w:val="2"/>
                <w:position w:val="0"/>
                <w:sz w:val="20"/>
                <w:szCs w:val="20"/>
                <w:lang w:val="en-IN"/>
              </w:rPr>
            </w:pPr>
            <w:r w:rsidRPr="00C13AA6">
              <w:rPr>
                <w:rFonts w:ascii="Arial" w:eastAsia="Calibri" w:hAnsi="Arial" w:cs="Arial"/>
                <w:b/>
                <w:kern w:val="2"/>
                <w:position w:val="0"/>
                <w:sz w:val="20"/>
                <w:szCs w:val="20"/>
                <w:lang w:val="en-IN"/>
              </w:rPr>
              <w:t>Author’s Feedback</w:t>
            </w:r>
            <w:r w:rsidRPr="00C13AA6">
              <w:rPr>
                <w:rFonts w:ascii="Arial" w:eastAsia="Calibri" w:hAnsi="Arial" w:cs="Arial"/>
                <w:kern w:val="2"/>
                <w:position w:val="0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D5C1D" w:rsidRPr="00C13AA6" w:rsidRDefault="008D5C1D" w:rsidP="008D5C1D">
            <w:pPr>
              <w:keepNext/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1"/>
              <w:rPr>
                <w:rFonts w:ascii="Arial" w:eastAsia="MS Mincho" w:hAnsi="Arial" w:cs="Arial"/>
                <w:bCs/>
                <w:position w:val="0"/>
                <w:sz w:val="20"/>
                <w:szCs w:val="20"/>
                <w:lang w:val="en-GB"/>
              </w:rPr>
            </w:pPr>
          </w:p>
        </w:tc>
      </w:tr>
      <w:tr w:rsidR="008D5C1D" w:rsidRPr="00C13AA6" w:rsidTr="008D5C1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</w:pPr>
            <w:r w:rsidRPr="00C13AA6">
              <w:rPr>
                <w:rFonts w:ascii="Arial" w:eastAsia="Arial Unicode MS" w:hAnsi="Arial" w:cs="Arial"/>
                <w:b/>
                <w:position w:val="0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</w:pPr>
            <w:r w:rsidRPr="00C13AA6">
              <w:rPr>
                <w:rFonts w:ascii="Arial" w:eastAsia="Arial Unicode MS" w:hAnsi="Arial" w:cs="Arial"/>
                <w:i/>
                <w:iCs/>
                <w:position w:val="0"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  <w:p w:rsidR="008D5C1D" w:rsidRPr="00C13AA6" w:rsidRDefault="008D5C1D" w:rsidP="008D5C1D">
            <w:pPr>
              <w:suppressAutoHyphens w:val="0"/>
              <w:spacing w:line="276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eastAsia="Arial Unicode MS" w:hAnsi="Arial" w:cs="Arial"/>
                <w:position w:val="0"/>
                <w:sz w:val="20"/>
                <w:szCs w:val="20"/>
                <w:lang w:val="en-GB"/>
              </w:rPr>
            </w:pPr>
          </w:p>
        </w:tc>
      </w:tr>
      <w:bookmarkEnd w:id="3"/>
    </w:tbl>
    <w:p w:rsidR="008D5C1D" w:rsidRPr="00C13AA6" w:rsidRDefault="008D5C1D" w:rsidP="008D5C1D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:rsidR="008D5C1D" w:rsidRPr="00C13AA6" w:rsidRDefault="008D5C1D" w:rsidP="008D5C1D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:rsidR="008D5C1D" w:rsidRPr="00C13AA6" w:rsidRDefault="008D5C1D" w:rsidP="008D5C1D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Arial" w:hAnsi="Arial" w:cs="Arial"/>
          <w:bCs/>
          <w:position w:val="0"/>
          <w:sz w:val="20"/>
          <w:szCs w:val="20"/>
          <w:u w:val="single"/>
          <w:lang w:val="en-GB"/>
        </w:rPr>
      </w:pPr>
    </w:p>
    <w:bookmarkEnd w:id="4"/>
    <w:p w:rsidR="008D5C1D" w:rsidRPr="00C13AA6" w:rsidRDefault="008D5C1D" w:rsidP="008D5C1D">
      <w:pPr>
        <w:suppressAutoHyphens w:val="0"/>
        <w:spacing w:line="240" w:lineRule="auto"/>
        <w:ind w:leftChars="0" w:left="0" w:firstLineChars="0" w:hanging="2"/>
        <w:textDirection w:val="lrTb"/>
        <w:textAlignment w:val="auto"/>
        <w:outlineLvl w:val="9"/>
        <w:rPr>
          <w:rFonts w:ascii="Arial" w:hAnsi="Arial" w:cs="Arial"/>
          <w:position w:val="0"/>
          <w:sz w:val="20"/>
          <w:szCs w:val="20"/>
        </w:rPr>
      </w:pPr>
    </w:p>
    <w:p w:rsidR="00534272" w:rsidRPr="00C13AA6" w:rsidRDefault="00534272">
      <w:pPr>
        <w:ind w:left="0" w:hanging="2"/>
        <w:jc w:val="both"/>
        <w:rPr>
          <w:rFonts w:ascii="Arial" w:hAnsi="Arial" w:cs="Arial"/>
          <w:sz w:val="20"/>
          <w:szCs w:val="20"/>
          <w:u w:val="single"/>
        </w:rPr>
      </w:pPr>
    </w:p>
    <w:sectPr w:rsidR="00534272" w:rsidRPr="00C13AA6" w:rsidSect="00216BDA">
      <w:headerReference w:type="default" r:id="rId7"/>
      <w:pgSz w:w="15840" w:h="122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1A0" w:rsidRDefault="006D61A0">
      <w:pPr>
        <w:spacing w:line="240" w:lineRule="auto"/>
        <w:ind w:left="0" w:hanging="2"/>
      </w:pPr>
      <w:r>
        <w:separator/>
      </w:r>
    </w:p>
  </w:endnote>
  <w:endnote w:type="continuationSeparator" w:id="0">
    <w:p w:rsidR="006D61A0" w:rsidRDefault="006D61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1A0" w:rsidRDefault="006D61A0">
      <w:pPr>
        <w:spacing w:line="240" w:lineRule="auto"/>
        <w:ind w:left="0" w:hanging="2"/>
      </w:pPr>
      <w:r>
        <w:separator/>
      </w:r>
    </w:p>
  </w:footnote>
  <w:footnote w:type="continuationSeparator" w:id="0">
    <w:p w:rsidR="006D61A0" w:rsidRDefault="006D61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272" w:rsidRDefault="00534272">
    <w:pPr>
      <w:spacing w:before="100"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534272" w:rsidRDefault="00534272">
    <w:pPr>
      <w:spacing w:after="100"/>
      <w:ind w:left="0" w:hanging="2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272"/>
    <w:rsid w:val="00216BDA"/>
    <w:rsid w:val="003C2EA4"/>
    <w:rsid w:val="00404CA9"/>
    <w:rsid w:val="00534272"/>
    <w:rsid w:val="0062594A"/>
    <w:rsid w:val="006D61A0"/>
    <w:rsid w:val="008868D7"/>
    <w:rsid w:val="008D5C1D"/>
    <w:rsid w:val="0093214A"/>
    <w:rsid w:val="00C13AA6"/>
    <w:rsid w:val="00DA4403"/>
    <w:rsid w:val="00F0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04CCB"/>
  <w15:docId w15:val="{A9C0AC7F-1579-44F5-85AB-1E210D99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6BD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rsid w:val="00216BDA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16BD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16BD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uiPriority w:val="9"/>
    <w:semiHidden/>
    <w:unhideWhenUsed/>
    <w:qFormat/>
    <w:rsid w:val="00216BD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16B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16BD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216BD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rsid w:val="00216BD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next w:val="TableNormal1"/>
    <w:qFormat/>
    <w:rsid w:val="00216BD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rsid w:val="00216BDA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sid w:val="00216BDA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rsid w:val="00216BD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rsid w:val="00216BD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sid w:val="00216BDA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rsid w:val="00216BDA"/>
  </w:style>
  <w:style w:type="character" w:customStyle="1" w:styleId="HeaderChar">
    <w:name w:val="Header Char"/>
    <w:rsid w:val="00216B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rsid w:val="00216BDA"/>
  </w:style>
  <w:style w:type="character" w:customStyle="1" w:styleId="FooterChar">
    <w:name w:val="Footer Char"/>
    <w:rsid w:val="00216BDA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sid w:val="00216BD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rsid w:val="00216BDA"/>
    <w:pPr>
      <w:ind w:left="720"/>
      <w:contextualSpacing/>
    </w:pPr>
  </w:style>
  <w:style w:type="paragraph" w:styleId="Revision">
    <w:name w:val="Revision"/>
    <w:rsid w:val="00216BD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</w:rPr>
  </w:style>
  <w:style w:type="character" w:styleId="FollowedHyperlink">
    <w:name w:val="FollowedHyperlink"/>
    <w:qFormat/>
    <w:rsid w:val="00216BDA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Heading3Char">
    <w:name w:val="Heading 3 Char"/>
    <w:rsid w:val="00216BDA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rsid w:val="00216B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216BDA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2"/>
    <w:rsid w:val="00216BDA"/>
    <w:tblPr>
      <w:tblStyleRowBandSize w:val="1"/>
      <w:tblStyleColBandSize w:val="1"/>
    </w:tblPr>
  </w:style>
  <w:style w:type="table" w:customStyle="1" w:styleId="a1">
    <w:basedOn w:val="TableNormal2"/>
    <w:rsid w:val="00216BDA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2"/>
    <w:rsid w:val="00216BDA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2"/>
    <w:rsid w:val="00216BDA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2"/>
    <w:rsid w:val="00216BDA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2"/>
    <w:rsid w:val="00216BDA"/>
    <w:tblPr>
      <w:tblStyleRowBandSize w:val="1"/>
      <w:tblStyleColBandSize w:val="1"/>
    </w:tblPr>
  </w:style>
  <w:style w:type="table" w:customStyle="1" w:styleId="a6">
    <w:basedOn w:val="TableNormal1"/>
    <w:rsid w:val="00216BDA"/>
    <w:tblPr>
      <w:tblStyleRowBandSize w:val="1"/>
      <w:tblStyleColBandSize w:val="1"/>
    </w:tblPr>
  </w:style>
  <w:style w:type="table" w:customStyle="1" w:styleId="a7">
    <w:basedOn w:val="TableNormal1"/>
    <w:rsid w:val="00216BDA"/>
    <w:tblPr>
      <w:tblStyleRowBandSize w:val="1"/>
      <w:tblStyleColBandSize w:val="1"/>
    </w:tblPr>
  </w:style>
  <w:style w:type="table" w:customStyle="1" w:styleId="a8">
    <w:basedOn w:val="TableNormal1"/>
    <w:rsid w:val="00216BDA"/>
    <w:tblPr>
      <w:tblStyleRowBandSize w:val="1"/>
      <w:tblStyleColBandSize w:val="1"/>
    </w:tblPr>
  </w:style>
  <w:style w:type="table" w:customStyle="1" w:styleId="a9">
    <w:basedOn w:val="TableNormal1"/>
    <w:rsid w:val="00216BDA"/>
    <w:tblPr>
      <w:tblStyleRowBandSize w:val="1"/>
      <w:tblStyleColBandSize w:val="1"/>
    </w:tblPr>
  </w:style>
  <w:style w:type="table" w:customStyle="1" w:styleId="aa">
    <w:basedOn w:val="TableNormal1"/>
    <w:rsid w:val="00216BDA"/>
    <w:tblPr>
      <w:tblStyleRowBandSize w:val="1"/>
      <w:tblStyleColBandSize w:val="1"/>
    </w:tblPr>
  </w:style>
  <w:style w:type="table" w:customStyle="1" w:styleId="ab">
    <w:basedOn w:val="TableNormal1"/>
    <w:rsid w:val="00216BDA"/>
    <w:tblPr>
      <w:tblStyleRowBandSize w:val="1"/>
      <w:tblStyleColBandSize w:val="1"/>
    </w:tblPr>
  </w:style>
  <w:style w:type="table" w:customStyle="1" w:styleId="ac">
    <w:basedOn w:val="TableNormal1"/>
    <w:rsid w:val="00216BDA"/>
    <w:tblPr>
      <w:tblStyleRowBandSize w:val="1"/>
      <w:tblStyleColBandSize w:val="1"/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3AB2"/>
    <w:rPr>
      <w:color w:val="605E5C"/>
      <w:shd w:val="clear" w:color="auto" w:fill="E1DFDD"/>
    </w:rPr>
  </w:style>
  <w:style w:type="character" w:customStyle="1" w:styleId="gd">
    <w:name w:val="gd"/>
    <w:basedOn w:val="DefaultParagraphFont"/>
    <w:rsid w:val="00F03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8</cp:revision>
  <dcterms:created xsi:type="dcterms:W3CDTF">2025-08-14T10:52:00Z</dcterms:created>
  <dcterms:modified xsi:type="dcterms:W3CDTF">2025-08-16T11:47:00Z</dcterms:modified>
</cp:coreProperties>
</file>