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86ACC" w14:textId="77777777" w:rsidR="00305CA7" w:rsidRPr="00305CA7" w:rsidRDefault="00305CA7" w:rsidP="00305CA7">
      <w:pPr>
        <w:spacing w:line="480" w:lineRule="auto"/>
        <w:ind w:left="720" w:hanging="720"/>
        <w:rPr>
          <w:rFonts w:ascii="Times New Roman" w:hAnsi="Times New Roman" w:cs="Times New Roman"/>
          <w:b/>
          <w:bCs/>
          <w:i/>
          <w:iCs/>
          <w:sz w:val="24"/>
          <w:szCs w:val="24"/>
          <w:u w:val="single"/>
          <w:lang w:val="en-US"/>
        </w:rPr>
      </w:pPr>
      <w:r w:rsidRPr="00305CA7">
        <w:rPr>
          <w:rFonts w:ascii="Times New Roman" w:hAnsi="Times New Roman" w:cs="Times New Roman"/>
          <w:b/>
          <w:bCs/>
          <w:i/>
          <w:iCs/>
          <w:sz w:val="24"/>
          <w:szCs w:val="24"/>
          <w:u w:val="single"/>
          <w:lang w:val="en-US"/>
        </w:rPr>
        <w:t>Review Article</w:t>
      </w:r>
    </w:p>
    <w:p w14:paraId="61A66D1B" w14:textId="0BCFF36F" w:rsidR="006E3346" w:rsidRPr="00417392" w:rsidRDefault="000A32AC" w:rsidP="000A32AC">
      <w:pPr>
        <w:spacing w:line="480" w:lineRule="auto"/>
        <w:ind w:left="720" w:hanging="720"/>
        <w:jc w:val="center"/>
        <w:rPr>
          <w:rFonts w:ascii="Times New Roman" w:hAnsi="Times New Roman" w:cs="Times New Roman"/>
          <w:b/>
          <w:bCs/>
          <w:color w:val="EE0000"/>
          <w:sz w:val="32"/>
          <w:szCs w:val="32"/>
        </w:rPr>
      </w:pPr>
      <w:r w:rsidRPr="0030551D">
        <w:rPr>
          <w:rFonts w:ascii="Times New Roman" w:eastAsia="MS Mincho" w:hAnsi="Times New Roman" w:cs="Times New Roman"/>
          <w:b/>
          <w:bCs/>
          <w:i/>
          <w:iCs/>
          <w:color w:val="EE0000"/>
          <w:sz w:val="24"/>
          <w:szCs w:val="24"/>
        </w:rPr>
        <w:t>Blastocystis hominis</w:t>
      </w:r>
      <w:r w:rsidRPr="0030551D">
        <w:rPr>
          <w:rFonts w:ascii="Times New Roman" w:eastAsia="MS Mincho" w:hAnsi="Times New Roman" w:cs="Times New Roman"/>
          <w:b/>
          <w:bCs/>
          <w:color w:val="EE0000"/>
          <w:sz w:val="24"/>
          <w:szCs w:val="24"/>
        </w:rPr>
        <w:t xml:space="preserve"> in the Philippines: Emerging Public Health and Diagnostic Challenges</w:t>
      </w:r>
    </w:p>
    <w:p w14:paraId="523B8B40" w14:textId="0E9ABF38" w:rsidR="00C642D2" w:rsidRPr="003D32FA" w:rsidRDefault="00C642D2" w:rsidP="003D32FA">
      <w:pPr>
        <w:spacing w:line="480" w:lineRule="auto"/>
        <w:rPr>
          <w:rFonts w:ascii="Times New Roman" w:hAnsi="Times New Roman" w:cs="Times New Roman"/>
          <w:b/>
          <w:bCs/>
          <w:sz w:val="24"/>
          <w:szCs w:val="24"/>
        </w:rPr>
      </w:pPr>
      <w:r w:rsidRPr="003D32FA">
        <w:rPr>
          <w:rFonts w:ascii="Times New Roman" w:hAnsi="Times New Roman" w:cs="Times New Roman"/>
          <w:b/>
          <w:bCs/>
          <w:sz w:val="24"/>
          <w:szCs w:val="24"/>
        </w:rPr>
        <w:t>ABSTRACT</w:t>
      </w:r>
    </w:p>
    <w:p w14:paraId="2722CD3D" w14:textId="5DB1B49F" w:rsidR="00D1132E" w:rsidRPr="003D32FA" w:rsidRDefault="00013D8C" w:rsidP="003D32FA">
      <w:pPr>
        <w:spacing w:line="480" w:lineRule="auto"/>
        <w:jc w:val="both"/>
        <w:rPr>
          <w:rFonts w:ascii="Times New Roman" w:hAnsi="Times New Roman" w:cs="Times New Roman"/>
          <w:sz w:val="24"/>
          <w:szCs w:val="24"/>
        </w:rPr>
      </w:pPr>
      <w:r w:rsidRPr="003D32FA">
        <w:rPr>
          <w:rFonts w:ascii="Times New Roman" w:hAnsi="Times New Roman" w:cs="Times New Roman"/>
          <w:i/>
          <w:iCs/>
          <w:sz w:val="24"/>
          <w:szCs w:val="24"/>
        </w:rPr>
        <w:t>Blastocystis hominis</w:t>
      </w:r>
      <w:r w:rsidRPr="003D32FA">
        <w:rPr>
          <w:rFonts w:ascii="Times New Roman" w:hAnsi="Times New Roman" w:cs="Times New Roman"/>
          <w:sz w:val="24"/>
          <w:szCs w:val="24"/>
        </w:rPr>
        <w:t xml:space="preserve"> is an anaerobic, single-celled protist classified under the class Blastocystea. It is globally recognized as a significant intestinal protozoan associated with gastrointestinal disturbances and is considered the most commonly detected non-fungal microeukaryote in human fecal specimens. Clinical presentations among infected individuals are frequently asymptomatic or mild; however, symptomatic cases may involve diarrhea, abdominal discomfort, bloating, and altered bowel habits. In the Philippine setting,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continues to be a noteworthy public health issue, particularly in communities lacking adequate sanitation and hygiene. Reported infection rates vary widely, with higher prevalence noted among immunocompromised populations such as the elderly in urban settings and even more so in rural areas. Specific subpopulations, including inmates and food service workers, have also shown measurable infection rates. </w:t>
      </w:r>
      <w:r w:rsidR="000A32AC" w:rsidRPr="000A32AC">
        <w:rPr>
          <w:rFonts w:ascii="Times New Roman" w:hAnsi="Times New Roman" w:cs="Times New Roman"/>
          <w:color w:val="EE0000"/>
          <w:sz w:val="24"/>
          <w:szCs w:val="24"/>
          <w:lang w:val="en-GB"/>
        </w:rPr>
        <w:t>Subtype ST3 is the most prevalent, in line with global findings, and may have pathogenic potential.</w:t>
      </w:r>
      <w:r w:rsidRPr="000A32AC">
        <w:rPr>
          <w:rFonts w:ascii="Times New Roman" w:hAnsi="Times New Roman" w:cs="Times New Roman"/>
          <w:color w:val="EE0000"/>
          <w:sz w:val="32"/>
          <w:szCs w:val="32"/>
        </w:rPr>
        <w:t xml:space="preserve"> </w:t>
      </w:r>
      <w:r w:rsidRPr="003D32FA">
        <w:rPr>
          <w:rFonts w:ascii="Times New Roman" w:hAnsi="Times New Roman" w:cs="Times New Roman"/>
          <w:sz w:val="24"/>
          <w:szCs w:val="24"/>
        </w:rPr>
        <w:t xml:space="preserve">Zoonotic transmission is supported by its detection in a range of animals, including poultry, swine, non-human primates, insects, and domestic dogs, with pigs exhibiting the highest carriage rates. Although molecular methods like PCR have improved detection accuracy, microscopy remains the most commonly used diagnostic tool in Philippine laboratories, largely due to economic and logistical limitations. </w:t>
      </w:r>
      <w:r w:rsidR="000A32AC" w:rsidRPr="000A32AC">
        <w:rPr>
          <w:rFonts w:ascii="Times New Roman" w:hAnsi="Times New Roman" w:cs="Times New Roman"/>
          <w:color w:val="EE0000"/>
          <w:sz w:val="24"/>
          <w:szCs w:val="24"/>
        </w:rPr>
        <w:t xml:space="preserve">However, microscopy has markedly lower sensitivity compared to PCR, potentially contributing to underdiagnosis and underreporting. </w:t>
      </w:r>
      <w:r w:rsidRPr="003D32FA">
        <w:rPr>
          <w:rFonts w:ascii="Times New Roman" w:hAnsi="Times New Roman" w:cs="Times New Roman"/>
          <w:sz w:val="24"/>
          <w:szCs w:val="24"/>
        </w:rPr>
        <w:t xml:space="preserve">Addressing these diagnostic constraints alongside implementing targeted public health strategies is essential. Given the limited scope of local studies on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from 2011 to the present, this </w:t>
      </w:r>
      <w:r w:rsidRPr="003D32FA">
        <w:rPr>
          <w:rFonts w:ascii="Times New Roman" w:hAnsi="Times New Roman" w:cs="Times New Roman"/>
          <w:sz w:val="24"/>
          <w:szCs w:val="24"/>
        </w:rPr>
        <w:lastRenderedPageBreak/>
        <w:t>review underscores critical research gaps and emphasizes the need for comprehensive national surveillance and intervention programs to mitigate the parasite’s impact.</w:t>
      </w:r>
    </w:p>
    <w:p w14:paraId="65466480" w14:textId="4E3EC0D0" w:rsidR="00F337F4" w:rsidRPr="00F058FF" w:rsidRDefault="009A6246" w:rsidP="003D32FA">
      <w:pPr>
        <w:spacing w:line="480" w:lineRule="auto"/>
        <w:rPr>
          <w:rFonts w:ascii="Times New Roman" w:hAnsi="Times New Roman" w:cs="Times New Roman"/>
          <w:sz w:val="24"/>
          <w:szCs w:val="24"/>
        </w:rPr>
      </w:pPr>
      <w:r w:rsidRPr="003D32FA">
        <w:rPr>
          <w:rFonts w:ascii="Times New Roman" w:hAnsi="Times New Roman" w:cs="Times New Roman"/>
          <w:b/>
          <w:bCs/>
          <w:sz w:val="24"/>
          <w:szCs w:val="24"/>
        </w:rPr>
        <w:t>Keywords:</w:t>
      </w:r>
      <w:r w:rsidRPr="003D32FA">
        <w:rPr>
          <w:rFonts w:ascii="Times New Roman" w:hAnsi="Times New Roman" w:cs="Times New Roman"/>
          <w:sz w:val="24"/>
          <w:szCs w:val="24"/>
        </w:rPr>
        <w:t xml:space="preserve"> </w:t>
      </w:r>
      <w:r w:rsidR="00394C15" w:rsidRPr="003D32FA">
        <w:rPr>
          <w:rFonts w:ascii="Times New Roman" w:hAnsi="Times New Roman" w:cs="Times New Roman"/>
          <w:i/>
          <w:iCs/>
          <w:sz w:val="24"/>
          <w:szCs w:val="24"/>
        </w:rPr>
        <w:t>Blastocystis hominis;</w:t>
      </w:r>
      <w:r w:rsidR="00F03893" w:rsidRPr="003D32FA">
        <w:rPr>
          <w:rFonts w:ascii="Times New Roman" w:hAnsi="Times New Roman" w:cs="Times New Roman"/>
          <w:i/>
          <w:iCs/>
          <w:sz w:val="24"/>
          <w:szCs w:val="24"/>
        </w:rPr>
        <w:t xml:space="preserve"> </w:t>
      </w:r>
      <w:r w:rsidR="00F03893" w:rsidRPr="00F058FF">
        <w:rPr>
          <w:rFonts w:ascii="Times New Roman" w:hAnsi="Times New Roman" w:cs="Times New Roman"/>
          <w:sz w:val="24"/>
          <w:szCs w:val="24"/>
        </w:rPr>
        <w:t>subtypes;</w:t>
      </w:r>
      <w:r w:rsidR="00394C15" w:rsidRPr="00F058FF">
        <w:rPr>
          <w:rFonts w:ascii="Times New Roman" w:hAnsi="Times New Roman" w:cs="Times New Roman"/>
          <w:sz w:val="24"/>
          <w:szCs w:val="24"/>
        </w:rPr>
        <w:t xml:space="preserve"> prevalence; epidemiology; Philippin</w:t>
      </w:r>
      <w:r w:rsidR="00F337F4" w:rsidRPr="00F058FF">
        <w:rPr>
          <w:rFonts w:ascii="Times New Roman" w:hAnsi="Times New Roman" w:cs="Times New Roman"/>
          <w:sz w:val="24"/>
          <w:szCs w:val="24"/>
        </w:rPr>
        <w:t>es</w:t>
      </w:r>
    </w:p>
    <w:p w14:paraId="45A852D0" w14:textId="77777777" w:rsidR="00D1132E" w:rsidRPr="003D32FA" w:rsidRDefault="00D1132E" w:rsidP="003D32FA">
      <w:pPr>
        <w:spacing w:line="480" w:lineRule="auto"/>
        <w:rPr>
          <w:rFonts w:ascii="Times New Roman" w:hAnsi="Times New Roman" w:cs="Times New Roman"/>
          <w:i/>
          <w:iCs/>
          <w:sz w:val="24"/>
          <w:szCs w:val="24"/>
        </w:rPr>
      </w:pPr>
    </w:p>
    <w:p w14:paraId="195EB548" w14:textId="755177B4" w:rsidR="00377294" w:rsidRPr="003D32FA" w:rsidRDefault="00F058FF" w:rsidP="003D32FA">
      <w:pPr>
        <w:spacing w:line="480" w:lineRule="auto"/>
        <w:rPr>
          <w:rFonts w:ascii="Times New Roman" w:hAnsi="Times New Roman" w:cs="Times New Roman"/>
          <w:b/>
          <w:bCs/>
          <w:sz w:val="24"/>
          <w:szCs w:val="24"/>
        </w:rPr>
      </w:pPr>
      <w:r>
        <w:rPr>
          <w:rFonts w:ascii="Times New Roman" w:hAnsi="Times New Roman" w:cs="Times New Roman"/>
          <w:b/>
          <w:bCs/>
          <w:sz w:val="24"/>
          <w:szCs w:val="24"/>
        </w:rPr>
        <w:t>I</w:t>
      </w:r>
      <w:r w:rsidR="00085A42" w:rsidRPr="003D32FA">
        <w:rPr>
          <w:rFonts w:ascii="Times New Roman" w:hAnsi="Times New Roman" w:cs="Times New Roman"/>
          <w:b/>
          <w:bCs/>
          <w:sz w:val="24"/>
          <w:szCs w:val="24"/>
        </w:rPr>
        <w:t>.</w:t>
      </w:r>
      <w:r w:rsidR="009234E4" w:rsidRPr="003D32FA">
        <w:rPr>
          <w:rFonts w:ascii="Times New Roman" w:hAnsi="Times New Roman" w:cs="Times New Roman"/>
          <w:b/>
          <w:bCs/>
          <w:sz w:val="24"/>
          <w:szCs w:val="24"/>
        </w:rPr>
        <w:t xml:space="preserve"> </w:t>
      </w:r>
      <w:r w:rsidR="00377294" w:rsidRPr="003D32FA">
        <w:rPr>
          <w:rFonts w:ascii="Times New Roman" w:hAnsi="Times New Roman" w:cs="Times New Roman"/>
          <w:b/>
          <w:bCs/>
          <w:sz w:val="24"/>
          <w:szCs w:val="24"/>
        </w:rPr>
        <w:t xml:space="preserve"> INTRODUCTION</w:t>
      </w:r>
    </w:p>
    <w:p w14:paraId="6D2571C6" w14:textId="77777777" w:rsidR="009B1500" w:rsidRPr="003D32FA" w:rsidRDefault="009B1500"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i/>
          <w:iCs/>
          <w:sz w:val="24"/>
          <w:szCs w:val="24"/>
        </w:rPr>
        <w:t>Blastocystis hominis</w:t>
      </w:r>
      <w:r w:rsidRPr="003D32FA">
        <w:rPr>
          <w:rFonts w:ascii="Times New Roman" w:hAnsi="Times New Roman" w:cs="Times New Roman"/>
          <w:sz w:val="24"/>
          <w:szCs w:val="24"/>
        </w:rPr>
        <w:t xml:space="preserve"> is a unicellular, anaerobic protist parasite classified under the protozoan class </w:t>
      </w:r>
      <w:r w:rsidRPr="003D32FA">
        <w:rPr>
          <w:rFonts w:ascii="Times New Roman" w:hAnsi="Times New Roman" w:cs="Times New Roman"/>
          <w:i/>
          <w:iCs/>
          <w:sz w:val="24"/>
          <w:szCs w:val="24"/>
        </w:rPr>
        <w:t>Blastocystea</w:t>
      </w:r>
      <w:r w:rsidRPr="003D32FA">
        <w:rPr>
          <w:rFonts w:ascii="Times New Roman" w:hAnsi="Times New Roman" w:cs="Times New Roman"/>
          <w:sz w:val="24"/>
          <w:szCs w:val="24"/>
        </w:rPr>
        <w:t xml:space="preserve"> (Amoak &amp; Soldera, 2024). Despite its protozoan classification, molecular studies based on SSU rRNA and elongation factor-1α genes position it within the phylum </w:t>
      </w:r>
      <w:r w:rsidRPr="003D32FA">
        <w:rPr>
          <w:rFonts w:ascii="Times New Roman" w:hAnsi="Times New Roman" w:cs="Times New Roman"/>
          <w:i/>
          <w:iCs/>
          <w:sz w:val="24"/>
          <w:szCs w:val="24"/>
        </w:rPr>
        <w:t>Heterocontophyta</w:t>
      </w:r>
      <w:r w:rsidRPr="003D32FA">
        <w:rPr>
          <w:rFonts w:ascii="Times New Roman" w:hAnsi="Times New Roman" w:cs="Times New Roman"/>
          <w:sz w:val="24"/>
          <w:szCs w:val="24"/>
        </w:rPr>
        <w:t xml:space="preserve"> (stramenopiles), a diverse group of eukaryotes, although it lacks the typical flagellar structures found in many of its relatives (Sekar &amp; Shanthi, 2015). This organism primarily inhabits the large intestine of humans and various animals, demonstrating a broad host range that includes birds, pigs, rodents, reptiles, amphibians, fish, and invertebrates like cockroaches (Tasić et al., 2017).</w:t>
      </w:r>
    </w:p>
    <w:p w14:paraId="508AB6CF" w14:textId="77777777" w:rsidR="009B1500" w:rsidRPr="003D32FA" w:rsidRDefault="009B1500"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Globally,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is recognized as the most frequently detected non-fungal microeukaryote in human fecal samples, with a prevalence significantly exceeding that of other protozoan parasites such as </w:t>
      </w:r>
      <w:r w:rsidRPr="003D32FA">
        <w:rPr>
          <w:rFonts w:ascii="Times New Roman" w:hAnsi="Times New Roman" w:cs="Times New Roman"/>
          <w:i/>
          <w:iCs/>
          <w:sz w:val="24"/>
          <w:szCs w:val="24"/>
        </w:rPr>
        <w:t>Entamoeba histolytica</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 xml:space="preserve">Giardia </w:t>
      </w:r>
      <w:r w:rsidRPr="003D32FA">
        <w:rPr>
          <w:rFonts w:ascii="Times New Roman" w:hAnsi="Times New Roman" w:cs="Times New Roman"/>
          <w:sz w:val="24"/>
          <w:szCs w:val="24"/>
        </w:rPr>
        <w:t>spp</w:t>
      </w:r>
      <w:r w:rsidRPr="003D32FA">
        <w:rPr>
          <w:rFonts w:ascii="Times New Roman" w:hAnsi="Times New Roman" w:cs="Times New Roman"/>
          <w:i/>
          <w:iCs/>
          <w:sz w:val="24"/>
          <w:szCs w:val="24"/>
        </w:rPr>
        <w:t>.</w:t>
      </w:r>
      <w:r w:rsidRPr="003D32FA">
        <w:rPr>
          <w:rFonts w:ascii="Times New Roman" w:hAnsi="Times New Roman" w:cs="Times New Roman"/>
          <w:sz w:val="24"/>
          <w:szCs w:val="24"/>
        </w:rPr>
        <w:t xml:space="preserve">, and </w:t>
      </w:r>
      <w:r w:rsidRPr="003D32FA">
        <w:rPr>
          <w:rFonts w:ascii="Times New Roman" w:hAnsi="Times New Roman" w:cs="Times New Roman"/>
          <w:i/>
          <w:iCs/>
          <w:sz w:val="24"/>
          <w:szCs w:val="24"/>
        </w:rPr>
        <w:t xml:space="preserve">Cryptosporidium </w:t>
      </w:r>
      <w:r w:rsidRPr="003D32FA">
        <w:rPr>
          <w:rFonts w:ascii="Times New Roman" w:hAnsi="Times New Roman" w:cs="Times New Roman"/>
          <w:sz w:val="24"/>
          <w:szCs w:val="24"/>
        </w:rPr>
        <w:t>spp</w:t>
      </w:r>
      <w:r w:rsidRPr="003D32FA">
        <w:rPr>
          <w:rFonts w:ascii="Times New Roman" w:hAnsi="Times New Roman" w:cs="Times New Roman"/>
          <w:i/>
          <w:iCs/>
          <w:sz w:val="24"/>
          <w:szCs w:val="24"/>
        </w:rPr>
        <w:t>.</w:t>
      </w:r>
      <w:r w:rsidRPr="003D32FA">
        <w:rPr>
          <w:rFonts w:ascii="Times New Roman" w:hAnsi="Times New Roman" w:cs="Times New Roman"/>
          <w:sz w:val="24"/>
          <w:szCs w:val="24"/>
        </w:rPr>
        <w:t xml:space="preserve"> (Adao et al., 2016). It is widespread in both industrialized and developing nations, although the prevalence varies significantly—ranging from 0.5% to 35% in developed countries and as high as 55% to 100% in resource-limited settings (Pérez et al., 2020). Recent estimates suggest that more than one billion people may be infected worldwide (Wahid et al., 2023).</w:t>
      </w:r>
    </w:p>
    <w:p w14:paraId="74940308" w14:textId="77777777" w:rsidR="009B1500" w:rsidRPr="003D32FA" w:rsidRDefault="009B1500"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Morphologically,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exhibits several forms, with four distinct types frequently observed: vacuolar, granular, ameboid, and cystic stages (Barua et al., 2015). The vacuolar form </w:t>
      </w:r>
      <w:r w:rsidRPr="003D32FA">
        <w:rPr>
          <w:rFonts w:ascii="Times New Roman" w:hAnsi="Times New Roman" w:cs="Times New Roman"/>
          <w:sz w:val="24"/>
          <w:szCs w:val="24"/>
        </w:rPr>
        <w:lastRenderedPageBreak/>
        <w:t>predominates in clinical samples, whereas the cyst form is considered responsible for transmission (Amoak &amp; Soldera, 2024). Molecular subtyping has identified at least 38 subtypes (STs), along with eight additional non-mammalian and avian subtypes (NMASTs). Human infections are typically associated with ST1 through ST9, with over 90% of cases attributed to ST1 to ST4, particularly ST3, which is the most frequently reported globally (Cian et al., 2017; Adao &amp; Rivera, 2024; Rudzińska &amp; Sikorska, 2023).</w:t>
      </w:r>
    </w:p>
    <w:p w14:paraId="6D452FF5" w14:textId="77777777" w:rsidR="009B1500" w:rsidRPr="003D32FA" w:rsidRDefault="009B1500"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The pathogenic potential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has been the subject of ongoing debate. While often detected in asymptomatic individuals, accumulating evidence supports its association with gastrointestinal symptoms, especially in immunocompromised hosts (Matovelle et al., 2022). Reported symptoms include abdominal discomfort, flatulence, diarrhea, constipation, and in some cases, extraintestinal manifestations such as urticaria, fatigue, anorexia, hypersalivation, and perianal itching (Amoak &amp; Soldera, 2024). Additionally, the organism has been linked to irritable bowel syndrome (IBS) and persistent diarrhea in certain populations.</w:t>
      </w:r>
    </w:p>
    <w:p w14:paraId="124DB322" w14:textId="77777777" w:rsidR="009B1500" w:rsidRPr="003D32FA" w:rsidRDefault="009B1500"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Transmission occurs primarily through the ingestion of cysts via contaminated water or food. Risk factors for infection include poor hygiene, inadequate sanitation, consumption of untreated water, and close contact with infected individuals or animals—conditions that are prevalent in densely populated or underserved communities (Belleza et al., 2015). These environmental and socio-economic conditions are key drivers of infection, especially in tropical regions.</w:t>
      </w:r>
    </w:p>
    <w:p w14:paraId="49DDCCD5" w14:textId="77777777" w:rsidR="009B1500" w:rsidRPr="003D32FA" w:rsidRDefault="009B1500"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Diagnostic methods for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range from basic to highly specialized. Direct light microscopy, particularly using saline or iodine wet mounts, remains the most accessible method in many clinical laboratories, despite its limited sensitivity (Elsayad et al., 2019). Trichrome staining improves visibility, while xenic in vitro culture (XIVC), typically using Jone’s medium, offers </w:t>
      </w:r>
      <w:r w:rsidRPr="003D32FA">
        <w:rPr>
          <w:rFonts w:ascii="Times New Roman" w:hAnsi="Times New Roman" w:cs="Times New Roman"/>
          <w:sz w:val="24"/>
          <w:szCs w:val="24"/>
        </w:rPr>
        <w:lastRenderedPageBreak/>
        <w:t>enhanced sensitivity over direct microscopy. Serological approaches such as ELISA and IFA can detect specific IgA and IgG responses to infection (Tasić et al., 2017). For epidemiological and subtyping studies, nucleic acid amplification methods like PCR and RT-PCR are the gold standard (Adao &amp; Rivera, 2018). Advanced imaging techniques such as transmission electron microscopy (TEM) and scanning electron microscopy (SEM) provide detailed structural data, but their application is mainly limited to research due to cost and resource constraints (Elsayad et al., 2019).</w:t>
      </w:r>
    </w:p>
    <w:p w14:paraId="5D07EB08" w14:textId="77777777" w:rsidR="009B1500" w:rsidRPr="003D32FA" w:rsidRDefault="009B1500"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The global burden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infection varies greatly between regions. In tropical developing countries, prevalence may reach up to 100% in certain populations, compared to 0.5–23.1% in industrialized settings (Gong et al., 2019). This disparity reflects differences in water quality, public health infrastructure, population density, and sanitation practices. In Southeast Asia, the prevalence is notably high: 49.1% in the Philippines, 34.25% in Indonesia, 22.31% in Thailand, and 19.25% in Malaysia (Nemati et al., 2021). In parts of Africa, rates have exceeded 80%, with specific communities in Senegal reporting up to 100% prevalence (Rudzińska &amp; Sikorska, 2023). These findings underscore the significant role of environmental and infrastructural determinants in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transmission and persistence.</w:t>
      </w:r>
    </w:p>
    <w:p w14:paraId="13D08214" w14:textId="77777777" w:rsidR="009B1500" w:rsidRPr="003D32FA" w:rsidRDefault="009B1500"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In the Philippines,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continues to be a critical public health concern. Limited but notable studies have reported exceptionally high prevalence rates. Adao et al. (2016) documented an 82.9% infection rate among asymptomatic residents in Pateros, Metro Manila. Among children in urban communities, prevalence reached 40.7%, while 36.8% of patients at the Philippine General Hospital tested positive. These figures rank among the highest globally and suggest widespread, underrecognized transmission (Adao et al., 2016). Given the Philippines' tropical climate, sanitation challenges, and socio-demographic diversity, it presents a valuable setting for studying the ecology, subtypes, and transmission dynamics of the parasite (Belleza et al., 2015).</w:t>
      </w:r>
    </w:p>
    <w:p w14:paraId="411AE985" w14:textId="77777777" w:rsidR="009B1500" w:rsidRPr="003D32FA" w:rsidRDefault="009B1500"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lastRenderedPageBreak/>
        <w:t xml:space="preserve">This review aims to synthesize available literature from 2011 to the present to assess the current understanding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infection in the Philippines. By consolidating data on its epidemiological trends, subtypes, clinical relevance, diagnostic practices, and associated risk factors, this work seeks to address existing knowledge gaps and inform future research priorities. Furthermore, the findings may contribute to regional and global efforts to improve detection, surveillance, and control of this understudied yet widespread intestinal parasite.</w:t>
      </w:r>
    </w:p>
    <w:p w14:paraId="3886A6DA" w14:textId="46E66F61" w:rsidR="008455E7" w:rsidRPr="003D32FA" w:rsidRDefault="00F058FF" w:rsidP="003D32F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II</w:t>
      </w:r>
      <w:r w:rsidR="008455E7" w:rsidRPr="003D32FA">
        <w:rPr>
          <w:rFonts w:ascii="Times New Roman" w:hAnsi="Times New Roman" w:cs="Times New Roman"/>
          <w:b/>
          <w:bCs/>
          <w:sz w:val="24"/>
          <w:szCs w:val="24"/>
        </w:rPr>
        <w:t xml:space="preserve">. </w:t>
      </w:r>
      <w:r w:rsidR="009B1500" w:rsidRPr="003D32FA">
        <w:rPr>
          <w:rFonts w:ascii="Times New Roman" w:hAnsi="Times New Roman" w:cs="Times New Roman"/>
          <w:b/>
          <w:bCs/>
          <w:sz w:val="24"/>
          <w:szCs w:val="24"/>
        </w:rPr>
        <w:t xml:space="preserve">Biology and Transmission of </w:t>
      </w:r>
      <w:r w:rsidR="009B1500" w:rsidRPr="003D32FA">
        <w:rPr>
          <w:rFonts w:ascii="Times New Roman" w:hAnsi="Times New Roman" w:cs="Times New Roman"/>
          <w:b/>
          <w:bCs/>
          <w:i/>
          <w:iCs/>
          <w:sz w:val="24"/>
          <w:szCs w:val="24"/>
        </w:rPr>
        <w:t>Blastocystis hominis</w:t>
      </w:r>
    </w:p>
    <w:p w14:paraId="20BBC0AE" w14:textId="0049604F" w:rsidR="008455E7" w:rsidRPr="003D32FA" w:rsidRDefault="008455E7"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is an obligate anaerobic protozoan found in the intestinal tract of a wide variety of hosts such as insects, reptiles, birds and mammals, and it is one of the most common eukaryotic organisms reported in human stool sample (Elsayad et al., 2019; Parija &amp; Jeremiah, 2013). They contain intracellular organelles resembling </w:t>
      </w:r>
      <w:r w:rsidR="009B1500" w:rsidRPr="003D32FA">
        <w:rPr>
          <w:rFonts w:ascii="Times New Roman" w:hAnsi="Times New Roman" w:cs="Times New Roman"/>
          <w:sz w:val="24"/>
          <w:szCs w:val="24"/>
        </w:rPr>
        <w:t>mitochondria;</w:t>
      </w:r>
      <w:r w:rsidRPr="003D32FA">
        <w:rPr>
          <w:rFonts w:ascii="Times New Roman" w:hAnsi="Times New Roman" w:cs="Times New Roman"/>
          <w:sz w:val="24"/>
          <w:szCs w:val="24"/>
        </w:rPr>
        <w:t xml:space="preserve"> however, they lack cytochrome enzymes. These intracellular organelles play a role in various metabolic pathways such as amino acid metabolism, iron sulfur biogenesis, and tricarboxylic acid cycle. It also synthesizes essential cellular phospholipids and stores them in the storage vacuoles (Sekar &amp; Shanthi, 2015).</w:t>
      </w:r>
    </w:p>
    <w:p w14:paraId="5DDB91A0" w14:textId="77777777" w:rsidR="008455E7" w:rsidRPr="003D32FA" w:rsidRDefault="008455E7"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exhibits multiple morphologic forms. The four major forms commonly observed are the vacuolar, granular, ameboid, and cystic forms (Barua et al., 2015; Tasić et al., 2017). Aside from this, other morphological forms have been seen such as the avacuolar and multi-vacuolar forms.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is also known to show rare morphological forms such as the medusa head form and chestnut burr cell on exposure to oxygen and in aging cultures.  Phase-contrast and bright field microscopy of wet mounts and stained smears, and electron microscopy can be used to view all of these forms (Parija &amp; Jeremiah, 2013; Sekar &amp; Shanthi, 2015). </w:t>
      </w:r>
    </w:p>
    <w:p w14:paraId="4B6E8CBA" w14:textId="77777777" w:rsidR="008455E7" w:rsidRPr="003D32FA" w:rsidRDefault="008455E7"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lastRenderedPageBreak/>
        <w:t>The most commonly found form in stool cultures and fecal samples is the vacuolar form (Do Bomfim &amp; Do Couto, 2013; Elsayad et al., 2019). It is round or spherical, containing a large central vacuole with a thin layer of peripheral cytoplasm. The nuclei and its intra-cellular components such as mitochondrion-related organelles and golgi apparatus can be located peripherally in its cytoplasm (Tasić et al., 2017). Its size varies from 3 to 120 μm with an average of 5 to 15 μm in diameter from most human isolates. Moreover, the central vacuole containing carbohydrates and lipids serve as storage organelles and takes part in apoptosis (Sekar &amp; Shanthi, 2015).</w:t>
      </w:r>
    </w:p>
    <w:p w14:paraId="6B19A119" w14:textId="77777777" w:rsidR="008455E7" w:rsidRPr="003D32FA" w:rsidRDefault="008455E7"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Granular form of </w:t>
      </w:r>
      <w:r w:rsidRPr="003D32FA">
        <w:rPr>
          <w:rFonts w:ascii="Times New Roman" w:hAnsi="Times New Roman" w:cs="Times New Roman"/>
          <w:i/>
          <w:iCs/>
          <w:sz w:val="24"/>
          <w:szCs w:val="24"/>
        </w:rPr>
        <w:t xml:space="preserve">B. hominis </w:t>
      </w:r>
      <w:r w:rsidRPr="003D32FA">
        <w:rPr>
          <w:rFonts w:ascii="Times New Roman" w:hAnsi="Times New Roman" w:cs="Times New Roman"/>
          <w:sz w:val="24"/>
          <w:szCs w:val="24"/>
        </w:rPr>
        <w:t xml:space="preserve">is similar in size and shape to the vacuolar form except that its cytoplasm and central vacuole has dense granules present (Adao &amp; Rivera, 2018). The granules may be classified as metabolic, reproductory, and lipid granules. The metabolic granules are found in the cytoplasm. The reproductory granules are found in the central body while lipid granules, which act as storage granules, are found on both the cytoplasm and central body (Parija &amp; Jeremiah, 2013). </w:t>
      </w:r>
    </w:p>
    <w:p w14:paraId="51461AA4" w14:textId="0B4C0DA4" w:rsidR="008455E7" w:rsidRPr="003D32FA" w:rsidRDefault="00C764FB" w:rsidP="003D32FA">
      <w:pPr>
        <w:spacing w:line="480" w:lineRule="auto"/>
        <w:ind w:firstLine="720"/>
        <w:jc w:val="both"/>
        <w:rPr>
          <w:rFonts w:ascii="Times New Roman" w:hAnsi="Times New Roman" w:cs="Times New Roman"/>
          <w:sz w:val="24"/>
          <w:szCs w:val="24"/>
        </w:rPr>
      </w:pPr>
      <w:r w:rsidRPr="00C764FB">
        <w:rPr>
          <w:rFonts w:ascii="Times New Roman" w:hAnsi="Times New Roman" w:cs="Times New Roman"/>
          <w:sz w:val="24"/>
          <w:szCs w:val="24"/>
        </w:rPr>
        <w:t xml:space="preserve">The vacuolar and granular forms of </w:t>
      </w:r>
      <w:r w:rsidRPr="00C764FB">
        <w:rPr>
          <w:rFonts w:ascii="Times New Roman" w:hAnsi="Times New Roman" w:cs="Times New Roman"/>
          <w:i/>
          <w:iCs/>
          <w:sz w:val="24"/>
          <w:szCs w:val="24"/>
        </w:rPr>
        <w:t>B</w:t>
      </w:r>
      <w:r>
        <w:rPr>
          <w:rFonts w:ascii="Times New Roman" w:hAnsi="Times New Roman" w:cs="Times New Roman"/>
          <w:i/>
          <w:iCs/>
          <w:sz w:val="24"/>
          <w:szCs w:val="24"/>
        </w:rPr>
        <w:t>.</w:t>
      </w:r>
      <w:r w:rsidRPr="00C764FB">
        <w:rPr>
          <w:rFonts w:ascii="Times New Roman" w:hAnsi="Times New Roman" w:cs="Times New Roman"/>
          <w:i/>
          <w:iCs/>
          <w:sz w:val="24"/>
          <w:szCs w:val="24"/>
        </w:rPr>
        <w:t xml:space="preserve"> hominis</w:t>
      </w:r>
      <w:r w:rsidRPr="00C764FB">
        <w:rPr>
          <w:rFonts w:ascii="Times New Roman" w:hAnsi="Times New Roman" w:cs="Times New Roman"/>
          <w:sz w:val="24"/>
          <w:szCs w:val="24"/>
        </w:rPr>
        <w:t xml:space="preserve"> can transform into a more irregular structure known as the amoeboid form (Adao &amp; Rivera, 2018)</w:t>
      </w:r>
      <w:r w:rsidR="008455E7" w:rsidRPr="003D32FA">
        <w:rPr>
          <w:rFonts w:ascii="Times New Roman" w:hAnsi="Times New Roman" w:cs="Times New Roman"/>
          <w:sz w:val="24"/>
          <w:szCs w:val="24"/>
        </w:rPr>
        <w:t xml:space="preserve">. This form is rarely encountered. In a study by Do Bomfim &amp; Do Couto (2013), the size of the amoeboid form ranges from 13.4 to 45.5 μm with an average of 22 μm. It has 1 or 2 pseudopodia even though this form is non-motile. The cytoplasm may contain a central vacuole or multiple smaller vacuoles (Sekar &amp; Shanthi, 2015). Recent reports suggest the pathogenic potential of the amoeboid form since it is often identified in symptomatic patients (Parija &amp; Jeremiah, 2013; Sekar &amp; Shanthi, 2015). </w:t>
      </w:r>
    </w:p>
    <w:p w14:paraId="0978E86A" w14:textId="7B7B511E" w:rsidR="008455E7" w:rsidRPr="003D32FA" w:rsidRDefault="008455E7"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The most recently described form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is the cyst form (Barua et al., 2015; Parija &amp; Jeremiah, 2013). It is round or oval, smaller, with a size of 3-6 μm from cysts isolated from </w:t>
      </w:r>
      <w:r w:rsidRPr="003D32FA">
        <w:rPr>
          <w:rFonts w:ascii="Times New Roman" w:hAnsi="Times New Roman" w:cs="Times New Roman"/>
          <w:sz w:val="24"/>
          <w:szCs w:val="24"/>
        </w:rPr>
        <w:lastRenderedPageBreak/>
        <w:t>humans (Parija &amp; Jeremiah, 2013). The characteristic feature of this form is the thick multilayered cyst wall, with or without surface coating. The cytoplasm can have 1 to 4 nuclei, and it also contains the mitochondria, glycogen deposits, and small vacuole (Barua et al., 2015). The cyst form is postulated to be the infective stage (Rozi &amp; Darlan, 2019). It exhibits environmental resistance, tolerance to low gastric pH, and resistance to standard chlorination procedures used in water treatment (Amoak &amp; Soldera, 2024).</w:t>
      </w:r>
    </w:p>
    <w:p w14:paraId="7E78CE05" w14:textId="44E3D40C" w:rsidR="008455E7" w:rsidRPr="003D32FA" w:rsidRDefault="008455E7"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The life cycle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is yet to be fully understood. However, recent studies show how it is transmitted and how its morphological form changes (Adao &amp; Rivera, 2018). Past assumptions were debunked and it has been proven that cysts are the only transmissible form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thorough the feco-oral route, based on infectivity studies conducted on mice and rats (Yoshikawa et al., 2004). The infection may occur after drinking contaminated and untreated water,</w:t>
      </w:r>
      <w:r w:rsidR="007D458D" w:rsidRPr="003D32FA">
        <w:rPr>
          <w:rFonts w:ascii="Times New Roman" w:hAnsi="Times New Roman" w:cs="Times New Roman"/>
          <w:sz w:val="24"/>
          <w:szCs w:val="24"/>
        </w:rPr>
        <w:t xml:space="preserve"> eating</w:t>
      </w:r>
      <w:r w:rsidRPr="003D32FA">
        <w:rPr>
          <w:rFonts w:ascii="Times New Roman" w:hAnsi="Times New Roman" w:cs="Times New Roman"/>
          <w:sz w:val="24"/>
          <w:szCs w:val="24"/>
        </w:rPr>
        <w:t xml:space="preserve"> food contaminated with cysts, and contact with unclean hands which serve as fomites for transmission of the cyst (Lee et al., 2012). In a suitable host, upon ingestion, the cyst further develops into a vegetative form and its life cycle will continue if the subtype is suitable with the host. Excystation takes place in the large intestine releasing the vacuolar form. The vacuolar form can then transform into the amoeboid form or the granular form and vice versa. The vacuolar form also encysts in the large intestine which are excreted in feces for further transmission, continuing the cycle (Parija &amp; Jeremiah, 2013). Figure 1 shows the life cycle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There is diversity in hosts and human to animal transmission and vice versa have been documented. Furthermore, various modes of reproduction have been claimed for this organism namely binary fission, budding, plasmotomy, multiple fission, endodyogeny and schizogony. Nonetheless, binary fission remains the most common and most established mode of reproduction (Parija &amp; Jeremiah, 2013; Sekar &amp; Shanthi, 2015). </w:t>
      </w:r>
    </w:p>
    <w:p w14:paraId="08EDE9A2" w14:textId="66BE2613" w:rsidR="00F058FF" w:rsidRPr="00F058FF" w:rsidRDefault="008455E7" w:rsidP="00F058FF">
      <w:pPr>
        <w:pStyle w:val="NoSpacing"/>
        <w:spacing w:line="480" w:lineRule="auto"/>
        <w:jc w:val="both"/>
        <w:rPr>
          <w:rFonts w:ascii="Times New Roman" w:hAnsi="Times New Roman" w:cs="Times New Roman"/>
          <w:sz w:val="24"/>
          <w:szCs w:val="24"/>
        </w:rPr>
      </w:pPr>
      <w:r w:rsidRPr="00F058FF">
        <w:rPr>
          <w:rFonts w:ascii="Times New Roman" w:hAnsi="Times New Roman" w:cs="Times New Roman"/>
          <w:sz w:val="24"/>
          <w:szCs w:val="24"/>
        </w:rPr>
        <w:lastRenderedPageBreak/>
        <w:t xml:space="preserve">Based on SSU rRNA gene sequence variations, 38 known subtypes (STs) </w:t>
      </w:r>
      <w:r w:rsidR="00417392">
        <w:rPr>
          <w:rFonts w:ascii="Times New Roman" w:hAnsi="Times New Roman" w:cs="Times New Roman"/>
          <w:sz w:val="24"/>
          <w:szCs w:val="24"/>
        </w:rPr>
        <w:t>have been</w:t>
      </w:r>
      <w:r w:rsidRPr="00F058FF">
        <w:rPr>
          <w:rFonts w:ascii="Times New Roman" w:hAnsi="Times New Roman" w:cs="Times New Roman"/>
          <w:sz w:val="24"/>
          <w:szCs w:val="24"/>
        </w:rPr>
        <w:t xml:space="preserve"> identified and are designated as ST1–ST17, ST21, ST23–ST29, ST30, ST31, ST32, and ST35–ST38 (Adao &amp; Rivera, 2024). Additionally, 8 nonmammalian and avian STs (NMASTs) </w:t>
      </w:r>
      <w:r w:rsidR="00B046E0">
        <w:rPr>
          <w:rFonts w:ascii="Times New Roman" w:hAnsi="Times New Roman" w:cs="Times New Roman"/>
          <w:sz w:val="24"/>
          <w:szCs w:val="24"/>
        </w:rPr>
        <w:t xml:space="preserve">have </w:t>
      </w:r>
      <w:r w:rsidRPr="00F058FF">
        <w:rPr>
          <w:rFonts w:ascii="Times New Roman" w:hAnsi="Times New Roman" w:cs="Times New Roman"/>
          <w:sz w:val="24"/>
          <w:szCs w:val="24"/>
        </w:rPr>
        <w:t xml:space="preserve">also </w:t>
      </w:r>
      <w:r w:rsidR="00B046E0">
        <w:rPr>
          <w:rFonts w:ascii="Times New Roman" w:hAnsi="Times New Roman" w:cs="Times New Roman"/>
          <w:sz w:val="24"/>
          <w:szCs w:val="24"/>
        </w:rPr>
        <w:t xml:space="preserve">been </w:t>
      </w:r>
      <w:r w:rsidRPr="00F058FF">
        <w:rPr>
          <w:rFonts w:ascii="Times New Roman" w:hAnsi="Times New Roman" w:cs="Times New Roman"/>
          <w:sz w:val="24"/>
          <w:szCs w:val="24"/>
        </w:rPr>
        <w:t xml:space="preserve">identified based on the phylogenic studies of Cian et al. (2017) and Yoshikawa et al. (2016). Among the mammalian and avian STs, nine of them (ST1 – ST9) have been observed in humans with approximately 90% of these human isolates belonging to ST1 to ST4, with a predominance of ST3 </w:t>
      </w:r>
      <w:r w:rsidR="00140B1E" w:rsidRPr="00F058FF">
        <w:rPr>
          <w:rFonts w:ascii="Times New Roman" w:hAnsi="Times New Roman" w:cs="Times New Roman"/>
          <w:sz w:val="24"/>
          <w:szCs w:val="24"/>
        </w:rPr>
        <w:t xml:space="preserve">at </w:t>
      </w:r>
      <w:r w:rsidRPr="00F058FF">
        <w:rPr>
          <w:rFonts w:ascii="Times New Roman" w:hAnsi="Times New Roman" w:cs="Times New Roman"/>
          <w:sz w:val="24"/>
          <w:szCs w:val="24"/>
        </w:rPr>
        <w:t>around 60% of these isolates (Cian et al., 2017). With the exception of ST9 which is only found in humans, the other 8 STs</w:t>
      </w:r>
      <w:r w:rsidR="00140B1E" w:rsidRPr="00F058FF">
        <w:rPr>
          <w:rFonts w:ascii="Times New Roman" w:hAnsi="Times New Roman" w:cs="Times New Roman"/>
          <w:sz w:val="24"/>
          <w:szCs w:val="24"/>
        </w:rPr>
        <w:t xml:space="preserve"> (ST1-ST8)</w:t>
      </w:r>
      <w:r w:rsidRPr="00F058FF">
        <w:rPr>
          <w:rFonts w:ascii="Times New Roman" w:hAnsi="Times New Roman" w:cs="Times New Roman"/>
          <w:sz w:val="24"/>
          <w:szCs w:val="24"/>
        </w:rPr>
        <w:t xml:space="preserve"> may also be found colonizing various animal groups and exhibits low to moderate host-specificity. Some studies have also shown identical sequences of </w:t>
      </w:r>
      <w:r w:rsidRPr="00F058FF">
        <w:rPr>
          <w:rFonts w:ascii="Times New Roman" w:hAnsi="Times New Roman" w:cs="Times New Roman"/>
          <w:i/>
          <w:iCs/>
          <w:sz w:val="24"/>
          <w:szCs w:val="24"/>
        </w:rPr>
        <w:t>B</w:t>
      </w:r>
      <w:r w:rsidR="0029627E">
        <w:rPr>
          <w:rFonts w:ascii="Times New Roman" w:hAnsi="Times New Roman" w:cs="Times New Roman"/>
          <w:i/>
          <w:iCs/>
          <w:sz w:val="24"/>
          <w:szCs w:val="24"/>
        </w:rPr>
        <w:t>.</w:t>
      </w:r>
      <w:r w:rsidR="00C764FB">
        <w:rPr>
          <w:rFonts w:ascii="Times New Roman" w:hAnsi="Times New Roman" w:cs="Times New Roman"/>
          <w:i/>
          <w:iCs/>
          <w:sz w:val="24"/>
          <w:szCs w:val="24"/>
        </w:rPr>
        <w:t xml:space="preserve"> hominis</w:t>
      </w:r>
      <w:r w:rsidRPr="00F058FF">
        <w:rPr>
          <w:rFonts w:ascii="Times New Roman" w:hAnsi="Times New Roman" w:cs="Times New Roman"/>
          <w:i/>
          <w:iCs/>
          <w:sz w:val="24"/>
          <w:szCs w:val="24"/>
        </w:rPr>
        <w:t xml:space="preserve"> </w:t>
      </w:r>
      <w:r w:rsidRPr="00F058FF">
        <w:rPr>
          <w:rFonts w:ascii="Times New Roman" w:hAnsi="Times New Roman" w:cs="Times New Roman"/>
          <w:sz w:val="24"/>
          <w:szCs w:val="24"/>
        </w:rPr>
        <w:t xml:space="preserve">isolated from animals and humans, supporting zoonotic transmission (Rudzińska &amp; Sikorska, 2023). In a study conducted by Adao &amp; Rivera (2024), patterns of association for the Philippine samples resembled those from neighboring Southeast Asian countries and around the world: ST1–ST4 were found in humans with ST3 being the most common, ST5 were found in pigs, and ST6 and ST7 were found in poultry. As </w:t>
      </w:r>
      <w:r w:rsidR="00C764FB">
        <w:rPr>
          <w:rFonts w:ascii="Times New Roman" w:hAnsi="Times New Roman" w:cs="Times New Roman"/>
          <w:sz w:val="24"/>
          <w:szCs w:val="24"/>
        </w:rPr>
        <w:t xml:space="preserve">documented by </w:t>
      </w:r>
      <w:r w:rsidRPr="00F058FF">
        <w:rPr>
          <w:rFonts w:ascii="Times New Roman" w:hAnsi="Times New Roman" w:cs="Times New Roman"/>
          <w:sz w:val="24"/>
          <w:szCs w:val="24"/>
        </w:rPr>
        <w:t>Adao et al. (2016), ST1 and ST3 has been associated with irritable bowel syndrome from patients in Mexico, ST2 with a patient from Europe having recurring gastrointestinal and urticarial symptoms, and ST4 has been associated with acute diarrhea from patients in Denmark. ST3 is also associated with gastrointestinal symptoms, such as diarrhea, especially in symptomatic individuals (Zulfa et al.,</w:t>
      </w:r>
      <w:r w:rsidR="00F058FF" w:rsidRPr="00F058FF">
        <w:rPr>
          <w:rFonts w:ascii="Times New Roman" w:hAnsi="Times New Roman" w:cs="Times New Roman"/>
          <w:sz w:val="24"/>
          <w:szCs w:val="24"/>
        </w:rPr>
        <w:t xml:space="preserve"> 2017). However, there is still no confirmation of direct links between disease and the presence of the parasite (Adao et al., 2016). </w:t>
      </w:r>
    </w:p>
    <w:p w14:paraId="59A4588D" w14:textId="4EB6BACA" w:rsidR="00DF5175" w:rsidRPr="00F058FF" w:rsidRDefault="00DF5175" w:rsidP="00F058FF">
      <w:pPr>
        <w:spacing w:line="480" w:lineRule="auto"/>
        <w:jc w:val="both"/>
        <w:rPr>
          <w:rFonts w:ascii="Times New Roman" w:hAnsi="Times New Roman" w:cs="Times New Roman"/>
          <w:sz w:val="24"/>
          <w:szCs w:val="24"/>
        </w:rPr>
      </w:pPr>
    </w:p>
    <w:p w14:paraId="6F3E78B4" w14:textId="0DB4ECE3" w:rsidR="00496172" w:rsidRPr="003D32FA" w:rsidRDefault="0071126A" w:rsidP="003D32FA">
      <w:pPr>
        <w:spacing w:line="480" w:lineRule="auto"/>
        <w:rPr>
          <w:rFonts w:ascii="Times New Roman" w:hAnsi="Times New Roman" w:cs="Times New Roman"/>
          <w:b/>
          <w:bCs/>
          <w:sz w:val="24"/>
          <w:szCs w:val="24"/>
        </w:rPr>
      </w:pPr>
      <w:r>
        <w:rPr>
          <w:rFonts w:ascii="Times New Roman" w:hAnsi="Times New Roman" w:cs="Times New Roman"/>
          <w:b/>
          <w:bCs/>
          <w:sz w:val="24"/>
          <w:szCs w:val="24"/>
        </w:rPr>
        <w:t>III</w:t>
      </w:r>
      <w:r w:rsidR="00496172" w:rsidRPr="003D32FA">
        <w:rPr>
          <w:rFonts w:ascii="Times New Roman" w:hAnsi="Times New Roman" w:cs="Times New Roman"/>
          <w:b/>
          <w:bCs/>
          <w:sz w:val="24"/>
          <w:szCs w:val="24"/>
        </w:rPr>
        <w:t>. PREVALENCE IN THE PHILIPPINES</w:t>
      </w:r>
    </w:p>
    <w:p w14:paraId="196086F6" w14:textId="2E156E81" w:rsidR="00F058FF" w:rsidRDefault="00496172" w:rsidP="00C764FB">
      <w:pPr>
        <w:spacing w:line="480" w:lineRule="auto"/>
        <w:ind w:firstLine="720"/>
        <w:jc w:val="both"/>
        <w:rPr>
          <w:rFonts w:ascii="Times New Roman" w:hAnsi="Times New Roman" w:cs="Times New Roman"/>
          <w:sz w:val="24"/>
          <w:szCs w:val="24"/>
        </w:rPr>
      </w:pPr>
      <w:r w:rsidRPr="003D32FA">
        <w:rPr>
          <w:rFonts w:ascii="Times New Roman" w:hAnsi="Times New Roman" w:cs="Times New Roman"/>
          <w:i/>
          <w:iCs/>
          <w:sz w:val="24"/>
          <w:szCs w:val="24"/>
        </w:rPr>
        <w:lastRenderedPageBreak/>
        <w:t>B</w:t>
      </w:r>
      <w:r w:rsidR="00C764FB">
        <w:rPr>
          <w:rFonts w:ascii="Times New Roman" w:hAnsi="Times New Roman" w:cs="Times New Roman"/>
          <w:i/>
          <w:iCs/>
          <w:sz w:val="24"/>
          <w:szCs w:val="24"/>
        </w:rPr>
        <w:t>.</w:t>
      </w:r>
      <w:r w:rsidRPr="003D32FA">
        <w:rPr>
          <w:rFonts w:ascii="Times New Roman" w:hAnsi="Times New Roman" w:cs="Times New Roman"/>
          <w:i/>
          <w:iCs/>
          <w:sz w:val="24"/>
          <w:szCs w:val="24"/>
        </w:rPr>
        <w:t xml:space="preserve"> hominis</w:t>
      </w:r>
      <w:r w:rsidRPr="003D32FA">
        <w:rPr>
          <w:rFonts w:ascii="Times New Roman" w:hAnsi="Times New Roman" w:cs="Times New Roman"/>
          <w:sz w:val="24"/>
          <w:szCs w:val="24"/>
        </w:rPr>
        <w:t xml:space="preserve"> is a significant global public health concern, affecting over 1 billion people worldwide, predominantly affecting populations in tropical regions where poor sanitation, inadequate hygiene practices, and consumption of contaminated food or water create ideal conditions for the spread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(Matovelle et al., 2022; Wahid et al., 2023). Although its </w:t>
      </w:r>
    </w:p>
    <w:p w14:paraId="4D2C9129" w14:textId="1D0DDA32" w:rsidR="00F058FF" w:rsidRDefault="00F058FF" w:rsidP="0071126A">
      <w:pPr>
        <w:spacing w:line="480" w:lineRule="auto"/>
        <w:jc w:val="both"/>
        <w:rPr>
          <w:rFonts w:ascii="Times New Roman" w:hAnsi="Times New Roman" w:cs="Times New Roman"/>
          <w:sz w:val="24"/>
          <w:szCs w:val="24"/>
        </w:rPr>
      </w:pPr>
      <w:r w:rsidRPr="00F058FF">
        <w:rPr>
          <w:rFonts w:ascii="Times New Roman" w:hAnsi="Times New Roman" w:cs="Times New Roman"/>
          <w:b/>
          <w:bCs/>
          <w:noProof/>
          <w:sz w:val="24"/>
          <w:szCs w:val="24"/>
        </w:rPr>
        <w:drawing>
          <wp:anchor distT="0" distB="0" distL="114300" distR="114300" simplePos="0" relativeHeight="251662339" behindDoc="0" locked="0" layoutInCell="1" allowOverlap="1" wp14:anchorId="4C0A8DDB" wp14:editId="4BF0E3CC">
            <wp:simplePos x="0" y="0"/>
            <wp:positionH relativeFrom="margin">
              <wp:posOffset>0</wp:posOffset>
            </wp:positionH>
            <wp:positionV relativeFrom="paragraph">
              <wp:posOffset>3617595</wp:posOffset>
            </wp:positionV>
            <wp:extent cx="5675630" cy="3276600"/>
            <wp:effectExtent l="19050" t="19050" r="20320" b="19050"/>
            <wp:wrapSquare wrapText="bothSides"/>
            <wp:docPr id="228774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774302" name="Picture 228774302"/>
                    <pic:cNvPicPr/>
                  </pic:nvPicPr>
                  <pic:blipFill rotWithShape="1">
                    <a:blip r:embed="rId8" cstate="print">
                      <a:extLst>
                        <a:ext uri="{28A0092B-C50C-407E-A947-70E740481C1C}">
                          <a14:useLocalDpi xmlns:a14="http://schemas.microsoft.com/office/drawing/2010/main" val="0"/>
                        </a:ext>
                      </a:extLst>
                    </a:blip>
                    <a:srcRect t="3220" b="1204"/>
                    <a:stretch>
                      <a:fillRect/>
                    </a:stretch>
                  </pic:blipFill>
                  <pic:spPr bwMode="auto">
                    <a:xfrm>
                      <a:off x="0" y="0"/>
                      <a:ext cx="5675630" cy="3276600"/>
                    </a:xfrm>
                    <a:prstGeom prst="rect">
                      <a:avLst/>
                    </a:prstGeom>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6172" w:rsidRPr="003D32FA">
        <w:rPr>
          <w:rFonts w:ascii="Times New Roman" w:hAnsi="Times New Roman" w:cs="Times New Roman"/>
          <w:sz w:val="24"/>
          <w:szCs w:val="24"/>
        </w:rPr>
        <w:t xml:space="preserve">pathogenicity is still debated, it is commonly associated with gastrointestinal symptoms, especially in immunocompromised patients (Amoak &amp; Soldera, 2024). In the Philippines, </w:t>
      </w:r>
      <w:r w:rsidR="00496172" w:rsidRPr="003D32FA">
        <w:rPr>
          <w:rFonts w:ascii="Times New Roman" w:hAnsi="Times New Roman" w:cs="Times New Roman"/>
          <w:i/>
          <w:iCs/>
          <w:sz w:val="24"/>
          <w:szCs w:val="24"/>
        </w:rPr>
        <w:t xml:space="preserve">B. hominis </w:t>
      </w:r>
      <w:r w:rsidR="00496172" w:rsidRPr="003D32FA">
        <w:rPr>
          <w:rFonts w:ascii="Times New Roman" w:hAnsi="Times New Roman" w:cs="Times New Roman"/>
          <w:sz w:val="24"/>
          <w:szCs w:val="24"/>
        </w:rPr>
        <w:t xml:space="preserve">is one of the most commonly identified protozoans and shows significant prevalence in humans, animals, and environmental reservoirs. Despite limited information, several researchers conducted studies in the Philippines to determine the prevalence and distribution of </w:t>
      </w:r>
      <w:r w:rsidR="00496172" w:rsidRPr="00C764FB">
        <w:rPr>
          <w:rFonts w:ascii="Times New Roman" w:hAnsi="Times New Roman" w:cs="Times New Roman"/>
          <w:i/>
          <w:iCs/>
          <w:sz w:val="24"/>
          <w:szCs w:val="24"/>
        </w:rPr>
        <w:t>B</w:t>
      </w:r>
      <w:r w:rsidR="00C764FB">
        <w:rPr>
          <w:rFonts w:ascii="Times New Roman" w:hAnsi="Times New Roman" w:cs="Times New Roman"/>
          <w:i/>
          <w:iCs/>
          <w:sz w:val="24"/>
          <w:szCs w:val="24"/>
        </w:rPr>
        <w:t>.</w:t>
      </w:r>
      <w:r w:rsidR="00496172" w:rsidRPr="00C764FB">
        <w:rPr>
          <w:rFonts w:ascii="Times New Roman" w:hAnsi="Times New Roman" w:cs="Times New Roman"/>
          <w:i/>
          <w:iCs/>
          <w:sz w:val="24"/>
          <w:szCs w:val="24"/>
        </w:rPr>
        <w:t xml:space="preserve"> hom</w:t>
      </w:r>
      <w:r w:rsidR="00496172" w:rsidRPr="003D32FA">
        <w:rPr>
          <w:rFonts w:ascii="Times New Roman" w:hAnsi="Times New Roman" w:cs="Times New Roman"/>
          <w:i/>
          <w:iCs/>
          <w:sz w:val="24"/>
          <w:szCs w:val="24"/>
        </w:rPr>
        <w:t>inis</w:t>
      </w:r>
      <w:r w:rsidR="00496172" w:rsidRPr="003D32FA">
        <w:rPr>
          <w:rFonts w:ascii="Times New Roman" w:hAnsi="Times New Roman" w:cs="Times New Roman"/>
          <w:sz w:val="24"/>
          <w:szCs w:val="24"/>
        </w:rPr>
        <w:t xml:space="preserve"> (Table 1). For instance, </w:t>
      </w:r>
      <w:r w:rsidR="00496172" w:rsidRPr="00134371">
        <w:rPr>
          <w:rFonts w:ascii="Times New Roman" w:hAnsi="Times New Roman" w:cs="Times New Roman"/>
          <w:color w:val="EE0000"/>
          <w:sz w:val="24"/>
          <w:szCs w:val="24"/>
        </w:rPr>
        <w:t xml:space="preserve">Belleza et al. (2015) </w:t>
      </w:r>
      <w:r w:rsidR="00496172" w:rsidRPr="003D32FA">
        <w:rPr>
          <w:rFonts w:ascii="Times New Roman" w:hAnsi="Times New Roman" w:cs="Times New Roman"/>
          <w:sz w:val="24"/>
          <w:szCs w:val="24"/>
        </w:rPr>
        <w:t xml:space="preserve">collected stool samples from 1,271 permanent residents aged 1 to 70 across 5 villages in an urban community in Pateros, Metro Manila to determine its prevalence. Using in vitro culture (fecal samples cultured in diphasic agar medium for 3-7 days at 37°) and light microscopy, it was revealed that the overall prevalence of </w:t>
      </w:r>
      <w:r w:rsidR="00496172" w:rsidRPr="003D32FA">
        <w:rPr>
          <w:rFonts w:ascii="Times New Roman" w:hAnsi="Times New Roman" w:cs="Times New Roman"/>
          <w:i/>
          <w:iCs/>
          <w:sz w:val="24"/>
          <w:szCs w:val="24"/>
        </w:rPr>
        <w:t>B. hominis</w:t>
      </w:r>
      <w:r w:rsidR="00496172" w:rsidRPr="003D32FA">
        <w:rPr>
          <w:rFonts w:ascii="Times New Roman" w:hAnsi="Times New Roman" w:cs="Times New Roman"/>
          <w:sz w:val="24"/>
          <w:szCs w:val="24"/>
        </w:rPr>
        <w:t xml:space="preserve"> </w:t>
      </w:r>
    </w:p>
    <w:p w14:paraId="2702B6AA" w14:textId="77777777" w:rsidR="0071126A" w:rsidRDefault="0071126A" w:rsidP="00F058FF">
      <w:pPr>
        <w:spacing w:line="480" w:lineRule="auto"/>
        <w:rPr>
          <w:rFonts w:ascii="Times New Roman" w:hAnsi="Times New Roman" w:cs="Times New Roman"/>
          <w:b/>
          <w:bCs/>
          <w:sz w:val="24"/>
          <w:szCs w:val="24"/>
        </w:rPr>
      </w:pPr>
    </w:p>
    <w:p w14:paraId="07D1AF66" w14:textId="7C6B2A2C" w:rsidR="00F058FF" w:rsidRPr="00417392" w:rsidRDefault="00F058FF" w:rsidP="00F058FF">
      <w:pPr>
        <w:spacing w:line="480" w:lineRule="auto"/>
        <w:rPr>
          <w:rFonts w:ascii="Times New Roman" w:hAnsi="Times New Roman" w:cs="Times New Roman"/>
          <w:color w:val="EE0000"/>
          <w:sz w:val="24"/>
          <w:szCs w:val="24"/>
        </w:rPr>
      </w:pPr>
      <w:r w:rsidRPr="00F058FF">
        <w:rPr>
          <w:rFonts w:ascii="Times New Roman" w:hAnsi="Times New Roman" w:cs="Times New Roman"/>
          <w:b/>
          <w:bCs/>
          <w:sz w:val="24"/>
          <w:szCs w:val="24"/>
        </w:rPr>
        <w:t>Figure 1.</w:t>
      </w:r>
      <w:r w:rsidRPr="00F058FF">
        <w:rPr>
          <w:rFonts w:ascii="Times New Roman" w:hAnsi="Times New Roman" w:cs="Times New Roman"/>
          <w:sz w:val="24"/>
          <w:szCs w:val="24"/>
        </w:rPr>
        <w:t xml:space="preserve"> Life Cycle of </w:t>
      </w:r>
      <w:r w:rsidRPr="00F058FF">
        <w:rPr>
          <w:rFonts w:ascii="Times New Roman" w:hAnsi="Times New Roman" w:cs="Times New Roman"/>
          <w:i/>
          <w:iCs/>
          <w:sz w:val="24"/>
          <w:szCs w:val="24"/>
        </w:rPr>
        <w:t>Blastocystis hominis</w:t>
      </w:r>
      <w:r w:rsidRPr="00F058FF">
        <w:rPr>
          <w:rFonts w:ascii="Times New Roman" w:hAnsi="Times New Roman" w:cs="Times New Roman"/>
          <w:sz w:val="24"/>
          <w:szCs w:val="24"/>
        </w:rPr>
        <w:t xml:space="preserve"> </w:t>
      </w:r>
      <w:r w:rsidRPr="00417392">
        <w:rPr>
          <w:rFonts w:ascii="Times New Roman" w:hAnsi="Times New Roman" w:cs="Times New Roman"/>
          <w:color w:val="EE0000"/>
          <w:sz w:val="24"/>
          <w:szCs w:val="24"/>
        </w:rPr>
        <w:t>(Adapted from CDC</w:t>
      </w:r>
      <w:r w:rsidR="003027C0" w:rsidRPr="00417392">
        <w:rPr>
          <w:rFonts w:ascii="Times New Roman" w:hAnsi="Times New Roman" w:cs="Times New Roman"/>
          <w:color w:val="EE0000"/>
          <w:sz w:val="24"/>
          <w:szCs w:val="24"/>
        </w:rPr>
        <w:t xml:space="preserve"> </w:t>
      </w:r>
      <w:r w:rsidR="00417392" w:rsidRPr="00417392">
        <w:rPr>
          <w:rFonts w:ascii="Times New Roman" w:hAnsi="Times New Roman" w:cs="Times New Roman"/>
          <w:color w:val="EE0000"/>
          <w:sz w:val="24"/>
          <w:szCs w:val="24"/>
        </w:rPr>
        <w:t>[</w:t>
      </w:r>
      <w:r w:rsidRPr="00417392">
        <w:rPr>
          <w:rFonts w:ascii="Times New Roman" w:hAnsi="Times New Roman" w:cs="Times New Roman"/>
          <w:color w:val="EE0000"/>
          <w:sz w:val="24"/>
          <w:szCs w:val="24"/>
        </w:rPr>
        <w:t>2019</w:t>
      </w:r>
      <w:r w:rsidR="00417392" w:rsidRPr="00417392">
        <w:rPr>
          <w:rFonts w:ascii="Times New Roman" w:hAnsi="Times New Roman" w:cs="Times New Roman"/>
          <w:color w:val="EE0000"/>
          <w:sz w:val="24"/>
          <w:szCs w:val="24"/>
        </w:rPr>
        <w:t>]</w:t>
      </w:r>
      <w:r w:rsidRPr="00417392">
        <w:rPr>
          <w:rFonts w:ascii="Times New Roman" w:hAnsi="Times New Roman" w:cs="Times New Roman"/>
          <w:color w:val="EE0000"/>
          <w:sz w:val="24"/>
          <w:szCs w:val="24"/>
        </w:rPr>
        <w:t xml:space="preserve"> and Parija &amp; Jeremiah </w:t>
      </w:r>
      <w:r w:rsidR="00417392" w:rsidRPr="00417392">
        <w:rPr>
          <w:rFonts w:ascii="Times New Roman" w:hAnsi="Times New Roman" w:cs="Times New Roman"/>
          <w:color w:val="EE0000"/>
          <w:sz w:val="24"/>
          <w:szCs w:val="24"/>
        </w:rPr>
        <w:t>[</w:t>
      </w:r>
      <w:r w:rsidRPr="00417392">
        <w:rPr>
          <w:rFonts w:ascii="Times New Roman" w:hAnsi="Times New Roman" w:cs="Times New Roman"/>
          <w:color w:val="EE0000"/>
          <w:sz w:val="24"/>
          <w:szCs w:val="24"/>
        </w:rPr>
        <w:t>2013</w:t>
      </w:r>
      <w:r w:rsidR="00417392" w:rsidRPr="00417392">
        <w:rPr>
          <w:rFonts w:ascii="Times New Roman" w:hAnsi="Times New Roman" w:cs="Times New Roman"/>
          <w:color w:val="EE0000"/>
          <w:sz w:val="24"/>
          <w:szCs w:val="24"/>
        </w:rPr>
        <w:t>]</w:t>
      </w:r>
      <w:r w:rsidRPr="00417392">
        <w:rPr>
          <w:rFonts w:ascii="Times New Roman" w:hAnsi="Times New Roman" w:cs="Times New Roman"/>
          <w:color w:val="EE0000"/>
          <w:sz w:val="24"/>
          <w:szCs w:val="24"/>
        </w:rPr>
        <w:t>)</w:t>
      </w:r>
    </w:p>
    <w:p w14:paraId="4AA9769E" w14:textId="37786092" w:rsidR="00496172" w:rsidRPr="003D32FA" w:rsidRDefault="00496172" w:rsidP="0071126A">
      <w:pPr>
        <w:spacing w:line="480" w:lineRule="auto"/>
        <w:jc w:val="both"/>
        <w:rPr>
          <w:rFonts w:ascii="Times New Roman" w:hAnsi="Times New Roman" w:cs="Times New Roman"/>
          <w:sz w:val="24"/>
          <w:szCs w:val="24"/>
        </w:rPr>
      </w:pPr>
      <w:r w:rsidRPr="003D32FA">
        <w:rPr>
          <w:rFonts w:ascii="Times New Roman" w:hAnsi="Times New Roman" w:cs="Times New Roman"/>
          <w:sz w:val="24"/>
          <w:szCs w:val="24"/>
        </w:rPr>
        <w:t xml:space="preserve">infection was at 12.98%. The study also showed minimal sex-specific differences with males having a prevalence of 12.65% and females at 13.65%. According to age distribution, children aged 1-4 years old had lower prevalence rate at 7.88%, while children aged 5-14 years old had higher prevalence rate at 15.06%. Adult populations showed varying prevalences: 15-29 years (13.25%), 30-44 years (14.23%), 45-59 years (12.8%), and 60-69 years (8.33%), with a notable high increase in prevalence among individuals aged 70 and above at 20.59%, emphasizing the risk of immunocompromised patients especially elderly individuals. Furthermore, socioeconomic indicators, such as level of education, also had influence on prevalence </w:t>
      </w:r>
      <w:r w:rsidR="00644DF8" w:rsidRPr="003D32FA">
        <w:rPr>
          <w:rFonts w:ascii="Times New Roman" w:hAnsi="Times New Roman" w:cs="Times New Roman"/>
          <w:sz w:val="24"/>
          <w:szCs w:val="24"/>
        </w:rPr>
        <w:t>rates, with</w:t>
      </w:r>
      <w:r w:rsidRPr="003D32FA">
        <w:rPr>
          <w:rFonts w:ascii="Times New Roman" w:hAnsi="Times New Roman" w:cs="Times New Roman"/>
          <w:sz w:val="24"/>
          <w:szCs w:val="24"/>
        </w:rPr>
        <w:t xml:space="preserve"> high school level showing the highest prevalence at 15.78%, followed by individuals with no formal education (12.81%), elementary education (12.09%), and college education showing the lowest prevalence at 10.27%. Notably, dog ownership revealed as a significant risk factor, with dog owners having a</w:t>
      </w:r>
      <w:r w:rsidR="009C3171" w:rsidRPr="003D32FA">
        <w:rPr>
          <w:rFonts w:ascii="Times New Roman" w:hAnsi="Times New Roman" w:cs="Times New Roman"/>
          <w:sz w:val="24"/>
          <w:szCs w:val="24"/>
        </w:rPr>
        <w:t xml:space="preserve"> higher</w:t>
      </w:r>
      <w:r w:rsidRPr="003D32FA">
        <w:rPr>
          <w:rFonts w:ascii="Times New Roman" w:hAnsi="Times New Roman" w:cs="Times New Roman"/>
          <w:sz w:val="24"/>
          <w:szCs w:val="24"/>
        </w:rPr>
        <w:t xml:space="preserve"> prevalence of 25% compared to non-dog owners at 11.30% </w:t>
      </w:r>
    </w:p>
    <w:p w14:paraId="62387485" w14:textId="51AB68A9" w:rsidR="00496172" w:rsidRPr="003D32FA" w:rsidRDefault="00496172"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In another urban-based molecular study by Adao et al. (2016), 35 stool samples were collected from asymptomatic individuals living in Metro Manila for subtype analysis. Culture and microcopy revealed a notably high overall prevalence of 82.9% (29 out of 35 samples) among asymptomatic residents. For polymerase chain reaction (PCR), the 600-bp barcoding region of the SSU rRNA gene of </w:t>
      </w:r>
      <w:r w:rsidRPr="003D32FA">
        <w:rPr>
          <w:rFonts w:ascii="Times New Roman" w:hAnsi="Times New Roman" w:cs="Times New Roman"/>
          <w:i/>
          <w:iCs/>
          <w:sz w:val="24"/>
          <w:szCs w:val="24"/>
        </w:rPr>
        <w:t>Blastocystis</w:t>
      </w:r>
      <w:r w:rsidRPr="003D32FA">
        <w:rPr>
          <w:rFonts w:ascii="Times New Roman" w:hAnsi="Times New Roman" w:cs="Times New Roman"/>
          <w:sz w:val="24"/>
          <w:szCs w:val="24"/>
        </w:rPr>
        <w:t xml:space="preserve"> sp. was amplified using the primers RD5 and BhRDr for subtyping. The molecular analysis revealed that ST3 was the predominant subtype, accounting for 65.5% (19 out of 29 positive samples), followed by ST1 at 31.0% (9 out of 29 positive samples) and ST4 at 3.44% (1 out of 29 positive samples). This result aligns with the worldwide subtype </w:t>
      </w:r>
      <w:r w:rsidRPr="003D32FA">
        <w:rPr>
          <w:rFonts w:ascii="Times New Roman" w:hAnsi="Times New Roman" w:cs="Times New Roman"/>
          <w:sz w:val="24"/>
          <w:szCs w:val="24"/>
        </w:rPr>
        <w:lastRenderedPageBreak/>
        <w:t xml:space="preserve">distribution, wherein 90% of subtypes identified in humans belonged to ST1–ST4, with a predominance of ST3 (Rudzińska &amp; Sikorska, 2023). Furthermore, a larger study was conducted by </w:t>
      </w:r>
      <w:r w:rsidRPr="00B046E0">
        <w:rPr>
          <w:rFonts w:ascii="Times New Roman" w:hAnsi="Times New Roman" w:cs="Times New Roman"/>
          <w:color w:val="EE0000"/>
          <w:sz w:val="24"/>
          <w:szCs w:val="24"/>
        </w:rPr>
        <w:t xml:space="preserve">Belleza et al. </w:t>
      </w:r>
      <w:r w:rsidRPr="003D32FA">
        <w:rPr>
          <w:rFonts w:ascii="Times New Roman" w:hAnsi="Times New Roman" w:cs="Times New Roman"/>
          <w:sz w:val="24"/>
          <w:szCs w:val="24"/>
        </w:rPr>
        <w:t xml:space="preserve">(2016) using 1,271 fecal samples to determine the prevalence and subtypes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Culture and microscopic examination revealed an overall prevalence rate of 13%. Seven pairs of ST-specific sequence-tagged-site (STS) primers were used for the genotyping of culture isolates. The subtype distribution analysis revealed a similar result </w:t>
      </w:r>
      <w:r w:rsidR="001C7371">
        <w:rPr>
          <w:rFonts w:ascii="Times New Roman" w:hAnsi="Times New Roman" w:cs="Times New Roman"/>
          <w:sz w:val="24"/>
          <w:szCs w:val="24"/>
        </w:rPr>
        <w:t>with</w:t>
      </w:r>
      <w:r w:rsidRPr="003D32FA">
        <w:rPr>
          <w:rFonts w:ascii="Times New Roman" w:hAnsi="Times New Roman" w:cs="Times New Roman"/>
          <w:sz w:val="24"/>
          <w:szCs w:val="24"/>
        </w:rPr>
        <w:t xml:space="preserve"> the study of </w:t>
      </w:r>
      <w:r w:rsidRPr="00C855CA">
        <w:rPr>
          <w:rFonts w:ascii="Times New Roman" w:hAnsi="Times New Roman" w:cs="Times New Roman"/>
          <w:color w:val="EE0000"/>
          <w:sz w:val="24"/>
          <w:szCs w:val="24"/>
        </w:rPr>
        <w:t xml:space="preserve">Adao et al. </w:t>
      </w:r>
      <w:r w:rsidRPr="003D32FA">
        <w:rPr>
          <w:rFonts w:ascii="Times New Roman" w:hAnsi="Times New Roman" w:cs="Times New Roman"/>
          <w:sz w:val="24"/>
          <w:szCs w:val="24"/>
        </w:rPr>
        <w:t xml:space="preserve">(2016) wherein ST3 was the most dominant subtype at 41.4%. This raises public health concerns as ST3 is associated with gastrointestinal symptoms such as diarrhea (Zulfa et al., 2017). The other subtypes identified from greatest to least prevalence were ST1 at 22.6%, ST4 at 14.8%, unknown subtypes at 13.9%, ST5 at 4.1%, and ST2 at 3.1%. </w:t>
      </w:r>
    </w:p>
    <w:p w14:paraId="2ADB0C73" w14:textId="06929871" w:rsidR="00496172" w:rsidRPr="003D32FA" w:rsidRDefault="00496172"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Limited studies on specialized population groups also revealed varying prevalence in various occupational and institutional settings. In a recent study by </w:t>
      </w:r>
      <w:r w:rsidRPr="00C855CA">
        <w:rPr>
          <w:rFonts w:ascii="Times New Roman" w:hAnsi="Times New Roman" w:cs="Times New Roman"/>
          <w:color w:val="EE0000"/>
          <w:sz w:val="24"/>
          <w:szCs w:val="24"/>
        </w:rPr>
        <w:t>Notorio et al.</w:t>
      </w:r>
      <w:r w:rsidRPr="003D32FA">
        <w:rPr>
          <w:rFonts w:ascii="Times New Roman" w:hAnsi="Times New Roman" w:cs="Times New Roman"/>
          <w:sz w:val="24"/>
          <w:szCs w:val="24"/>
        </w:rPr>
        <w:t xml:space="preserve"> (2025</w:t>
      </w:r>
      <w:r w:rsidR="005B5CC9" w:rsidRPr="003D32FA">
        <w:rPr>
          <w:rFonts w:ascii="Times New Roman" w:hAnsi="Times New Roman" w:cs="Times New Roman"/>
          <w:sz w:val="24"/>
          <w:szCs w:val="24"/>
        </w:rPr>
        <w:t>)</w:t>
      </w:r>
      <w:r w:rsidR="001C7371">
        <w:rPr>
          <w:rFonts w:ascii="Times New Roman" w:hAnsi="Times New Roman" w:cs="Times New Roman"/>
          <w:sz w:val="24"/>
          <w:szCs w:val="24"/>
        </w:rPr>
        <w:t>,</w:t>
      </w:r>
      <w:r w:rsidR="005B5CC9" w:rsidRPr="003D32FA">
        <w:rPr>
          <w:rFonts w:ascii="Times New Roman" w:hAnsi="Times New Roman" w:cs="Times New Roman"/>
          <w:sz w:val="24"/>
          <w:szCs w:val="24"/>
        </w:rPr>
        <w:t xml:space="preserve"> from</w:t>
      </w:r>
      <w:r w:rsidRPr="003D32FA">
        <w:rPr>
          <w:rFonts w:ascii="Times New Roman" w:hAnsi="Times New Roman" w:cs="Times New Roman"/>
          <w:sz w:val="24"/>
          <w:szCs w:val="24"/>
        </w:rPr>
        <w:t xml:space="preserve"> 67 inmates</w:t>
      </w:r>
      <w:r w:rsidR="00EB3683" w:rsidRPr="003D32FA">
        <w:rPr>
          <w:rFonts w:ascii="Times New Roman" w:hAnsi="Times New Roman" w:cs="Times New Roman"/>
          <w:sz w:val="24"/>
          <w:szCs w:val="24"/>
        </w:rPr>
        <w:t xml:space="preserve"> diagnosed with tuberculosis</w:t>
      </w:r>
      <w:r w:rsidRPr="003D32FA">
        <w:rPr>
          <w:rFonts w:ascii="Times New Roman" w:hAnsi="Times New Roman" w:cs="Times New Roman"/>
          <w:sz w:val="24"/>
          <w:szCs w:val="24"/>
        </w:rPr>
        <w:t xml:space="preserve"> in Tarlac Provincial Jail, Philippines, it was found that the prevalence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was 5.97%. </w:t>
      </w:r>
      <w:r w:rsidR="00170581" w:rsidRPr="003D32FA">
        <w:rPr>
          <w:rFonts w:ascii="Times New Roman" w:hAnsi="Times New Roman" w:cs="Times New Roman"/>
          <w:sz w:val="24"/>
          <w:szCs w:val="24"/>
        </w:rPr>
        <w:t>I</w:t>
      </w:r>
      <w:r w:rsidRPr="003D32FA">
        <w:rPr>
          <w:rFonts w:ascii="Times New Roman" w:hAnsi="Times New Roman" w:cs="Times New Roman"/>
          <w:sz w:val="24"/>
          <w:szCs w:val="24"/>
        </w:rPr>
        <w:t>n-vitro culture with modified Lock Egg medium and microscopy</w:t>
      </w:r>
      <w:r w:rsidR="00170581" w:rsidRPr="003D32FA">
        <w:rPr>
          <w:rFonts w:ascii="Times New Roman" w:hAnsi="Times New Roman" w:cs="Times New Roman"/>
          <w:sz w:val="24"/>
          <w:szCs w:val="24"/>
        </w:rPr>
        <w:t xml:space="preserve"> revealed that </w:t>
      </w:r>
      <w:r w:rsidRPr="003D32FA">
        <w:rPr>
          <w:rFonts w:ascii="Times New Roman" w:hAnsi="Times New Roman" w:cs="Times New Roman"/>
          <w:sz w:val="24"/>
          <w:szCs w:val="24"/>
        </w:rPr>
        <w:t xml:space="preserve">4 out of 67 samples tested </w:t>
      </w:r>
      <w:r w:rsidR="001C7371">
        <w:rPr>
          <w:rFonts w:ascii="Times New Roman" w:hAnsi="Times New Roman" w:cs="Times New Roman"/>
          <w:sz w:val="24"/>
          <w:szCs w:val="24"/>
        </w:rPr>
        <w:t xml:space="preserve">were </w:t>
      </w:r>
      <w:r w:rsidRPr="003D32FA">
        <w:rPr>
          <w:rFonts w:ascii="Times New Roman" w:hAnsi="Times New Roman" w:cs="Times New Roman"/>
          <w:sz w:val="24"/>
          <w:szCs w:val="24"/>
        </w:rPr>
        <w:t xml:space="preserve">positive. This prevalence shows a notable public health concern, especially in a correctional facility, as this environment creates ideal conditions for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transmission due to overcrowding, poor sanitation, and limited access to healthcare services. Another study by </w:t>
      </w:r>
      <w:r w:rsidRPr="00C855CA">
        <w:rPr>
          <w:rFonts w:ascii="Times New Roman" w:hAnsi="Times New Roman" w:cs="Times New Roman"/>
          <w:color w:val="EE0000"/>
          <w:sz w:val="24"/>
          <w:szCs w:val="24"/>
        </w:rPr>
        <w:t xml:space="preserve">Dayaganon et al. </w:t>
      </w:r>
      <w:r w:rsidRPr="003D32FA">
        <w:rPr>
          <w:rFonts w:ascii="Times New Roman" w:hAnsi="Times New Roman" w:cs="Times New Roman"/>
          <w:sz w:val="24"/>
          <w:szCs w:val="24"/>
        </w:rPr>
        <w:t xml:space="preserve">(2014) investigated 34 randomly selected food handlers in eateries in Bankerohan Public Market, Davao City. </w:t>
      </w:r>
      <w:r w:rsidR="001B039D" w:rsidRPr="003D32FA">
        <w:rPr>
          <w:rFonts w:ascii="Times New Roman" w:hAnsi="Times New Roman" w:cs="Times New Roman"/>
          <w:sz w:val="24"/>
          <w:szCs w:val="24"/>
        </w:rPr>
        <w:t>With the use of</w:t>
      </w:r>
      <w:r w:rsidRPr="003D32FA">
        <w:rPr>
          <w:rFonts w:ascii="Times New Roman" w:hAnsi="Times New Roman" w:cs="Times New Roman"/>
          <w:sz w:val="24"/>
          <w:szCs w:val="24"/>
        </w:rPr>
        <w:t xml:space="preserve"> microscopic examination, the prevalence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was at 8.82% (3 out of 34 samples), emphasizing a critical food safety concern, as food handlers positive for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may contaminate food products through handling and preparation, increasing </w:t>
      </w:r>
      <w:r w:rsidR="00597941" w:rsidRPr="003D32FA">
        <w:rPr>
          <w:rFonts w:ascii="Times New Roman" w:hAnsi="Times New Roman" w:cs="Times New Roman"/>
          <w:sz w:val="24"/>
          <w:szCs w:val="24"/>
        </w:rPr>
        <w:t xml:space="preserve">the </w:t>
      </w:r>
      <w:r w:rsidRPr="003D32FA">
        <w:rPr>
          <w:rFonts w:ascii="Times New Roman" w:hAnsi="Times New Roman" w:cs="Times New Roman"/>
          <w:sz w:val="24"/>
          <w:szCs w:val="24"/>
        </w:rPr>
        <w:t xml:space="preserve">risk of transmission to the general population. Rural areas also showed higher prevalence rates for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with the study of </w:t>
      </w:r>
      <w:r w:rsidRPr="00C855CA">
        <w:rPr>
          <w:rFonts w:ascii="Times New Roman" w:hAnsi="Times New Roman" w:cs="Times New Roman"/>
          <w:color w:val="EE0000"/>
          <w:sz w:val="24"/>
          <w:szCs w:val="24"/>
        </w:rPr>
        <w:lastRenderedPageBreak/>
        <w:t xml:space="preserve">Weerakoon et al. </w:t>
      </w:r>
      <w:r w:rsidRPr="003D32FA">
        <w:rPr>
          <w:rFonts w:ascii="Times New Roman" w:hAnsi="Times New Roman" w:cs="Times New Roman"/>
          <w:sz w:val="24"/>
          <w:szCs w:val="24"/>
        </w:rPr>
        <w:t xml:space="preserve">(2018) in Northern Samar, Philippines showing a prevalence of 58.70% (242 out of 412 samples). This is significantly higher compared to the prevalence of 12.98% reported in an urban community by </w:t>
      </w:r>
      <w:r w:rsidRPr="00C855CA">
        <w:rPr>
          <w:rFonts w:ascii="Times New Roman" w:hAnsi="Times New Roman" w:cs="Times New Roman"/>
          <w:color w:val="EE0000"/>
          <w:sz w:val="24"/>
          <w:szCs w:val="24"/>
        </w:rPr>
        <w:t xml:space="preserve">Belleza et al. </w:t>
      </w:r>
      <w:r w:rsidRPr="003D32FA">
        <w:rPr>
          <w:rFonts w:ascii="Times New Roman" w:hAnsi="Times New Roman" w:cs="Times New Roman"/>
          <w:sz w:val="24"/>
          <w:szCs w:val="24"/>
        </w:rPr>
        <w:t xml:space="preserve">(2015). Co-infection with </w:t>
      </w:r>
      <w:r w:rsidRPr="003D32FA">
        <w:rPr>
          <w:rFonts w:ascii="Times New Roman" w:hAnsi="Times New Roman" w:cs="Times New Roman"/>
          <w:i/>
          <w:iCs/>
          <w:sz w:val="24"/>
          <w:szCs w:val="24"/>
        </w:rPr>
        <w:t>S. japonicum</w:t>
      </w:r>
      <w:r w:rsidRPr="003D32FA">
        <w:rPr>
          <w:rFonts w:ascii="Times New Roman" w:hAnsi="Times New Roman" w:cs="Times New Roman"/>
          <w:sz w:val="24"/>
          <w:szCs w:val="24"/>
        </w:rPr>
        <w:t xml:space="preserve"> was also noted in this study from 110 out of 175 samples with dual infections (62.9%).</w:t>
      </w:r>
    </w:p>
    <w:p w14:paraId="30797477" w14:textId="2D873190" w:rsidR="00496172" w:rsidRPr="003D32FA" w:rsidRDefault="00C6773A"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Several</w:t>
      </w:r>
      <w:r w:rsidR="00496172" w:rsidRPr="003D32FA">
        <w:rPr>
          <w:rFonts w:ascii="Times New Roman" w:hAnsi="Times New Roman" w:cs="Times New Roman"/>
          <w:sz w:val="24"/>
          <w:szCs w:val="24"/>
        </w:rPr>
        <w:t xml:space="preserve"> studies involving animal hosts provide valuable insights into their role in transmission, showing the zoonotic potential of </w:t>
      </w:r>
      <w:r w:rsidR="00496172" w:rsidRPr="003D32FA">
        <w:rPr>
          <w:rFonts w:ascii="Times New Roman" w:hAnsi="Times New Roman" w:cs="Times New Roman"/>
          <w:i/>
          <w:iCs/>
          <w:sz w:val="24"/>
          <w:szCs w:val="24"/>
        </w:rPr>
        <w:t>B. hominis</w:t>
      </w:r>
      <w:r w:rsidR="00496172" w:rsidRPr="003D32FA">
        <w:rPr>
          <w:rFonts w:ascii="Times New Roman" w:hAnsi="Times New Roman" w:cs="Times New Roman"/>
          <w:sz w:val="24"/>
          <w:szCs w:val="24"/>
        </w:rPr>
        <w:t xml:space="preserve">.  Adao et al. (2016) conducted comprehensive studies on livestock and poultry in Victoria and Pila, Laguna, Philippines, including fecal samples from pigs, cows, and goats, and cloacal samples from chickens, ducks, pigeons, geese, and turkey. Using in vitro culture, the overall prevalence among 182 animals was 15.9% (29 positive samples with 24 isolates obtained from fecal samples and 5 from anal/cloacal swabs). Pigs had the highest prevalence rate at 20.20% (20 out of 99), emphasizing the zoonotic risk of </w:t>
      </w:r>
      <w:r w:rsidR="00496172" w:rsidRPr="003D32FA">
        <w:rPr>
          <w:rFonts w:ascii="Times New Roman" w:hAnsi="Times New Roman" w:cs="Times New Roman"/>
          <w:i/>
          <w:iCs/>
          <w:sz w:val="24"/>
          <w:szCs w:val="24"/>
        </w:rPr>
        <w:t>B. hominis</w:t>
      </w:r>
      <w:r w:rsidR="00496172" w:rsidRPr="003D32FA">
        <w:rPr>
          <w:rFonts w:ascii="Times New Roman" w:hAnsi="Times New Roman" w:cs="Times New Roman"/>
          <w:sz w:val="24"/>
          <w:szCs w:val="24"/>
        </w:rPr>
        <w:t>, especially in communities that raise pigs</w:t>
      </w:r>
      <w:r w:rsidR="00316424" w:rsidRPr="003D32FA">
        <w:rPr>
          <w:rFonts w:ascii="Times New Roman" w:hAnsi="Times New Roman" w:cs="Times New Roman"/>
          <w:sz w:val="24"/>
          <w:szCs w:val="24"/>
        </w:rPr>
        <w:t xml:space="preserve"> in the Philippines</w:t>
      </w:r>
      <w:r w:rsidR="00496172" w:rsidRPr="003D32FA">
        <w:rPr>
          <w:rFonts w:ascii="Times New Roman" w:hAnsi="Times New Roman" w:cs="Times New Roman"/>
          <w:sz w:val="24"/>
          <w:szCs w:val="24"/>
        </w:rPr>
        <w:t>. Prevalence for other animals</w:t>
      </w:r>
      <w:r w:rsidR="000C251D" w:rsidRPr="003D32FA">
        <w:rPr>
          <w:rFonts w:ascii="Times New Roman" w:hAnsi="Times New Roman" w:cs="Times New Roman"/>
          <w:sz w:val="24"/>
          <w:szCs w:val="24"/>
        </w:rPr>
        <w:t xml:space="preserve"> in the study</w:t>
      </w:r>
      <w:r w:rsidR="00496172" w:rsidRPr="003D32FA">
        <w:rPr>
          <w:rFonts w:ascii="Times New Roman" w:hAnsi="Times New Roman" w:cs="Times New Roman"/>
          <w:sz w:val="24"/>
          <w:szCs w:val="24"/>
        </w:rPr>
        <w:t xml:space="preserve"> includes 16.17% for goats (1 out of 6), 14.71% for chickens (5 out of 34), and 9.68% for ducks (3 out of 31). Subtype analysis using PCR revealed that pigs contained ST1, ST5, and ST7, chickens and ducks were infected with ST7, and the goat sample contained ST14. The high prevalence of </w:t>
      </w:r>
      <w:r w:rsidR="00496172" w:rsidRPr="003D32FA">
        <w:rPr>
          <w:rFonts w:ascii="Times New Roman" w:hAnsi="Times New Roman" w:cs="Times New Roman"/>
          <w:i/>
          <w:iCs/>
          <w:sz w:val="24"/>
          <w:szCs w:val="24"/>
        </w:rPr>
        <w:t>B. hominis</w:t>
      </w:r>
      <w:r w:rsidR="00496172" w:rsidRPr="003D32FA">
        <w:rPr>
          <w:rFonts w:ascii="Times New Roman" w:hAnsi="Times New Roman" w:cs="Times New Roman"/>
          <w:sz w:val="24"/>
          <w:szCs w:val="24"/>
        </w:rPr>
        <w:t xml:space="preserve"> in pigs is supported by specialized pig-farming studies conducted by De La Cruz et al. (2016) on the fecal samples of 122 backyard-raised pigs in 36 farms from the Municipality of Bay, Province of Laguna.  The study revealed that 24 out of 36 farms had positive samples and using culture and microscopy, it showed a notably high overall prevalence rate among pigs at 38.5%. According to class, weaning pigs showed the highest prevalence at 60%, followed by growers at 33% and breeders at 26%. Sex-specific differences in prevalence were also noted, with female pigs having a higher rate at 46% compared to male pigs at 29%. Moreover, canine populations also serve as important reservoirs for </w:t>
      </w:r>
      <w:r w:rsidR="00496172" w:rsidRPr="003D32FA">
        <w:rPr>
          <w:rFonts w:ascii="Times New Roman" w:hAnsi="Times New Roman" w:cs="Times New Roman"/>
          <w:i/>
          <w:iCs/>
          <w:sz w:val="24"/>
          <w:szCs w:val="24"/>
        </w:rPr>
        <w:t>B. hominis</w:t>
      </w:r>
      <w:r w:rsidR="00496172" w:rsidRPr="003D32FA">
        <w:rPr>
          <w:rFonts w:ascii="Times New Roman" w:hAnsi="Times New Roman" w:cs="Times New Roman"/>
          <w:sz w:val="24"/>
          <w:szCs w:val="24"/>
        </w:rPr>
        <w:t xml:space="preserve">, as shown by the study of Belleza et </w:t>
      </w:r>
      <w:r w:rsidR="00496172" w:rsidRPr="003D32FA">
        <w:rPr>
          <w:rFonts w:ascii="Times New Roman" w:hAnsi="Times New Roman" w:cs="Times New Roman"/>
          <w:sz w:val="24"/>
          <w:szCs w:val="24"/>
        </w:rPr>
        <w:lastRenderedPageBreak/>
        <w:t xml:space="preserve">al. (2016) which examined 145 dogs from an urban community in Pateros, Metro Manila. Culture and microscopic examination found an overall prevalence rate of 14.5%. Subtype distribution in dogs using PCR showed unknown subtypes as predominant at 47.8% followed by ST3 at 17.4%, ST4 and ST5 each at 13.0%, ST2 at 8.7%, and ST1 at 4.3%. This prevalence shows an increased risk, especially among dog owners. </w:t>
      </w:r>
    </w:p>
    <w:p w14:paraId="3E75C728" w14:textId="23A141CD" w:rsidR="00496172" w:rsidRPr="003D32FA" w:rsidRDefault="00496172"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More recent studies by Adao &amp; Rivera (2024) examined a wider range of animals from Tanay, Rizal, Quezon City, and Laguna using in vitro culture and PCR to determine the prevalence and subtypes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In Tanay Rizal, ducks had the highest prevalence rate at 68.42%, with ST7 identified, followed by Turkeys at 34.78% with ST6, then chickens at 30.77% with ST6 and ST7 subtypes, while goats showed no infection. In Quezon City, chickens had a 20% prevalence (ST7), toads had a 15.63% prevalence (NMAST 1), and cockroaches (through gut inoculation) demonstrated 2.36% (NMAST 6 and mixed subtypes). Macaques from Quezon City Parks and Wildlife Bureau also showed a notable prevalence of 28.57%, and ST1, ST3, and NMAST 1 were identified. </w:t>
      </w:r>
      <w:r w:rsidR="00340860" w:rsidRPr="00340860">
        <w:rPr>
          <w:rFonts w:ascii="Times New Roman" w:hAnsi="Times New Roman" w:cs="Times New Roman"/>
          <w:sz w:val="24"/>
          <w:szCs w:val="24"/>
        </w:rPr>
        <w:t>A pig sample from Laguna also tested positive for the presence of ST5.</w:t>
      </w:r>
      <w:r w:rsidR="00340860">
        <w:rPr>
          <w:rFonts w:ascii="Times New Roman" w:hAnsi="Times New Roman" w:cs="Times New Roman"/>
          <w:sz w:val="24"/>
          <w:szCs w:val="24"/>
        </w:rPr>
        <w:t xml:space="preserve"> </w:t>
      </w:r>
      <w:r w:rsidR="00CD1F0E" w:rsidRPr="003D32FA">
        <w:rPr>
          <w:rFonts w:ascii="Times New Roman" w:hAnsi="Times New Roman" w:cs="Times New Roman"/>
          <w:sz w:val="24"/>
          <w:szCs w:val="24"/>
        </w:rPr>
        <w:t xml:space="preserve">The prevalence in </w:t>
      </w:r>
      <w:r w:rsidR="00457DA9" w:rsidRPr="003D32FA">
        <w:rPr>
          <w:rFonts w:ascii="Times New Roman" w:hAnsi="Times New Roman" w:cs="Times New Roman"/>
          <w:sz w:val="24"/>
          <w:szCs w:val="24"/>
        </w:rPr>
        <w:t xml:space="preserve">different animals emphasizes the zoonotic risk possessed by </w:t>
      </w:r>
      <w:r w:rsidR="00457DA9" w:rsidRPr="003D32FA">
        <w:rPr>
          <w:rFonts w:ascii="Times New Roman" w:hAnsi="Times New Roman" w:cs="Times New Roman"/>
          <w:i/>
          <w:iCs/>
          <w:sz w:val="24"/>
          <w:szCs w:val="24"/>
        </w:rPr>
        <w:t>B hominis.</w:t>
      </w:r>
    </w:p>
    <w:p w14:paraId="47661FC6" w14:textId="32A63BAD" w:rsidR="00496172" w:rsidRPr="003D32FA" w:rsidRDefault="00496172"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Environmental studies conducted in the Philippines </w:t>
      </w:r>
      <w:r w:rsidR="000E5562">
        <w:rPr>
          <w:rFonts w:ascii="Times New Roman" w:hAnsi="Times New Roman" w:cs="Times New Roman"/>
          <w:sz w:val="24"/>
          <w:szCs w:val="24"/>
        </w:rPr>
        <w:t>are</w:t>
      </w:r>
      <w:r w:rsidRPr="003D32FA">
        <w:rPr>
          <w:rFonts w:ascii="Times New Roman" w:hAnsi="Times New Roman" w:cs="Times New Roman"/>
          <w:sz w:val="24"/>
          <w:szCs w:val="24"/>
        </w:rPr>
        <w:t xml:space="preserve"> limited, however, they provide important information regarding the possible transmission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in environmental sources, especially water. Banaticla &amp; Rivera (2011) conducted studies on a total of 62 water samples (31 influent and 31 effluent samples) from 31 wastewater treatment plants from geographically distinct locations across the Philippines. The overall environmental prevalence was at 15% (9 out of 62 samples). Influent samples (untreated wastewater) showed a higher prevalence at 23% (7 out of 31 samples), while effluent samples (treated wastewater) had a reduced prevalence at 7% (2 out of 31 samples). This showed that there is a notable difference between treatment stages</w:t>
      </w:r>
      <w:r w:rsidR="00CA1A09" w:rsidRPr="003D32FA">
        <w:rPr>
          <w:rFonts w:ascii="Times New Roman" w:hAnsi="Times New Roman" w:cs="Times New Roman"/>
          <w:sz w:val="24"/>
          <w:szCs w:val="24"/>
        </w:rPr>
        <w:t xml:space="preserve"> emphasizing </w:t>
      </w:r>
      <w:r w:rsidR="00CA1A09" w:rsidRPr="003D32FA">
        <w:rPr>
          <w:rFonts w:ascii="Times New Roman" w:hAnsi="Times New Roman" w:cs="Times New Roman"/>
          <w:sz w:val="24"/>
          <w:szCs w:val="24"/>
        </w:rPr>
        <w:lastRenderedPageBreak/>
        <w:t>the need for water treatment</w:t>
      </w:r>
      <w:r w:rsidRPr="003D32FA">
        <w:rPr>
          <w:rFonts w:ascii="Times New Roman" w:hAnsi="Times New Roman" w:cs="Times New Roman"/>
          <w:sz w:val="24"/>
          <w:szCs w:val="24"/>
        </w:rPr>
        <w:t xml:space="preserve">. The prevalence in treated water samples </w:t>
      </w:r>
      <w:r w:rsidR="00B83375" w:rsidRPr="003D32FA">
        <w:rPr>
          <w:rFonts w:ascii="Times New Roman" w:hAnsi="Times New Roman" w:cs="Times New Roman"/>
          <w:sz w:val="24"/>
          <w:szCs w:val="24"/>
        </w:rPr>
        <w:t xml:space="preserve">also </w:t>
      </w:r>
      <w:r w:rsidRPr="003D32FA">
        <w:rPr>
          <w:rFonts w:ascii="Times New Roman" w:hAnsi="Times New Roman" w:cs="Times New Roman"/>
          <w:sz w:val="24"/>
          <w:szCs w:val="24"/>
        </w:rPr>
        <w:t xml:space="preserve">raises concerns as it shows that treatment processes may be ineffective in removing and preventing </w:t>
      </w:r>
      <w:r w:rsidRPr="003D32FA">
        <w:rPr>
          <w:rFonts w:ascii="Times New Roman" w:hAnsi="Times New Roman" w:cs="Times New Roman"/>
          <w:i/>
          <w:iCs/>
          <w:sz w:val="24"/>
          <w:szCs w:val="24"/>
        </w:rPr>
        <w:t>Blastocystis</w:t>
      </w:r>
      <w:r w:rsidRPr="003D32FA">
        <w:rPr>
          <w:rFonts w:ascii="Times New Roman" w:hAnsi="Times New Roman" w:cs="Times New Roman"/>
          <w:sz w:val="24"/>
          <w:szCs w:val="24"/>
        </w:rPr>
        <w:t xml:space="preserve"> cysts from being released into the environment. Subtypes include ST1 for 7 positive samples and ST2 for 2 positive samples.</w:t>
      </w:r>
    </w:p>
    <w:p w14:paraId="33DDCB64" w14:textId="113C5602" w:rsidR="00496172" w:rsidRPr="003D32FA" w:rsidRDefault="000E5562" w:rsidP="003D32FA">
      <w:pPr>
        <w:spacing w:line="480" w:lineRule="auto"/>
        <w:ind w:firstLine="720"/>
        <w:jc w:val="both"/>
        <w:rPr>
          <w:rFonts w:ascii="Times New Roman" w:hAnsi="Times New Roman" w:cs="Times New Roman"/>
          <w:sz w:val="24"/>
          <w:szCs w:val="24"/>
        </w:rPr>
      </w:pPr>
      <w:r w:rsidRPr="000E5562">
        <w:rPr>
          <w:rFonts w:ascii="Times New Roman" w:hAnsi="Times New Roman" w:cs="Times New Roman"/>
          <w:color w:val="EE0000"/>
          <w:sz w:val="24"/>
          <w:szCs w:val="24"/>
        </w:rPr>
        <w:t xml:space="preserve">Table 1 presents a summary of the prevalence of </w:t>
      </w:r>
      <w:r w:rsidRPr="000E5562">
        <w:rPr>
          <w:rFonts w:ascii="Times New Roman" w:hAnsi="Times New Roman" w:cs="Times New Roman"/>
          <w:i/>
          <w:iCs/>
          <w:color w:val="EE0000"/>
          <w:sz w:val="24"/>
          <w:szCs w:val="24"/>
        </w:rPr>
        <w:t>B. hominis</w:t>
      </w:r>
      <w:r w:rsidRPr="000E5562">
        <w:rPr>
          <w:rFonts w:ascii="Times New Roman" w:hAnsi="Times New Roman" w:cs="Times New Roman"/>
          <w:color w:val="EE0000"/>
          <w:sz w:val="24"/>
          <w:szCs w:val="24"/>
        </w:rPr>
        <w:t xml:space="preserve"> in the Philippines across the human population, animal reservoirs, and environmental sources, based on various studies conducted by researchers from 2011 to 2025.</w:t>
      </w:r>
      <w:r>
        <w:rPr>
          <w:rFonts w:ascii="Times New Roman" w:hAnsi="Times New Roman" w:cs="Times New Roman"/>
          <w:sz w:val="24"/>
          <w:szCs w:val="24"/>
        </w:rPr>
        <w:t xml:space="preserve"> </w:t>
      </w:r>
      <w:r w:rsidR="00496172" w:rsidRPr="003D32FA">
        <w:rPr>
          <w:rFonts w:ascii="Times New Roman" w:hAnsi="Times New Roman" w:cs="Times New Roman"/>
          <w:sz w:val="24"/>
          <w:szCs w:val="24"/>
        </w:rPr>
        <w:t xml:space="preserve">The prevalence data provide a comprehensive understanding of the epidemiology of </w:t>
      </w:r>
      <w:r w:rsidR="00496172" w:rsidRPr="003D32FA">
        <w:rPr>
          <w:rFonts w:ascii="Times New Roman" w:hAnsi="Times New Roman" w:cs="Times New Roman"/>
          <w:i/>
          <w:iCs/>
          <w:sz w:val="24"/>
          <w:szCs w:val="24"/>
        </w:rPr>
        <w:t>B. hominis</w:t>
      </w:r>
      <w:r w:rsidR="00496172" w:rsidRPr="003D32FA">
        <w:rPr>
          <w:rFonts w:ascii="Times New Roman" w:hAnsi="Times New Roman" w:cs="Times New Roman"/>
          <w:sz w:val="24"/>
          <w:szCs w:val="24"/>
        </w:rPr>
        <w:t xml:space="preserve"> in the Philippines, showing that it represents a significant public health concern in the Philippines, with high prevalence rates in human population, animal reservoir, and its persistence in the environment. The findings from these studies highlight the importance of adopting public health interventions and policies for </w:t>
      </w:r>
      <w:r w:rsidR="00496172" w:rsidRPr="003D32FA">
        <w:rPr>
          <w:rFonts w:ascii="Times New Roman" w:hAnsi="Times New Roman" w:cs="Times New Roman"/>
          <w:i/>
          <w:iCs/>
          <w:sz w:val="24"/>
          <w:szCs w:val="24"/>
        </w:rPr>
        <w:t>B. hominis</w:t>
      </w:r>
      <w:r w:rsidR="00496172" w:rsidRPr="003D32FA">
        <w:rPr>
          <w:rFonts w:ascii="Times New Roman" w:hAnsi="Times New Roman" w:cs="Times New Roman"/>
          <w:sz w:val="24"/>
          <w:szCs w:val="24"/>
        </w:rPr>
        <w:t xml:space="preserve"> transmission in the Philippines and call for more studies to be conducted regarding its prevalence and potential pathogenicity.</w:t>
      </w:r>
    </w:p>
    <w:p w14:paraId="5ED09AB6" w14:textId="77777777" w:rsidR="00496172" w:rsidRPr="003D32FA" w:rsidRDefault="00496172" w:rsidP="003D32FA">
      <w:pPr>
        <w:spacing w:line="480" w:lineRule="auto"/>
        <w:rPr>
          <w:rFonts w:ascii="Times New Roman" w:hAnsi="Times New Roman" w:cs="Times New Roman"/>
          <w:sz w:val="24"/>
          <w:szCs w:val="24"/>
        </w:rPr>
      </w:pPr>
    </w:p>
    <w:p w14:paraId="03CC1ABA" w14:textId="77777777" w:rsidR="00496172" w:rsidRPr="003D32FA" w:rsidRDefault="00496172" w:rsidP="003D32FA">
      <w:pPr>
        <w:spacing w:line="480" w:lineRule="auto"/>
        <w:rPr>
          <w:rFonts w:ascii="Times New Roman" w:hAnsi="Times New Roman" w:cs="Times New Roman"/>
          <w:sz w:val="24"/>
          <w:szCs w:val="24"/>
        </w:rPr>
      </w:pPr>
    </w:p>
    <w:p w14:paraId="482A068B" w14:textId="77777777" w:rsidR="00496172" w:rsidRPr="003D32FA" w:rsidRDefault="00496172" w:rsidP="003D32FA">
      <w:pPr>
        <w:spacing w:line="480" w:lineRule="auto"/>
        <w:rPr>
          <w:rFonts w:ascii="Times New Roman" w:hAnsi="Times New Roman" w:cs="Times New Roman"/>
          <w:sz w:val="24"/>
          <w:szCs w:val="24"/>
        </w:rPr>
      </w:pPr>
    </w:p>
    <w:p w14:paraId="0A1043EA" w14:textId="68424675" w:rsidR="00DF5175" w:rsidRPr="003D32FA" w:rsidRDefault="00DF5175" w:rsidP="003D32FA">
      <w:pPr>
        <w:spacing w:line="480" w:lineRule="auto"/>
        <w:jc w:val="both"/>
        <w:rPr>
          <w:rFonts w:ascii="Times New Roman" w:hAnsi="Times New Roman" w:cs="Times New Roman"/>
          <w:sz w:val="24"/>
          <w:szCs w:val="24"/>
        </w:rPr>
      </w:pPr>
    </w:p>
    <w:p w14:paraId="113F3C7A" w14:textId="55795036" w:rsidR="008455E7" w:rsidRPr="003D32FA" w:rsidRDefault="008455E7" w:rsidP="003D32FA">
      <w:pPr>
        <w:spacing w:line="480" w:lineRule="auto"/>
        <w:ind w:firstLine="720"/>
        <w:jc w:val="both"/>
        <w:rPr>
          <w:rFonts w:ascii="Times New Roman" w:hAnsi="Times New Roman" w:cs="Times New Roman"/>
          <w:sz w:val="24"/>
          <w:szCs w:val="24"/>
        </w:rPr>
      </w:pPr>
    </w:p>
    <w:p w14:paraId="290BC919" w14:textId="3956443D" w:rsidR="008455E7" w:rsidRPr="003D32FA" w:rsidRDefault="008455E7" w:rsidP="003D32FA">
      <w:pPr>
        <w:spacing w:line="480" w:lineRule="auto"/>
        <w:jc w:val="both"/>
        <w:rPr>
          <w:rFonts w:ascii="Times New Roman" w:hAnsi="Times New Roman" w:cs="Times New Roman"/>
          <w:sz w:val="24"/>
          <w:szCs w:val="24"/>
        </w:rPr>
      </w:pPr>
    </w:p>
    <w:p w14:paraId="442E9647" w14:textId="3DE990E8" w:rsidR="008455E7" w:rsidRPr="003D32FA" w:rsidRDefault="008455E7" w:rsidP="003D32FA">
      <w:pPr>
        <w:spacing w:line="480" w:lineRule="auto"/>
        <w:jc w:val="center"/>
        <w:rPr>
          <w:rFonts w:ascii="Times New Roman" w:hAnsi="Times New Roman" w:cs="Times New Roman"/>
          <w:b/>
          <w:bCs/>
          <w:sz w:val="24"/>
          <w:szCs w:val="24"/>
        </w:rPr>
      </w:pPr>
    </w:p>
    <w:p w14:paraId="4A480599" w14:textId="125EC0E2" w:rsidR="008455E7" w:rsidRPr="003D32FA" w:rsidRDefault="008455E7" w:rsidP="003D32FA">
      <w:pPr>
        <w:spacing w:line="480" w:lineRule="auto"/>
        <w:rPr>
          <w:rFonts w:ascii="Times New Roman" w:hAnsi="Times New Roman" w:cs="Times New Roman"/>
          <w:b/>
          <w:bCs/>
          <w:sz w:val="24"/>
          <w:szCs w:val="24"/>
        </w:rPr>
      </w:pPr>
    </w:p>
    <w:p w14:paraId="480B9653" w14:textId="2F896AD9" w:rsidR="008455E7" w:rsidRPr="003D32FA" w:rsidRDefault="008455E7" w:rsidP="003D32FA">
      <w:pPr>
        <w:spacing w:line="480" w:lineRule="auto"/>
        <w:rPr>
          <w:rFonts w:ascii="Times New Roman" w:hAnsi="Times New Roman" w:cs="Times New Roman"/>
          <w:b/>
          <w:bCs/>
          <w:sz w:val="24"/>
          <w:szCs w:val="24"/>
        </w:rPr>
      </w:pPr>
    </w:p>
    <w:p w14:paraId="43437671" w14:textId="58E2795A" w:rsidR="009234E4" w:rsidRPr="003D32FA" w:rsidRDefault="009234E4" w:rsidP="003D32FA">
      <w:pPr>
        <w:spacing w:line="480" w:lineRule="auto"/>
        <w:jc w:val="both"/>
        <w:rPr>
          <w:rFonts w:ascii="Times New Roman" w:hAnsi="Times New Roman" w:cs="Times New Roman"/>
          <w:sz w:val="24"/>
          <w:szCs w:val="24"/>
        </w:rPr>
      </w:pPr>
    </w:p>
    <w:p w14:paraId="693C5ED2" w14:textId="77777777" w:rsidR="0030523E" w:rsidRPr="003D32FA" w:rsidRDefault="0030523E" w:rsidP="003D32FA">
      <w:pPr>
        <w:spacing w:line="480" w:lineRule="auto"/>
        <w:jc w:val="both"/>
        <w:rPr>
          <w:rFonts w:ascii="Times New Roman" w:hAnsi="Times New Roman" w:cs="Times New Roman"/>
          <w:sz w:val="24"/>
          <w:szCs w:val="24"/>
        </w:rPr>
        <w:sectPr w:rsidR="0030523E" w:rsidRPr="003D32FA" w:rsidSect="006E3346">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08" w:footer="708" w:gutter="0"/>
          <w:cols w:space="403"/>
          <w:docGrid w:linePitch="360"/>
        </w:sectPr>
      </w:pPr>
    </w:p>
    <w:tbl>
      <w:tblPr>
        <w:tblStyle w:val="TableGrid"/>
        <w:tblW w:w="1474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3002"/>
        <w:gridCol w:w="1671"/>
        <w:gridCol w:w="3266"/>
        <w:gridCol w:w="5386"/>
        <w:gridCol w:w="1423"/>
      </w:tblGrid>
      <w:tr w:rsidR="0071126A" w:rsidRPr="00F058FF" w14:paraId="62104C51" w14:textId="77777777" w:rsidTr="00D72378">
        <w:trPr>
          <w:trHeight w:val="423"/>
          <w:jc w:val="center"/>
        </w:trPr>
        <w:tc>
          <w:tcPr>
            <w:tcW w:w="14748" w:type="dxa"/>
            <w:gridSpan w:val="5"/>
            <w:vAlign w:val="center"/>
          </w:tcPr>
          <w:p w14:paraId="561AED59" w14:textId="6BB2F5C9" w:rsidR="0071126A" w:rsidRPr="00D0089F" w:rsidRDefault="0071126A" w:rsidP="00D72378">
            <w:pPr>
              <w:rPr>
                <w:rFonts w:ascii="Times New Roman" w:hAnsi="Times New Roman" w:cs="Times New Roman"/>
                <w:sz w:val="24"/>
                <w:szCs w:val="24"/>
              </w:rPr>
            </w:pPr>
            <w:r w:rsidRPr="00647091">
              <w:rPr>
                <w:rFonts w:ascii="Times New Roman" w:hAnsi="Times New Roman" w:cs="Times New Roman"/>
                <w:b/>
                <w:bCs/>
                <w:sz w:val="24"/>
                <w:szCs w:val="24"/>
              </w:rPr>
              <w:lastRenderedPageBreak/>
              <w:t>Table 1.</w:t>
            </w:r>
            <w:r w:rsidRPr="00D0089F">
              <w:rPr>
                <w:rFonts w:ascii="Times New Roman" w:hAnsi="Times New Roman" w:cs="Times New Roman"/>
                <w:sz w:val="24"/>
                <w:szCs w:val="24"/>
              </w:rPr>
              <w:t xml:space="preserve"> Summary of studies on the prevalence of </w:t>
            </w:r>
            <w:r w:rsidRPr="00D0089F">
              <w:rPr>
                <w:rFonts w:ascii="Times New Roman" w:hAnsi="Times New Roman" w:cs="Times New Roman"/>
                <w:i/>
                <w:iCs/>
                <w:sz w:val="24"/>
                <w:szCs w:val="24"/>
              </w:rPr>
              <w:t>Blastocystis hominis</w:t>
            </w:r>
            <w:r w:rsidRPr="00D0089F">
              <w:rPr>
                <w:rFonts w:ascii="Times New Roman" w:hAnsi="Times New Roman" w:cs="Times New Roman"/>
                <w:sz w:val="24"/>
                <w:szCs w:val="24"/>
              </w:rPr>
              <w:t xml:space="preserve"> in the Philippines</w:t>
            </w:r>
          </w:p>
        </w:tc>
      </w:tr>
      <w:tr w:rsidR="0030523E" w:rsidRPr="00F058FF" w14:paraId="511D7DA2" w14:textId="77777777" w:rsidTr="00D72378">
        <w:trPr>
          <w:trHeight w:val="423"/>
          <w:jc w:val="center"/>
        </w:trPr>
        <w:tc>
          <w:tcPr>
            <w:tcW w:w="3002" w:type="dxa"/>
          </w:tcPr>
          <w:p w14:paraId="6534185A" w14:textId="4D5A5E58" w:rsidR="0030523E" w:rsidRPr="00F058FF" w:rsidRDefault="0030523E" w:rsidP="00D72378">
            <w:pPr>
              <w:pStyle w:val="NoSpacing"/>
              <w:rPr>
                <w:rFonts w:ascii="Times New Roman" w:hAnsi="Times New Roman" w:cs="Times New Roman"/>
                <w:b/>
                <w:bCs/>
                <w:sz w:val="20"/>
                <w:szCs w:val="20"/>
              </w:rPr>
            </w:pPr>
            <w:r w:rsidRPr="00F058FF">
              <w:rPr>
                <w:rFonts w:ascii="Times New Roman" w:hAnsi="Times New Roman" w:cs="Times New Roman"/>
                <w:b/>
                <w:bCs/>
                <w:sz w:val="20"/>
                <w:szCs w:val="20"/>
              </w:rPr>
              <w:t>Study Overview and Sample Collection Details</w:t>
            </w:r>
          </w:p>
        </w:tc>
        <w:tc>
          <w:tcPr>
            <w:tcW w:w="1671" w:type="dxa"/>
          </w:tcPr>
          <w:p w14:paraId="1A9727F0" w14:textId="3B13C68E" w:rsidR="0030523E" w:rsidRPr="00F058FF" w:rsidRDefault="0030523E" w:rsidP="00D72378">
            <w:pPr>
              <w:pStyle w:val="NoSpacing"/>
              <w:rPr>
                <w:rFonts w:ascii="Times New Roman" w:hAnsi="Times New Roman" w:cs="Times New Roman"/>
                <w:b/>
                <w:bCs/>
                <w:sz w:val="20"/>
                <w:szCs w:val="20"/>
              </w:rPr>
            </w:pPr>
            <w:r w:rsidRPr="00F058FF">
              <w:rPr>
                <w:rFonts w:ascii="Times New Roman" w:hAnsi="Times New Roman" w:cs="Times New Roman"/>
                <w:b/>
                <w:bCs/>
                <w:sz w:val="20"/>
                <w:szCs w:val="20"/>
              </w:rPr>
              <w:t>Diagnostic Method</w:t>
            </w:r>
          </w:p>
        </w:tc>
        <w:tc>
          <w:tcPr>
            <w:tcW w:w="3266" w:type="dxa"/>
          </w:tcPr>
          <w:p w14:paraId="33E3E39A" w14:textId="0037D47A" w:rsidR="0030523E" w:rsidRPr="00F058FF" w:rsidRDefault="0030523E" w:rsidP="00D72378">
            <w:pPr>
              <w:pStyle w:val="NoSpacing"/>
              <w:rPr>
                <w:rFonts w:ascii="Times New Roman" w:hAnsi="Times New Roman" w:cs="Times New Roman"/>
                <w:b/>
                <w:bCs/>
                <w:sz w:val="20"/>
                <w:szCs w:val="20"/>
              </w:rPr>
            </w:pPr>
            <w:r w:rsidRPr="00F058FF">
              <w:rPr>
                <w:rFonts w:ascii="Times New Roman" w:hAnsi="Times New Roman" w:cs="Times New Roman"/>
                <w:b/>
                <w:bCs/>
                <w:sz w:val="20"/>
                <w:szCs w:val="20"/>
              </w:rPr>
              <w:t>Purpose</w:t>
            </w:r>
          </w:p>
        </w:tc>
        <w:tc>
          <w:tcPr>
            <w:tcW w:w="5386" w:type="dxa"/>
          </w:tcPr>
          <w:p w14:paraId="489F5460" w14:textId="0F95679A" w:rsidR="0030523E" w:rsidRPr="00F058FF" w:rsidRDefault="0030523E" w:rsidP="00D72378">
            <w:pPr>
              <w:pStyle w:val="NoSpacing"/>
              <w:rPr>
                <w:rFonts w:ascii="Times New Roman" w:hAnsi="Times New Roman" w:cs="Times New Roman"/>
                <w:b/>
                <w:bCs/>
                <w:sz w:val="20"/>
                <w:szCs w:val="20"/>
              </w:rPr>
            </w:pPr>
            <w:r w:rsidRPr="00F058FF">
              <w:rPr>
                <w:rFonts w:ascii="Times New Roman" w:hAnsi="Times New Roman" w:cs="Times New Roman"/>
                <w:b/>
                <w:bCs/>
                <w:sz w:val="20"/>
                <w:szCs w:val="20"/>
              </w:rPr>
              <w:t xml:space="preserve">Prevalence of </w:t>
            </w:r>
            <w:r w:rsidRPr="00F058FF">
              <w:rPr>
                <w:rFonts w:ascii="Times New Roman" w:hAnsi="Times New Roman" w:cs="Times New Roman"/>
                <w:b/>
                <w:bCs/>
                <w:i/>
                <w:iCs/>
                <w:sz w:val="20"/>
                <w:szCs w:val="20"/>
              </w:rPr>
              <w:t>Blastocystis</w:t>
            </w:r>
            <w:r w:rsidR="00F03893" w:rsidRPr="00F058FF">
              <w:rPr>
                <w:rFonts w:ascii="Times New Roman" w:hAnsi="Times New Roman" w:cs="Times New Roman"/>
                <w:b/>
                <w:bCs/>
                <w:i/>
                <w:iCs/>
                <w:sz w:val="20"/>
                <w:szCs w:val="20"/>
              </w:rPr>
              <w:t xml:space="preserve"> hominis</w:t>
            </w:r>
          </w:p>
        </w:tc>
        <w:tc>
          <w:tcPr>
            <w:tcW w:w="1423" w:type="dxa"/>
          </w:tcPr>
          <w:p w14:paraId="2374C104" w14:textId="77777777" w:rsidR="0030523E" w:rsidRPr="00F058FF" w:rsidRDefault="0030523E" w:rsidP="00D72378">
            <w:pPr>
              <w:pStyle w:val="NoSpacing"/>
              <w:rPr>
                <w:rFonts w:ascii="Times New Roman" w:hAnsi="Times New Roman" w:cs="Times New Roman"/>
                <w:b/>
                <w:bCs/>
                <w:sz w:val="20"/>
                <w:szCs w:val="20"/>
              </w:rPr>
            </w:pPr>
            <w:r w:rsidRPr="00F058FF">
              <w:rPr>
                <w:rFonts w:ascii="Times New Roman" w:hAnsi="Times New Roman" w:cs="Times New Roman"/>
                <w:b/>
                <w:bCs/>
                <w:sz w:val="20"/>
                <w:szCs w:val="20"/>
              </w:rPr>
              <w:t>Reference</w:t>
            </w:r>
          </w:p>
        </w:tc>
      </w:tr>
      <w:tr w:rsidR="0030523E" w:rsidRPr="00F058FF" w14:paraId="360A37FD" w14:textId="77777777" w:rsidTr="00D72378">
        <w:trPr>
          <w:trHeight w:val="291"/>
          <w:jc w:val="center"/>
        </w:trPr>
        <w:tc>
          <w:tcPr>
            <w:tcW w:w="14748" w:type="dxa"/>
            <w:gridSpan w:val="5"/>
          </w:tcPr>
          <w:p w14:paraId="73699F1E" w14:textId="77777777" w:rsidR="0030523E" w:rsidRPr="00F058FF" w:rsidRDefault="0030523E" w:rsidP="00D72378">
            <w:pPr>
              <w:jc w:val="center"/>
              <w:rPr>
                <w:rFonts w:ascii="Times New Roman" w:hAnsi="Times New Roman" w:cs="Times New Roman"/>
                <w:b/>
                <w:bCs/>
                <w:sz w:val="20"/>
                <w:szCs w:val="20"/>
              </w:rPr>
            </w:pPr>
            <w:r w:rsidRPr="003D5B6F">
              <w:rPr>
                <w:rFonts w:ascii="Times New Roman" w:hAnsi="Times New Roman" w:cs="Times New Roman"/>
                <w:b/>
                <w:bCs/>
              </w:rPr>
              <w:t>Human Population</w:t>
            </w:r>
          </w:p>
        </w:tc>
      </w:tr>
      <w:tr w:rsidR="0030523E" w:rsidRPr="00F058FF" w14:paraId="68510250" w14:textId="77777777" w:rsidTr="00D72378">
        <w:trPr>
          <w:trHeight w:val="684"/>
          <w:jc w:val="center"/>
        </w:trPr>
        <w:tc>
          <w:tcPr>
            <w:tcW w:w="3002" w:type="dxa"/>
            <w:vMerge w:val="restart"/>
          </w:tcPr>
          <w:p w14:paraId="4112A294" w14:textId="1ADF6A14" w:rsidR="0030523E" w:rsidRPr="00F058FF" w:rsidRDefault="0030523E" w:rsidP="00D72378">
            <w:pPr>
              <w:rPr>
                <w:rFonts w:ascii="Times New Roman" w:hAnsi="Times New Roman" w:cs="Times New Roman"/>
                <w:b/>
                <w:bCs/>
                <w:sz w:val="20"/>
                <w:szCs w:val="20"/>
              </w:rPr>
            </w:pPr>
            <w:r w:rsidRPr="00F058FF">
              <w:rPr>
                <w:rFonts w:ascii="Times New Roman" w:hAnsi="Times New Roman" w:cs="Times New Roman"/>
                <w:sz w:val="20"/>
                <w:szCs w:val="20"/>
              </w:rPr>
              <w:t>Stool samples were collected from 1,271 permanent residents aged 1 to 70 (with median age of 24.7±19.9 years) across 5 villages in an urban community in Pateros, Metro Manila, Philippines</w:t>
            </w:r>
            <w:r w:rsidR="0007797D" w:rsidRPr="00F058FF">
              <w:rPr>
                <w:rFonts w:ascii="Times New Roman" w:hAnsi="Times New Roman" w:cs="Times New Roman"/>
                <w:sz w:val="20"/>
                <w:szCs w:val="20"/>
              </w:rPr>
              <w:t>.</w:t>
            </w:r>
          </w:p>
        </w:tc>
        <w:tc>
          <w:tcPr>
            <w:tcW w:w="1671" w:type="dxa"/>
          </w:tcPr>
          <w:p w14:paraId="02F3CE0D" w14:textId="77777777" w:rsidR="0030523E" w:rsidRPr="00F058FF" w:rsidRDefault="0030523E" w:rsidP="00D72378">
            <w:pPr>
              <w:rPr>
                <w:rFonts w:ascii="Times New Roman" w:hAnsi="Times New Roman" w:cs="Times New Roman"/>
                <w:b/>
                <w:bCs/>
                <w:sz w:val="20"/>
                <w:szCs w:val="20"/>
              </w:rPr>
            </w:pPr>
            <w:r w:rsidRPr="00F058FF">
              <w:rPr>
                <w:rFonts w:ascii="Times New Roman" w:hAnsi="Times New Roman" w:cs="Times New Roman"/>
                <w:sz w:val="20"/>
                <w:szCs w:val="20"/>
              </w:rPr>
              <w:t>In Vitro cultivation</w:t>
            </w:r>
          </w:p>
        </w:tc>
        <w:tc>
          <w:tcPr>
            <w:tcW w:w="3266" w:type="dxa"/>
          </w:tcPr>
          <w:p w14:paraId="5E348ABC"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Fecal samples cultured in diphasic agar medium for 3-7 days at 37°C for growth.</w:t>
            </w:r>
          </w:p>
          <w:p w14:paraId="20BB291D" w14:textId="77777777" w:rsidR="0030523E" w:rsidRPr="00F058FF" w:rsidRDefault="0030523E" w:rsidP="00D72378">
            <w:pPr>
              <w:rPr>
                <w:rFonts w:ascii="Times New Roman" w:hAnsi="Times New Roman" w:cs="Times New Roman"/>
                <w:b/>
                <w:bCs/>
                <w:sz w:val="20"/>
                <w:szCs w:val="20"/>
              </w:rPr>
            </w:pPr>
          </w:p>
        </w:tc>
        <w:tc>
          <w:tcPr>
            <w:tcW w:w="5386" w:type="dxa"/>
            <w:vMerge w:val="restart"/>
          </w:tcPr>
          <w:p w14:paraId="47250DB5" w14:textId="77777777" w:rsidR="0030523E" w:rsidRPr="00F058FF" w:rsidRDefault="0030523E" w:rsidP="00D72378">
            <w:pPr>
              <w:pStyle w:val="NoSpacing"/>
              <w:rPr>
                <w:rFonts w:ascii="Times New Roman" w:hAnsi="Times New Roman" w:cs="Times New Roman"/>
                <w:sz w:val="20"/>
                <w:szCs w:val="20"/>
              </w:rPr>
            </w:pPr>
            <w:r w:rsidRPr="00F058FF">
              <w:rPr>
                <w:rFonts w:ascii="Times New Roman" w:hAnsi="Times New Roman" w:cs="Times New Roman"/>
                <w:sz w:val="20"/>
                <w:szCs w:val="20"/>
              </w:rPr>
              <w:t>Overall prevalence:</w:t>
            </w:r>
          </w:p>
          <w:p w14:paraId="738BC03A" w14:textId="77777777" w:rsidR="0030523E" w:rsidRPr="00F058FF" w:rsidRDefault="0030523E" w:rsidP="00D72378">
            <w:pPr>
              <w:pStyle w:val="NoSpacing"/>
              <w:numPr>
                <w:ilvl w:val="0"/>
                <w:numId w:val="1"/>
              </w:numPr>
              <w:rPr>
                <w:rFonts w:ascii="Times New Roman" w:hAnsi="Times New Roman" w:cs="Times New Roman"/>
                <w:sz w:val="20"/>
                <w:szCs w:val="20"/>
              </w:rPr>
            </w:pPr>
            <w:r w:rsidRPr="00F058FF">
              <w:rPr>
                <w:rFonts w:ascii="Times New Roman" w:hAnsi="Times New Roman" w:cs="Times New Roman"/>
                <w:sz w:val="20"/>
                <w:szCs w:val="20"/>
              </w:rPr>
              <w:t>12.98% infected out of 1271 samples (95% CI: 11.13%–14.83%)</w:t>
            </w:r>
          </w:p>
          <w:p w14:paraId="535A6B5A" w14:textId="77777777" w:rsidR="0030523E" w:rsidRPr="00F058FF" w:rsidRDefault="0030523E" w:rsidP="00D72378">
            <w:pPr>
              <w:pStyle w:val="NoSpacing"/>
              <w:rPr>
                <w:rFonts w:ascii="Times New Roman" w:hAnsi="Times New Roman" w:cs="Times New Roman"/>
                <w:sz w:val="20"/>
                <w:szCs w:val="20"/>
              </w:rPr>
            </w:pPr>
            <w:r w:rsidRPr="00F058FF">
              <w:rPr>
                <w:rFonts w:ascii="Times New Roman" w:hAnsi="Times New Roman" w:cs="Times New Roman"/>
                <w:sz w:val="20"/>
                <w:szCs w:val="20"/>
              </w:rPr>
              <w:t>Prevalence according to Sex</w:t>
            </w:r>
          </w:p>
          <w:p w14:paraId="4ED54651" w14:textId="77777777" w:rsidR="0030523E" w:rsidRPr="00F058FF" w:rsidRDefault="0030523E" w:rsidP="00D72378">
            <w:pPr>
              <w:pStyle w:val="NoSpacing"/>
              <w:numPr>
                <w:ilvl w:val="0"/>
                <w:numId w:val="1"/>
              </w:numPr>
              <w:rPr>
                <w:rFonts w:ascii="Times New Roman" w:hAnsi="Times New Roman" w:cs="Times New Roman"/>
                <w:sz w:val="20"/>
                <w:szCs w:val="20"/>
              </w:rPr>
            </w:pPr>
            <w:r w:rsidRPr="00F058FF">
              <w:rPr>
                <w:rFonts w:ascii="Times New Roman" w:hAnsi="Times New Roman" w:cs="Times New Roman"/>
                <w:sz w:val="20"/>
                <w:szCs w:val="20"/>
              </w:rPr>
              <w:t>Males: 12.65% (95% CI: 9.75%–15.38%)</w:t>
            </w:r>
          </w:p>
          <w:p w14:paraId="66F77D78" w14:textId="77777777" w:rsidR="0030523E" w:rsidRPr="00F058FF" w:rsidRDefault="0030523E" w:rsidP="00D72378">
            <w:pPr>
              <w:pStyle w:val="NoSpacing"/>
              <w:numPr>
                <w:ilvl w:val="0"/>
                <w:numId w:val="1"/>
              </w:numPr>
              <w:rPr>
                <w:rFonts w:ascii="Times New Roman" w:hAnsi="Times New Roman" w:cs="Times New Roman"/>
                <w:sz w:val="20"/>
                <w:szCs w:val="20"/>
              </w:rPr>
            </w:pPr>
            <w:r w:rsidRPr="00F058FF">
              <w:rPr>
                <w:rFonts w:ascii="Times New Roman" w:hAnsi="Times New Roman" w:cs="Times New Roman"/>
                <w:sz w:val="20"/>
                <w:szCs w:val="20"/>
              </w:rPr>
              <w:t>Females: 13.20% (95% CI: 10.81%–15.59%)</w:t>
            </w:r>
          </w:p>
          <w:p w14:paraId="3F9561F3" w14:textId="77777777" w:rsidR="0030523E" w:rsidRPr="00F058FF" w:rsidRDefault="0030523E" w:rsidP="00D72378">
            <w:pPr>
              <w:pStyle w:val="NoSpacing"/>
              <w:rPr>
                <w:rFonts w:ascii="Times New Roman" w:hAnsi="Times New Roman" w:cs="Times New Roman"/>
                <w:sz w:val="20"/>
                <w:szCs w:val="20"/>
              </w:rPr>
            </w:pPr>
            <w:r w:rsidRPr="00F058FF">
              <w:rPr>
                <w:rFonts w:ascii="Times New Roman" w:hAnsi="Times New Roman" w:cs="Times New Roman"/>
                <w:sz w:val="20"/>
                <w:szCs w:val="20"/>
              </w:rPr>
              <w:t>Prevalence according to Age Distribution</w:t>
            </w:r>
          </w:p>
          <w:p w14:paraId="60DB7CB2" w14:textId="77777777" w:rsidR="0030523E" w:rsidRPr="00F058FF" w:rsidRDefault="0030523E" w:rsidP="00D72378">
            <w:pPr>
              <w:pStyle w:val="NoSpacing"/>
              <w:numPr>
                <w:ilvl w:val="0"/>
                <w:numId w:val="2"/>
              </w:numPr>
              <w:rPr>
                <w:rFonts w:ascii="Times New Roman" w:hAnsi="Times New Roman" w:cs="Times New Roman"/>
                <w:sz w:val="20"/>
                <w:szCs w:val="20"/>
              </w:rPr>
            </w:pPr>
            <w:r w:rsidRPr="00F058FF">
              <w:rPr>
                <w:rFonts w:ascii="Times New Roman" w:hAnsi="Times New Roman" w:cs="Times New Roman"/>
                <w:sz w:val="20"/>
                <w:szCs w:val="20"/>
              </w:rPr>
              <w:t>1-4 years: 7.88%</w:t>
            </w:r>
          </w:p>
          <w:p w14:paraId="5F4B9533" w14:textId="77777777" w:rsidR="0030523E" w:rsidRPr="00F058FF" w:rsidRDefault="0030523E" w:rsidP="00D72378">
            <w:pPr>
              <w:pStyle w:val="NoSpacing"/>
              <w:numPr>
                <w:ilvl w:val="0"/>
                <w:numId w:val="2"/>
              </w:numPr>
              <w:rPr>
                <w:rFonts w:ascii="Times New Roman" w:hAnsi="Times New Roman" w:cs="Times New Roman"/>
                <w:sz w:val="20"/>
                <w:szCs w:val="20"/>
              </w:rPr>
            </w:pPr>
            <w:r w:rsidRPr="00F058FF">
              <w:rPr>
                <w:rFonts w:ascii="Times New Roman" w:hAnsi="Times New Roman" w:cs="Times New Roman"/>
                <w:sz w:val="20"/>
                <w:szCs w:val="20"/>
              </w:rPr>
              <w:t>5-14 years: 15.06%</w:t>
            </w:r>
          </w:p>
          <w:p w14:paraId="71A7ABE0" w14:textId="77777777" w:rsidR="0030523E" w:rsidRPr="00F058FF" w:rsidRDefault="0030523E" w:rsidP="00D72378">
            <w:pPr>
              <w:pStyle w:val="NoSpacing"/>
              <w:numPr>
                <w:ilvl w:val="0"/>
                <w:numId w:val="2"/>
              </w:numPr>
              <w:rPr>
                <w:rFonts w:ascii="Times New Roman" w:hAnsi="Times New Roman" w:cs="Times New Roman"/>
                <w:sz w:val="20"/>
                <w:szCs w:val="20"/>
              </w:rPr>
            </w:pPr>
            <w:r w:rsidRPr="00F058FF">
              <w:rPr>
                <w:rFonts w:ascii="Times New Roman" w:hAnsi="Times New Roman" w:cs="Times New Roman"/>
                <w:sz w:val="20"/>
                <w:szCs w:val="20"/>
              </w:rPr>
              <w:t>15-29 years: 13.25%</w:t>
            </w:r>
          </w:p>
          <w:p w14:paraId="4879B539" w14:textId="77777777" w:rsidR="0030523E" w:rsidRPr="00F058FF" w:rsidRDefault="0030523E" w:rsidP="00D72378">
            <w:pPr>
              <w:pStyle w:val="NoSpacing"/>
              <w:numPr>
                <w:ilvl w:val="0"/>
                <w:numId w:val="2"/>
              </w:numPr>
              <w:rPr>
                <w:rFonts w:ascii="Times New Roman" w:hAnsi="Times New Roman" w:cs="Times New Roman"/>
                <w:sz w:val="20"/>
                <w:szCs w:val="20"/>
              </w:rPr>
            </w:pPr>
            <w:r w:rsidRPr="00F058FF">
              <w:rPr>
                <w:rFonts w:ascii="Times New Roman" w:hAnsi="Times New Roman" w:cs="Times New Roman"/>
                <w:sz w:val="20"/>
                <w:szCs w:val="20"/>
              </w:rPr>
              <w:t>30-44 years: 14.23%</w:t>
            </w:r>
          </w:p>
          <w:p w14:paraId="002A2780" w14:textId="77777777" w:rsidR="0030523E" w:rsidRPr="00F058FF" w:rsidRDefault="0030523E" w:rsidP="00D72378">
            <w:pPr>
              <w:pStyle w:val="NoSpacing"/>
              <w:numPr>
                <w:ilvl w:val="0"/>
                <w:numId w:val="2"/>
              </w:numPr>
              <w:rPr>
                <w:rFonts w:ascii="Times New Roman" w:hAnsi="Times New Roman" w:cs="Times New Roman"/>
                <w:sz w:val="20"/>
                <w:szCs w:val="20"/>
              </w:rPr>
            </w:pPr>
            <w:r w:rsidRPr="00F058FF">
              <w:rPr>
                <w:rFonts w:ascii="Times New Roman" w:hAnsi="Times New Roman" w:cs="Times New Roman"/>
                <w:sz w:val="20"/>
                <w:szCs w:val="20"/>
              </w:rPr>
              <w:t>45-59 years: 12.8%</w:t>
            </w:r>
          </w:p>
          <w:p w14:paraId="6C39FA2B" w14:textId="77777777" w:rsidR="0030523E" w:rsidRPr="00F058FF" w:rsidRDefault="0030523E" w:rsidP="00D72378">
            <w:pPr>
              <w:pStyle w:val="NoSpacing"/>
              <w:numPr>
                <w:ilvl w:val="0"/>
                <w:numId w:val="2"/>
              </w:numPr>
              <w:rPr>
                <w:rFonts w:ascii="Times New Roman" w:hAnsi="Times New Roman" w:cs="Times New Roman"/>
                <w:sz w:val="20"/>
                <w:szCs w:val="20"/>
              </w:rPr>
            </w:pPr>
            <w:r w:rsidRPr="00F058FF">
              <w:rPr>
                <w:rFonts w:ascii="Times New Roman" w:hAnsi="Times New Roman" w:cs="Times New Roman"/>
                <w:sz w:val="20"/>
                <w:szCs w:val="20"/>
              </w:rPr>
              <w:t xml:space="preserve">60-69 years: 8.33% </w:t>
            </w:r>
          </w:p>
          <w:p w14:paraId="073F24F5" w14:textId="77777777" w:rsidR="0030523E" w:rsidRPr="00F058FF" w:rsidRDefault="0030523E" w:rsidP="00D72378">
            <w:pPr>
              <w:pStyle w:val="NoSpacing"/>
              <w:numPr>
                <w:ilvl w:val="0"/>
                <w:numId w:val="2"/>
              </w:numPr>
              <w:rPr>
                <w:rFonts w:ascii="Times New Roman" w:hAnsi="Times New Roman" w:cs="Times New Roman"/>
                <w:sz w:val="20"/>
                <w:szCs w:val="20"/>
              </w:rPr>
            </w:pPr>
            <w:r w:rsidRPr="00F058FF">
              <w:rPr>
                <w:rFonts w:ascii="Times New Roman" w:hAnsi="Times New Roman" w:cs="Times New Roman"/>
                <w:sz w:val="20"/>
                <w:szCs w:val="20"/>
              </w:rPr>
              <w:t>70+ years: 20.59%</w:t>
            </w:r>
          </w:p>
          <w:p w14:paraId="1C798B12" w14:textId="77777777" w:rsidR="0030523E" w:rsidRPr="00F058FF" w:rsidRDefault="0030523E" w:rsidP="00D72378">
            <w:pPr>
              <w:pStyle w:val="NoSpacing"/>
              <w:rPr>
                <w:rFonts w:ascii="Times New Roman" w:hAnsi="Times New Roman" w:cs="Times New Roman"/>
                <w:sz w:val="20"/>
                <w:szCs w:val="20"/>
              </w:rPr>
            </w:pPr>
            <w:r w:rsidRPr="00F058FF">
              <w:rPr>
                <w:rFonts w:ascii="Times New Roman" w:hAnsi="Times New Roman" w:cs="Times New Roman"/>
                <w:sz w:val="20"/>
                <w:szCs w:val="20"/>
              </w:rPr>
              <w:t>Prevalence according to Level of Education</w:t>
            </w:r>
          </w:p>
          <w:p w14:paraId="7DD8F0A0" w14:textId="77777777" w:rsidR="0030523E" w:rsidRPr="00F058FF" w:rsidRDefault="0030523E" w:rsidP="00D72378">
            <w:pPr>
              <w:pStyle w:val="NoSpacing"/>
              <w:numPr>
                <w:ilvl w:val="0"/>
                <w:numId w:val="3"/>
              </w:numPr>
              <w:rPr>
                <w:rFonts w:ascii="Times New Roman" w:hAnsi="Times New Roman" w:cs="Times New Roman"/>
                <w:sz w:val="20"/>
                <w:szCs w:val="20"/>
              </w:rPr>
            </w:pPr>
            <w:r w:rsidRPr="00F058FF">
              <w:rPr>
                <w:rFonts w:ascii="Times New Roman" w:hAnsi="Times New Roman" w:cs="Times New Roman"/>
                <w:sz w:val="20"/>
                <w:szCs w:val="20"/>
              </w:rPr>
              <w:t xml:space="preserve">College: 10.27% </w:t>
            </w:r>
          </w:p>
          <w:p w14:paraId="06942815" w14:textId="77777777" w:rsidR="0030523E" w:rsidRPr="00F058FF" w:rsidRDefault="0030523E" w:rsidP="00D72378">
            <w:pPr>
              <w:pStyle w:val="NoSpacing"/>
              <w:numPr>
                <w:ilvl w:val="0"/>
                <w:numId w:val="3"/>
              </w:numPr>
              <w:rPr>
                <w:rFonts w:ascii="Times New Roman" w:hAnsi="Times New Roman" w:cs="Times New Roman"/>
                <w:sz w:val="20"/>
                <w:szCs w:val="20"/>
              </w:rPr>
            </w:pPr>
            <w:r w:rsidRPr="00F058FF">
              <w:rPr>
                <w:rFonts w:ascii="Times New Roman" w:hAnsi="Times New Roman" w:cs="Times New Roman"/>
                <w:sz w:val="20"/>
                <w:szCs w:val="20"/>
              </w:rPr>
              <w:t xml:space="preserve">High school: 15.78%  </w:t>
            </w:r>
          </w:p>
          <w:p w14:paraId="7CD26E24" w14:textId="77777777" w:rsidR="0030523E" w:rsidRPr="00F058FF" w:rsidRDefault="0030523E" w:rsidP="00D72378">
            <w:pPr>
              <w:pStyle w:val="NoSpacing"/>
              <w:numPr>
                <w:ilvl w:val="0"/>
                <w:numId w:val="3"/>
              </w:numPr>
              <w:rPr>
                <w:rFonts w:ascii="Times New Roman" w:hAnsi="Times New Roman" w:cs="Times New Roman"/>
                <w:sz w:val="20"/>
                <w:szCs w:val="20"/>
              </w:rPr>
            </w:pPr>
            <w:r w:rsidRPr="00F058FF">
              <w:rPr>
                <w:rFonts w:ascii="Times New Roman" w:hAnsi="Times New Roman" w:cs="Times New Roman"/>
                <w:sz w:val="20"/>
                <w:szCs w:val="20"/>
              </w:rPr>
              <w:t xml:space="preserve">Elementary: 12.09%  </w:t>
            </w:r>
          </w:p>
          <w:p w14:paraId="2FD843FB" w14:textId="77777777" w:rsidR="0030523E" w:rsidRPr="00F058FF" w:rsidRDefault="0030523E" w:rsidP="00D72378">
            <w:pPr>
              <w:pStyle w:val="NoSpacing"/>
              <w:numPr>
                <w:ilvl w:val="0"/>
                <w:numId w:val="3"/>
              </w:numPr>
              <w:rPr>
                <w:rFonts w:ascii="Times New Roman" w:hAnsi="Times New Roman" w:cs="Times New Roman"/>
                <w:sz w:val="20"/>
                <w:szCs w:val="20"/>
              </w:rPr>
            </w:pPr>
            <w:r w:rsidRPr="00F058FF">
              <w:rPr>
                <w:rFonts w:ascii="Times New Roman" w:hAnsi="Times New Roman" w:cs="Times New Roman"/>
                <w:sz w:val="20"/>
                <w:szCs w:val="20"/>
              </w:rPr>
              <w:t xml:space="preserve">No education: 12.81% </w:t>
            </w:r>
          </w:p>
          <w:p w14:paraId="16B4B30D" w14:textId="77777777" w:rsidR="0030523E" w:rsidRPr="00F058FF" w:rsidRDefault="0030523E" w:rsidP="00D72378">
            <w:pPr>
              <w:pStyle w:val="NoSpacing"/>
              <w:rPr>
                <w:rFonts w:ascii="Times New Roman" w:hAnsi="Times New Roman" w:cs="Times New Roman"/>
                <w:sz w:val="20"/>
                <w:szCs w:val="20"/>
              </w:rPr>
            </w:pPr>
            <w:r w:rsidRPr="00F058FF">
              <w:rPr>
                <w:rFonts w:ascii="Times New Roman" w:hAnsi="Times New Roman" w:cs="Times New Roman"/>
                <w:sz w:val="20"/>
                <w:szCs w:val="20"/>
              </w:rPr>
              <w:t>Association with Dog Ownership</w:t>
            </w:r>
          </w:p>
          <w:p w14:paraId="2D45BC69" w14:textId="77777777" w:rsidR="0030523E" w:rsidRPr="00F058FF" w:rsidRDefault="0030523E" w:rsidP="00D72378">
            <w:pPr>
              <w:pStyle w:val="NoSpacing"/>
              <w:numPr>
                <w:ilvl w:val="0"/>
                <w:numId w:val="4"/>
              </w:numPr>
              <w:rPr>
                <w:rFonts w:ascii="Times New Roman" w:hAnsi="Times New Roman" w:cs="Times New Roman"/>
                <w:sz w:val="20"/>
                <w:szCs w:val="20"/>
              </w:rPr>
            </w:pPr>
            <w:r w:rsidRPr="00F058FF">
              <w:rPr>
                <w:rFonts w:ascii="Times New Roman" w:hAnsi="Times New Roman" w:cs="Times New Roman"/>
                <w:sz w:val="20"/>
                <w:szCs w:val="20"/>
              </w:rPr>
              <w:t xml:space="preserve">Nondog owner: 11.30% </w:t>
            </w:r>
          </w:p>
          <w:p w14:paraId="6759D4F2" w14:textId="77777777" w:rsidR="0030523E" w:rsidRPr="00F058FF" w:rsidRDefault="0030523E" w:rsidP="00D72378">
            <w:pPr>
              <w:pStyle w:val="NoSpacing"/>
              <w:numPr>
                <w:ilvl w:val="0"/>
                <w:numId w:val="4"/>
              </w:numPr>
              <w:rPr>
                <w:rFonts w:ascii="Times New Roman" w:hAnsi="Times New Roman" w:cs="Times New Roman"/>
                <w:sz w:val="20"/>
                <w:szCs w:val="20"/>
              </w:rPr>
            </w:pPr>
            <w:r w:rsidRPr="00F058FF">
              <w:rPr>
                <w:rFonts w:ascii="Times New Roman" w:hAnsi="Times New Roman" w:cs="Times New Roman"/>
                <w:sz w:val="20"/>
                <w:szCs w:val="20"/>
              </w:rPr>
              <w:t>Dog owner: 25.00%.</w:t>
            </w:r>
          </w:p>
          <w:p w14:paraId="7C4B28B8" w14:textId="77777777" w:rsidR="0030523E" w:rsidRPr="00F058FF" w:rsidRDefault="0030523E" w:rsidP="00D72378">
            <w:pPr>
              <w:rPr>
                <w:rFonts w:ascii="Times New Roman" w:hAnsi="Times New Roman" w:cs="Times New Roman"/>
                <w:b/>
                <w:bCs/>
                <w:sz w:val="20"/>
                <w:szCs w:val="20"/>
              </w:rPr>
            </w:pPr>
          </w:p>
        </w:tc>
        <w:tc>
          <w:tcPr>
            <w:tcW w:w="1423" w:type="dxa"/>
            <w:vMerge w:val="restart"/>
          </w:tcPr>
          <w:p w14:paraId="6A660EC1" w14:textId="77777777" w:rsidR="0030523E" w:rsidRPr="00F058FF" w:rsidRDefault="0030523E" w:rsidP="00D72378">
            <w:pPr>
              <w:rPr>
                <w:rFonts w:ascii="Times New Roman" w:hAnsi="Times New Roman" w:cs="Times New Roman"/>
                <w:b/>
                <w:bCs/>
                <w:sz w:val="20"/>
                <w:szCs w:val="20"/>
              </w:rPr>
            </w:pPr>
            <w:r w:rsidRPr="00F058FF">
              <w:rPr>
                <w:rFonts w:ascii="Times New Roman" w:hAnsi="Times New Roman" w:cs="Times New Roman"/>
                <w:sz w:val="20"/>
                <w:szCs w:val="20"/>
              </w:rPr>
              <w:t>Belleza et al., 2015</w:t>
            </w:r>
          </w:p>
        </w:tc>
      </w:tr>
      <w:tr w:rsidR="0030523E" w:rsidRPr="00F058FF" w14:paraId="6DB3124E" w14:textId="77777777" w:rsidTr="00D72378">
        <w:trPr>
          <w:trHeight w:val="684"/>
          <w:jc w:val="center"/>
        </w:trPr>
        <w:tc>
          <w:tcPr>
            <w:tcW w:w="3002" w:type="dxa"/>
            <w:vMerge/>
          </w:tcPr>
          <w:p w14:paraId="06D2AF1A" w14:textId="77777777" w:rsidR="0030523E" w:rsidRPr="00F058FF" w:rsidRDefault="0030523E" w:rsidP="00D72378">
            <w:pPr>
              <w:rPr>
                <w:rFonts w:ascii="Times New Roman" w:hAnsi="Times New Roman" w:cs="Times New Roman"/>
                <w:sz w:val="20"/>
                <w:szCs w:val="20"/>
              </w:rPr>
            </w:pPr>
          </w:p>
        </w:tc>
        <w:tc>
          <w:tcPr>
            <w:tcW w:w="1671" w:type="dxa"/>
          </w:tcPr>
          <w:p w14:paraId="5B942B78" w14:textId="77777777" w:rsidR="0030523E" w:rsidRPr="00F058FF" w:rsidRDefault="0030523E" w:rsidP="00D72378">
            <w:pPr>
              <w:rPr>
                <w:rFonts w:ascii="Times New Roman" w:hAnsi="Times New Roman" w:cs="Times New Roman"/>
                <w:b/>
                <w:bCs/>
                <w:sz w:val="20"/>
                <w:szCs w:val="20"/>
              </w:rPr>
            </w:pPr>
            <w:r w:rsidRPr="00F058FF">
              <w:rPr>
                <w:rFonts w:ascii="Times New Roman" w:hAnsi="Times New Roman" w:cs="Times New Roman"/>
                <w:sz w:val="20"/>
                <w:szCs w:val="20"/>
              </w:rPr>
              <w:t>Light microscopy</w:t>
            </w:r>
          </w:p>
        </w:tc>
        <w:tc>
          <w:tcPr>
            <w:tcW w:w="3266" w:type="dxa"/>
          </w:tcPr>
          <w:p w14:paraId="5E548F2E" w14:textId="77777777" w:rsidR="0030523E" w:rsidRPr="00F058FF" w:rsidRDefault="0030523E" w:rsidP="00D72378">
            <w:pPr>
              <w:rPr>
                <w:rFonts w:ascii="Times New Roman" w:hAnsi="Times New Roman" w:cs="Times New Roman"/>
                <w:b/>
                <w:bCs/>
                <w:sz w:val="20"/>
                <w:szCs w:val="20"/>
              </w:rPr>
            </w:pPr>
            <w:r w:rsidRPr="00F058FF">
              <w:rPr>
                <w:rFonts w:ascii="Times New Roman" w:hAnsi="Times New Roman" w:cs="Times New Roman"/>
                <w:sz w:val="20"/>
                <w:szCs w:val="20"/>
              </w:rPr>
              <w:t xml:space="preserve">Used to detect samples with characteristic morphology </w:t>
            </w:r>
            <w:r w:rsidRPr="00F058FF">
              <w:rPr>
                <w:rFonts w:ascii="Times New Roman" w:hAnsi="Times New Roman" w:cs="Times New Roman"/>
                <w:i/>
                <w:iCs/>
                <w:sz w:val="20"/>
                <w:szCs w:val="20"/>
              </w:rPr>
              <w:t>of B. hominis</w:t>
            </w:r>
            <w:r w:rsidRPr="00F058FF">
              <w:rPr>
                <w:rFonts w:ascii="Times New Roman" w:hAnsi="Times New Roman" w:cs="Times New Roman"/>
                <w:sz w:val="20"/>
                <w:szCs w:val="20"/>
              </w:rPr>
              <w:t>.</w:t>
            </w:r>
          </w:p>
        </w:tc>
        <w:tc>
          <w:tcPr>
            <w:tcW w:w="5386" w:type="dxa"/>
            <w:vMerge/>
          </w:tcPr>
          <w:p w14:paraId="6D05C9D3" w14:textId="77777777" w:rsidR="0030523E" w:rsidRPr="00F058FF" w:rsidRDefault="0030523E" w:rsidP="00D72378">
            <w:pPr>
              <w:rPr>
                <w:rFonts w:ascii="Times New Roman" w:hAnsi="Times New Roman" w:cs="Times New Roman"/>
                <w:b/>
                <w:bCs/>
                <w:sz w:val="20"/>
                <w:szCs w:val="20"/>
              </w:rPr>
            </w:pPr>
          </w:p>
        </w:tc>
        <w:tc>
          <w:tcPr>
            <w:tcW w:w="1423" w:type="dxa"/>
            <w:vMerge/>
          </w:tcPr>
          <w:p w14:paraId="121C95FF" w14:textId="77777777" w:rsidR="0030523E" w:rsidRPr="00F058FF" w:rsidRDefault="0030523E" w:rsidP="00D72378">
            <w:pPr>
              <w:rPr>
                <w:rFonts w:ascii="Times New Roman" w:hAnsi="Times New Roman" w:cs="Times New Roman"/>
                <w:b/>
                <w:bCs/>
                <w:sz w:val="20"/>
                <w:szCs w:val="20"/>
              </w:rPr>
            </w:pPr>
          </w:p>
        </w:tc>
      </w:tr>
      <w:tr w:rsidR="0030523E" w:rsidRPr="00F058FF" w14:paraId="64774B34" w14:textId="77777777" w:rsidTr="00D72378">
        <w:trPr>
          <w:trHeight w:val="684"/>
          <w:jc w:val="center"/>
        </w:trPr>
        <w:tc>
          <w:tcPr>
            <w:tcW w:w="3002" w:type="dxa"/>
            <w:vMerge w:val="restart"/>
          </w:tcPr>
          <w:p w14:paraId="09D21CCC"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 xml:space="preserve">Stool samples coming from 35 asymptomatic individuals living in Metro Manila were analyzed for </w:t>
            </w:r>
            <w:r w:rsidRPr="00F058FF">
              <w:rPr>
                <w:rFonts w:ascii="Times New Roman" w:hAnsi="Times New Roman" w:cs="Times New Roman"/>
                <w:i/>
                <w:iCs/>
                <w:sz w:val="20"/>
                <w:szCs w:val="20"/>
              </w:rPr>
              <w:t>Blastocystis</w:t>
            </w:r>
            <w:r w:rsidRPr="00F058FF">
              <w:rPr>
                <w:rFonts w:ascii="Times New Roman" w:hAnsi="Times New Roman" w:cs="Times New Roman"/>
                <w:sz w:val="20"/>
                <w:szCs w:val="20"/>
              </w:rPr>
              <w:t xml:space="preserve"> species subtypes using molecular methods.</w:t>
            </w:r>
          </w:p>
        </w:tc>
        <w:tc>
          <w:tcPr>
            <w:tcW w:w="1671" w:type="dxa"/>
          </w:tcPr>
          <w:p w14:paraId="5CA7654C"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Culture and microscopy</w:t>
            </w:r>
          </w:p>
        </w:tc>
        <w:tc>
          <w:tcPr>
            <w:tcW w:w="3266" w:type="dxa"/>
          </w:tcPr>
          <w:p w14:paraId="1CE5EE60" w14:textId="0F2BBEB6"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 xml:space="preserve">Approximately 50 mg of </w:t>
            </w:r>
            <w:r w:rsidR="00170DFE" w:rsidRPr="00F058FF">
              <w:rPr>
                <w:rFonts w:ascii="Times New Roman" w:hAnsi="Times New Roman" w:cs="Times New Roman"/>
                <w:sz w:val="20"/>
                <w:szCs w:val="20"/>
              </w:rPr>
              <w:t>fecal</w:t>
            </w:r>
            <w:r w:rsidRPr="00F058FF">
              <w:rPr>
                <w:rFonts w:ascii="Times New Roman" w:hAnsi="Times New Roman" w:cs="Times New Roman"/>
                <w:sz w:val="20"/>
                <w:szCs w:val="20"/>
              </w:rPr>
              <w:t xml:space="preserve"> specimens were aseptically inoculated in diphasic medium and examined microscopically for </w:t>
            </w:r>
            <w:r w:rsidRPr="00F058FF">
              <w:rPr>
                <w:rFonts w:ascii="Times New Roman" w:hAnsi="Times New Roman" w:cs="Times New Roman"/>
                <w:i/>
                <w:iCs/>
                <w:sz w:val="20"/>
                <w:szCs w:val="20"/>
              </w:rPr>
              <w:t>B. hominis</w:t>
            </w:r>
            <w:r w:rsidRPr="00F058FF">
              <w:rPr>
                <w:rFonts w:ascii="Times New Roman" w:hAnsi="Times New Roman" w:cs="Times New Roman"/>
                <w:sz w:val="20"/>
                <w:szCs w:val="20"/>
              </w:rPr>
              <w:t xml:space="preserve"> identification.</w:t>
            </w:r>
          </w:p>
          <w:p w14:paraId="3BF6A394" w14:textId="77777777" w:rsidR="0030523E" w:rsidRPr="00F058FF" w:rsidRDefault="0030523E" w:rsidP="00D72378">
            <w:pPr>
              <w:rPr>
                <w:rFonts w:ascii="Times New Roman" w:hAnsi="Times New Roman" w:cs="Times New Roman"/>
                <w:sz w:val="20"/>
                <w:szCs w:val="20"/>
              </w:rPr>
            </w:pPr>
          </w:p>
        </w:tc>
        <w:tc>
          <w:tcPr>
            <w:tcW w:w="5386" w:type="dxa"/>
            <w:vMerge w:val="restart"/>
          </w:tcPr>
          <w:p w14:paraId="7FEE4246"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Overall prevalence:</w:t>
            </w:r>
          </w:p>
          <w:p w14:paraId="72716BA4" w14:textId="77777777" w:rsidR="0030523E" w:rsidRPr="00F058FF" w:rsidRDefault="0030523E" w:rsidP="00D72378">
            <w:pPr>
              <w:pStyle w:val="ListParagraph"/>
              <w:numPr>
                <w:ilvl w:val="0"/>
                <w:numId w:val="5"/>
              </w:numPr>
              <w:rPr>
                <w:rFonts w:ascii="Times New Roman" w:hAnsi="Times New Roman" w:cs="Times New Roman"/>
                <w:sz w:val="20"/>
                <w:szCs w:val="20"/>
              </w:rPr>
            </w:pPr>
            <w:r w:rsidRPr="00F058FF">
              <w:rPr>
                <w:rFonts w:ascii="Times New Roman" w:hAnsi="Times New Roman" w:cs="Times New Roman"/>
                <w:sz w:val="20"/>
                <w:szCs w:val="20"/>
              </w:rPr>
              <w:t>Overall Prevalence: 82.9% (29 out of 35 samples)</w:t>
            </w:r>
          </w:p>
          <w:p w14:paraId="043B684B"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Subtype distribution</w:t>
            </w:r>
          </w:p>
          <w:p w14:paraId="761CC681" w14:textId="77777777" w:rsidR="0030523E" w:rsidRPr="00F058FF" w:rsidRDefault="0030523E" w:rsidP="00D72378">
            <w:pPr>
              <w:pStyle w:val="ListParagraph"/>
              <w:numPr>
                <w:ilvl w:val="0"/>
                <w:numId w:val="5"/>
              </w:numPr>
              <w:rPr>
                <w:rFonts w:ascii="Times New Roman" w:hAnsi="Times New Roman" w:cs="Times New Roman"/>
                <w:sz w:val="20"/>
                <w:szCs w:val="20"/>
              </w:rPr>
            </w:pPr>
            <w:r w:rsidRPr="00F058FF">
              <w:rPr>
                <w:rFonts w:ascii="Times New Roman" w:hAnsi="Times New Roman" w:cs="Times New Roman"/>
                <w:sz w:val="20"/>
                <w:szCs w:val="20"/>
              </w:rPr>
              <w:t>ST3: 65.5% (19 out of 29 positive samples)</w:t>
            </w:r>
          </w:p>
          <w:p w14:paraId="48F84B15" w14:textId="77777777" w:rsidR="0030523E" w:rsidRPr="00F058FF" w:rsidRDefault="0030523E" w:rsidP="00D72378">
            <w:pPr>
              <w:pStyle w:val="ListParagraph"/>
              <w:numPr>
                <w:ilvl w:val="0"/>
                <w:numId w:val="5"/>
              </w:numPr>
              <w:rPr>
                <w:rFonts w:ascii="Times New Roman" w:hAnsi="Times New Roman" w:cs="Times New Roman"/>
                <w:sz w:val="20"/>
                <w:szCs w:val="20"/>
              </w:rPr>
            </w:pPr>
            <w:r w:rsidRPr="00F058FF">
              <w:rPr>
                <w:rFonts w:ascii="Times New Roman" w:hAnsi="Times New Roman" w:cs="Times New Roman"/>
                <w:sz w:val="20"/>
                <w:szCs w:val="20"/>
              </w:rPr>
              <w:t>ST1: 31.0% (9 out of 29 positive samples)</w:t>
            </w:r>
          </w:p>
          <w:p w14:paraId="78654728" w14:textId="77777777" w:rsidR="0030523E" w:rsidRPr="00F058FF" w:rsidRDefault="0030523E" w:rsidP="00D72378">
            <w:pPr>
              <w:pStyle w:val="ListParagraph"/>
              <w:numPr>
                <w:ilvl w:val="0"/>
                <w:numId w:val="5"/>
              </w:numPr>
              <w:rPr>
                <w:rFonts w:ascii="Times New Roman" w:hAnsi="Times New Roman" w:cs="Times New Roman"/>
                <w:sz w:val="20"/>
                <w:szCs w:val="20"/>
              </w:rPr>
            </w:pPr>
            <w:r w:rsidRPr="00F058FF">
              <w:rPr>
                <w:rFonts w:ascii="Times New Roman" w:hAnsi="Times New Roman" w:cs="Times New Roman"/>
                <w:sz w:val="20"/>
                <w:szCs w:val="20"/>
              </w:rPr>
              <w:t>ST4: 3.44% (1out of 29 positive samples)</w:t>
            </w:r>
          </w:p>
          <w:p w14:paraId="6067C443" w14:textId="77777777" w:rsidR="0030523E" w:rsidRPr="00F058FF" w:rsidRDefault="0030523E" w:rsidP="00D72378">
            <w:pPr>
              <w:rPr>
                <w:rFonts w:ascii="Times New Roman" w:hAnsi="Times New Roman" w:cs="Times New Roman"/>
                <w:sz w:val="20"/>
                <w:szCs w:val="20"/>
              </w:rPr>
            </w:pPr>
          </w:p>
        </w:tc>
        <w:tc>
          <w:tcPr>
            <w:tcW w:w="1423" w:type="dxa"/>
            <w:vMerge w:val="restart"/>
          </w:tcPr>
          <w:p w14:paraId="07E12C90"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Adao et al., 2016</w:t>
            </w:r>
          </w:p>
        </w:tc>
      </w:tr>
      <w:tr w:rsidR="0030523E" w:rsidRPr="00F058FF" w14:paraId="2F004E08" w14:textId="77777777" w:rsidTr="00D72378">
        <w:trPr>
          <w:trHeight w:val="684"/>
          <w:jc w:val="center"/>
        </w:trPr>
        <w:tc>
          <w:tcPr>
            <w:tcW w:w="3002" w:type="dxa"/>
            <w:vMerge/>
          </w:tcPr>
          <w:p w14:paraId="4F8D0140" w14:textId="77777777" w:rsidR="0030523E" w:rsidRPr="00F058FF" w:rsidRDefault="0030523E" w:rsidP="00D72378">
            <w:pPr>
              <w:rPr>
                <w:rFonts w:ascii="Times New Roman" w:hAnsi="Times New Roman" w:cs="Times New Roman"/>
                <w:sz w:val="20"/>
                <w:szCs w:val="20"/>
              </w:rPr>
            </w:pPr>
          </w:p>
        </w:tc>
        <w:tc>
          <w:tcPr>
            <w:tcW w:w="1671" w:type="dxa"/>
          </w:tcPr>
          <w:p w14:paraId="6F75DBA6"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PCR (Polymerase Chain Reaction</w:t>
            </w:r>
          </w:p>
        </w:tc>
        <w:tc>
          <w:tcPr>
            <w:tcW w:w="3266" w:type="dxa"/>
          </w:tcPr>
          <w:p w14:paraId="57D2FA3A" w14:textId="6B833B6F"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 xml:space="preserve">The 600-bp barcoding region of the SSU rRNA gene of </w:t>
            </w:r>
            <w:r w:rsidRPr="00F058FF">
              <w:rPr>
                <w:rFonts w:ascii="Times New Roman" w:hAnsi="Times New Roman" w:cs="Times New Roman"/>
                <w:i/>
                <w:iCs/>
                <w:sz w:val="20"/>
                <w:szCs w:val="20"/>
              </w:rPr>
              <w:t>Blastocystis</w:t>
            </w:r>
            <w:r w:rsidRPr="00F058FF">
              <w:rPr>
                <w:rFonts w:ascii="Times New Roman" w:hAnsi="Times New Roman" w:cs="Times New Roman"/>
                <w:sz w:val="20"/>
                <w:szCs w:val="20"/>
              </w:rPr>
              <w:t xml:space="preserve"> sp. was amplified using the primers RD5 and BhRDr.</w:t>
            </w:r>
          </w:p>
          <w:p w14:paraId="006C3639" w14:textId="77777777" w:rsidR="0030523E" w:rsidRPr="00F058FF" w:rsidRDefault="0030523E" w:rsidP="00D72378">
            <w:pPr>
              <w:rPr>
                <w:rFonts w:ascii="Times New Roman" w:hAnsi="Times New Roman" w:cs="Times New Roman"/>
                <w:sz w:val="20"/>
                <w:szCs w:val="20"/>
              </w:rPr>
            </w:pPr>
          </w:p>
        </w:tc>
        <w:tc>
          <w:tcPr>
            <w:tcW w:w="5386" w:type="dxa"/>
            <w:vMerge/>
          </w:tcPr>
          <w:p w14:paraId="5268CE9F" w14:textId="77777777" w:rsidR="0030523E" w:rsidRPr="00F058FF" w:rsidRDefault="0030523E" w:rsidP="00D72378">
            <w:pPr>
              <w:rPr>
                <w:rFonts w:ascii="Times New Roman" w:hAnsi="Times New Roman" w:cs="Times New Roman"/>
                <w:sz w:val="20"/>
                <w:szCs w:val="20"/>
              </w:rPr>
            </w:pPr>
          </w:p>
        </w:tc>
        <w:tc>
          <w:tcPr>
            <w:tcW w:w="1423" w:type="dxa"/>
            <w:vMerge/>
          </w:tcPr>
          <w:p w14:paraId="19CB8028" w14:textId="77777777" w:rsidR="0030523E" w:rsidRPr="00F058FF" w:rsidRDefault="0030523E" w:rsidP="00D72378">
            <w:pPr>
              <w:rPr>
                <w:rFonts w:ascii="Times New Roman" w:hAnsi="Times New Roman" w:cs="Times New Roman"/>
                <w:sz w:val="20"/>
                <w:szCs w:val="20"/>
              </w:rPr>
            </w:pPr>
          </w:p>
        </w:tc>
      </w:tr>
      <w:tr w:rsidR="0030523E" w:rsidRPr="00F058FF" w14:paraId="3EB103C6" w14:textId="77777777" w:rsidTr="00D72378">
        <w:trPr>
          <w:trHeight w:val="663"/>
          <w:jc w:val="center"/>
        </w:trPr>
        <w:tc>
          <w:tcPr>
            <w:tcW w:w="3002" w:type="dxa"/>
            <w:vMerge w:val="restart"/>
          </w:tcPr>
          <w:p w14:paraId="404986D0"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lastRenderedPageBreak/>
              <w:t xml:space="preserve">Fecal specimens from 1,271 humans and 145 dogs were collected to determine the presence of </w:t>
            </w:r>
            <w:r w:rsidRPr="00F058FF">
              <w:rPr>
                <w:rFonts w:ascii="Times New Roman" w:hAnsi="Times New Roman" w:cs="Times New Roman"/>
                <w:i/>
                <w:iCs/>
                <w:sz w:val="20"/>
                <w:szCs w:val="20"/>
              </w:rPr>
              <w:t xml:space="preserve">Blastocystis </w:t>
            </w:r>
            <w:r w:rsidRPr="00F058FF">
              <w:rPr>
                <w:rFonts w:ascii="Times New Roman" w:hAnsi="Times New Roman" w:cs="Times New Roman"/>
                <w:sz w:val="20"/>
                <w:szCs w:val="20"/>
              </w:rPr>
              <w:t xml:space="preserve">infection and characterize their subtypes. </w:t>
            </w:r>
          </w:p>
        </w:tc>
        <w:tc>
          <w:tcPr>
            <w:tcW w:w="1671" w:type="dxa"/>
          </w:tcPr>
          <w:p w14:paraId="5FC5A012"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Culture and microscopic examination</w:t>
            </w:r>
          </w:p>
          <w:p w14:paraId="3B9AA975" w14:textId="77777777" w:rsidR="0030523E" w:rsidRPr="00F058FF" w:rsidRDefault="0030523E" w:rsidP="00D72378">
            <w:pPr>
              <w:rPr>
                <w:rFonts w:ascii="Times New Roman" w:hAnsi="Times New Roman" w:cs="Times New Roman"/>
                <w:sz w:val="20"/>
                <w:szCs w:val="20"/>
              </w:rPr>
            </w:pPr>
          </w:p>
          <w:p w14:paraId="3763BBF4" w14:textId="77777777" w:rsidR="0030523E" w:rsidRPr="00F058FF" w:rsidRDefault="0030523E" w:rsidP="00D72378">
            <w:pPr>
              <w:rPr>
                <w:rFonts w:ascii="Times New Roman" w:hAnsi="Times New Roman" w:cs="Times New Roman"/>
                <w:sz w:val="20"/>
                <w:szCs w:val="20"/>
              </w:rPr>
            </w:pPr>
          </w:p>
          <w:p w14:paraId="082E604D" w14:textId="77777777" w:rsidR="0030523E" w:rsidRPr="00F058FF" w:rsidRDefault="0030523E" w:rsidP="00D72378">
            <w:pPr>
              <w:rPr>
                <w:rFonts w:ascii="Times New Roman" w:hAnsi="Times New Roman" w:cs="Times New Roman"/>
                <w:sz w:val="20"/>
                <w:szCs w:val="20"/>
              </w:rPr>
            </w:pPr>
          </w:p>
        </w:tc>
        <w:tc>
          <w:tcPr>
            <w:tcW w:w="3266" w:type="dxa"/>
          </w:tcPr>
          <w:p w14:paraId="76312995"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Fecal specimens were collected and inoculated in diphasic culture medium and checked under microscopic examination to determine prevalence.</w:t>
            </w:r>
          </w:p>
        </w:tc>
        <w:tc>
          <w:tcPr>
            <w:tcW w:w="5386" w:type="dxa"/>
            <w:vMerge w:val="restart"/>
          </w:tcPr>
          <w:p w14:paraId="5715417F"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Overall prevalence in humans</w:t>
            </w:r>
          </w:p>
          <w:p w14:paraId="657E9574" w14:textId="77777777" w:rsidR="0030523E" w:rsidRPr="00F058FF" w:rsidRDefault="0030523E" w:rsidP="00D72378">
            <w:pPr>
              <w:pStyle w:val="ListParagraph"/>
              <w:numPr>
                <w:ilvl w:val="0"/>
                <w:numId w:val="7"/>
              </w:numPr>
              <w:rPr>
                <w:rFonts w:ascii="Times New Roman" w:hAnsi="Times New Roman" w:cs="Times New Roman"/>
                <w:sz w:val="20"/>
                <w:szCs w:val="20"/>
              </w:rPr>
            </w:pPr>
            <w:r w:rsidRPr="00F058FF">
              <w:rPr>
                <w:rFonts w:ascii="Times New Roman" w:hAnsi="Times New Roman" w:cs="Times New Roman"/>
                <w:sz w:val="20"/>
                <w:szCs w:val="20"/>
              </w:rPr>
              <w:t>13.0% (95% CI = 11.2–15.0)</w:t>
            </w:r>
          </w:p>
          <w:p w14:paraId="443867B2"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Subtype identified and distribution:</w:t>
            </w:r>
          </w:p>
          <w:p w14:paraId="42EEE85D" w14:textId="77777777" w:rsidR="0030523E" w:rsidRPr="00F058FF" w:rsidRDefault="0030523E" w:rsidP="00D72378">
            <w:pPr>
              <w:pStyle w:val="ListParagraph"/>
              <w:numPr>
                <w:ilvl w:val="0"/>
                <w:numId w:val="7"/>
              </w:numPr>
              <w:rPr>
                <w:rFonts w:ascii="Times New Roman" w:hAnsi="Times New Roman" w:cs="Times New Roman"/>
                <w:sz w:val="20"/>
                <w:szCs w:val="20"/>
              </w:rPr>
            </w:pPr>
            <w:r w:rsidRPr="00F058FF">
              <w:rPr>
                <w:rFonts w:ascii="Times New Roman" w:hAnsi="Times New Roman" w:cs="Times New Roman"/>
                <w:sz w:val="20"/>
                <w:szCs w:val="20"/>
              </w:rPr>
              <w:t>ST1: 22.6% (95% CI: 17.2-29.0%)</w:t>
            </w:r>
          </w:p>
          <w:p w14:paraId="62550350" w14:textId="77777777" w:rsidR="0030523E" w:rsidRPr="00F058FF" w:rsidRDefault="0030523E" w:rsidP="00D72378">
            <w:pPr>
              <w:pStyle w:val="ListParagraph"/>
              <w:numPr>
                <w:ilvl w:val="0"/>
                <w:numId w:val="7"/>
              </w:numPr>
              <w:rPr>
                <w:rFonts w:ascii="Times New Roman" w:hAnsi="Times New Roman" w:cs="Times New Roman"/>
                <w:sz w:val="20"/>
                <w:szCs w:val="20"/>
              </w:rPr>
            </w:pPr>
            <w:r w:rsidRPr="00F058FF">
              <w:rPr>
                <w:rFonts w:ascii="Times New Roman" w:hAnsi="Times New Roman" w:cs="Times New Roman"/>
                <w:sz w:val="20"/>
                <w:szCs w:val="20"/>
              </w:rPr>
              <w:t>ST2: 3.1% (95% CI: 1.3-6.7%)</w:t>
            </w:r>
          </w:p>
          <w:p w14:paraId="726CF17F" w14:textId="77777777" w:rsidR="0030523E" w:rsidRPr="00F058FF" w:rsidRDefault="0030523E" w:rsidP="00D72378">
            <w:pPr>
              <w:pStyle w:val="ListParagraph"/>
              <w:numPr>
                <w:ilvl w:val="0"/>
                <w:numId w:val="7"/>
              </w:numPr>
              <w:rPr>
                <w:rFonts w:ascii="Times New Roman" w:hAnsi="Times New Roman" w:cs="Times New Roman"/>
                <w:sz w:val="20"/>
                <w:szCs w:val="20"/>
              </w:rPr>
            </w:pPr>
            <w:r w:rsidRPr="00F058FF">
              <w:rPr>
                <w:rFonts w:ascii="Times New Roman" w:hAnsi="Times New Roman" w:cs="Times New Roman"/>
                <w:sz w:val="20"/>
                <w:szCs w:val="20"/>
              </w:rPr>
              <w:t>ST3: 41.4% (95% CI: 34.9-48.6%)</w:t>
            </w:r>
          </w:p>
          <w:p w14:paraId="58798262" w14:textId="77777777" w:rsidR="0030523E" w:rsidRPr="00F058FF" w:rsidRDefault="0030523E" w:rsidP="00D72378">
            <w:pPr>
              <w:pStyle w:val="ListParagraph"/>
              <w:numPr>
                <w:ilvl w:val="0"/>
                <w:numId w:val="7"/>
              </w:numPr>
              <w:rPr>
                <w:rFonts w:ascii="Times New Roman" w:hAnsi="Times New Roman" w:cs="Times New Roman"/>
                <w:sz w:val="20"/>
                <w:szCs w:val="20"/>
              </w:rPr>
            </w:pPr>
            <w:r w:rsidRPr="00F058FF">
              <w:rPr>
                <w:rFonts w:ascii="Times New Roman" w:hAnsi="Times New Roman" w:cs="Times New Roman"/>
                <w:sz w:val="20"/>
                <w:szCs w:val="20"/>
              </w:rPr>
              <w:t>ST4: 14.8% (95% CI: 10.5-20.6%)</w:t>
            </w:r>
          </w:p>
          <w:p w14:paraId="488BBD25" w14:textId="77777777" w:rsidR="0030523E" w:rsidRPr="00F058FF" w:rsidRDefault="0030523E" w:rsidP="00D72378">
            <w:pPr>
              <w:pStyle w:val="ListParagraph"/>
              <w:numPr>
                <w:ilvl w:val="0"/>
                <w:numId w:val="7"/>
              </w:numPr>
              <w:rPr>
                <w:rFonts w:ascii="Times New Roman" w:hAnsi="Times New Roman" w:cs="Times New Roman"/>
                <w:sz w:val="20"/>
                <w:szCs w:val="20"/>
              </w:rPr>
            </w:pPr>
            <w:r w:rsidRPr="00F058FF">
              <w:rPr>
                <w:rFonts w:ascii="Times New Roman" w:hAnsi="Times New Roman" w:cs="Times New Roman"/>
                <w:sz w:val="20"/>
                <w:szCs w:val="20"/>
              </w:rPr>
              <w:t>ST5: 4.1% (95% CI: 2.0-8.0%)</w:t>
            </w:r>
          </w:p>
          <w:p w14:paraId="33E42296" w14:textId="77777777" w:rsidR="0030523E" w:rsidRPr="00F058FF" w:rsidRDefault="0030523E" w:rsidP="00D72378">
            <w:pPr>
              <w:pStyle w:val="ListParagraph"/>
              <w:numPr>
                <w:ilvl w:val="0"/>
                <w:numId w:val="7"/>
              </w:numPr>
              <w:rPr>
                <w:rFonts w:ascii="Times New Roman" w:hAnsi="Times New Roman" w:cs="Times New Roman"/>
                <w:sz w:val="20"/>
                <w:szCs w:val="20"/>
              </w:rPr>
            </w:pPr>
            <w:r w:rsidRPr="00F058FF">
              <w:rPr>
                <w:rFonts w:ascii="Times New Roman" w:hAnsi="Times New Roman" w:cs="Times New Roman"/>
                <w:sz w:val="20"/>
                <w:szCs w:val="20"/>
              </w:rPr>
              <w:t>Unknown ST: 13.9% (95% CI: 9.6-19.4%)</w:t>
            </w:r>
          </w:p>
        </w:tc>
        <w:tc>
          <w:tcPr>
            <w:tcW w:w="1423" w:type="dxa"/>
            <w:vMerge w:val="restart"/>
          </w:tcPr>
          <w:p w14:paraId="520FAEC8"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Belleza et al., 2016</w:t>
            </w:r>
          </w:p>
        </w:tc>
      </w:tr>
      <w:tr w:rsidR="0030523E" w:rsidRPr="00F058FF" w14:paraId="642A43CF" w14:textId="77777777" w:rsidTr="00D72378">
        <w:trPr>
          <w:trHeight w:val="416"/>
          <w:jc w:val="center"/>
        </w:trPr>
        <w:tc>
          <w:tcPr>
            <w:tcW w:w="3002" w:type="dxa"/>
            <w:vMerge/>
          </w:tcPr>
          <w:p w14:paraId="27EAA9F5" w14:textId="77777777" w:rsidR="0030523E" w:rsidRPr="00F058FF" w:rsidRDefault="0030523E" w:rsidP="00D72378">
            <w:pPr>
              <w:rPr>
                <w:rFonts w:ascii="Times New Roman" w:hAnsi="Times New Roman" w:cs="Times New Roman"/>
                <w:sz w:val="20"/>
                <w:szCs w:val="20"/>
              </w:rPr>
            </w:pPr>
          </w:p>
        </w:tc>
        <w:tc>
          <w:tcPr>
            <w:tcW w:w="1671" w:type="dxa"/>
          </w:tcPr>
          <w:p w14:paraId="7086EC79" w14:textId="77777777" w:rsidR="0030523E" w:rsidRPr="00F058FF" w:rsidRDefault="0030523E" w:rsidP="00D72378">
            <w:pPr>
              <w:rPr>
                <w:rFonts w:ascii="Times New Roman" w:hAnsi="Times New Roman" w:cs="Times New Roman"/>
                <w:b/>
                <w:bCs/>
                <w:sz w:val="20"/>
                <w:szCs w:val="20"/>
              </w:rPr>
            </w:pPr>
            <w:r w:rsidRPr="00F058FF">
              <w:rPr>
                <w:rFonts w:ascii="Times New Roman" w:hAnsi="Times New Roman" w:cs="Times New Roman"/>
                <w:sz w:val="20"/>
                <w:szCs w:val="20"/>
              </w:rPr>
              <w:t>PCR (Polymerase Chain Reaction</w:t>
            </w:r>
          </w:p>
        </w:tc>
        <w:tc>
          <w:tcPr>
            <w:tcW w:w="3266" w:type="dxa"/>
          </w:tcPr>
          <w:p w14:paraId="032AE14F"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Seven pairs of ST-specific sequence-tagged-site (STS) primers were used for the genotyping of 168 culture isolates.</w:t>
            </w:r>
          </w:p>
        </w:tc>
        <w:tc>
          <w:tcPr>
            <w:tcW w:w="5386" w:type="dxa"/>
            <w:vMerge/>
          </w:tcPr>
          <w:p w14:paraId="1F125736" w14:textId="77777777" w:rsidR="0030523E" w:rsidRPr="00F058FF" w:rsidRDefault="0030523E" w:rsidP="00D72378">
            <w:pPr>
              <w:rPr>
                <w:rFonts w:ascii="Times New Roman" w:hAnsi="Times New Roman" w:cs="Times New Roman"/>
                <w:b/>
                <w:bCs/>
                <w:sz w:val="20"/>
                <w:szCs w:val="20"/>
              </w:rPr>
            </w:pPr>
          </w:p>
        </w:tc>
        <w:tc>
          <w:tcPr>
            <w:tcW w:w="1423" w:type="dxa"/>
            <w:vMerge/>
          </w:tcPr>
          <w:p w14:paraId="1DA87F59" w14:textId="77777777" w:rsidR="0030523E" w:rsidRPr="00F058FF" w:rsidRDefault="0030523E" w:rsidP="00D72378">
            <w:pPr>
              <w:rPr>
                <w:rFonts w:ascii="Times New Roman" w:hAnsi="Times New Roman" w:cs="Times New Roman"/>
                <w:sz w:val="20"/>
                <w:szCs w:val="20"/>
              </w:rPr>
            </w:pPr>
          </w:p>
        </w:tc>
      </w:tr>
      <w:tr w:rsidR="0030523E" w:rsidRPr="00F058FF" w14:paraId="5EBE2E8A" w14:textId="77777777" w:rsidTr="00D72378">
        <w:trPr>
          <w:trHeight w:val="684"/>
          <w:jc w:val="center"/>
        </w:trPr>
        <w:tc>
          <w:tcPr>
            <w:tcW w:w="3002" w:type="dxa"/>
            <w:vMerge w:val="restart"/>
          </w:tcPr>
          <w:p w14:paraId="44784B2B" w14:textId="67DA7A1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 xml:space="preserve">A total of 67 stool samples from inmates in Tarlac Provincial Jail were collected to be analyzed for correlation between </w:t>
            </w:r>
            <w:r w:rsidR="0007797D" w:rsidRPr="00F058FF">
              <w:rPr>
                <w:rFonts w:ascii="Times New Roman" w:hAnsi="Times New Roman" w:cs="Times New Roman"/>
                <w:i/>
                <w:iCs/>
                <w:sz w:val="20"/>
                <w:szCs w:val="20"/>
              </w:rPr>
              <w:t>B. hominis</w:t>
            </w:r>
            <w:r w:rsidRPr="00F058FF">
              <w:rPr>
                <w:rFonts w:ascii="Times New Roman" w:hAnsi="Times New Roman" w:cs="Times New Roman"/>
                <w:sz w:val="20"/>
                <w:szCs w:val="20"/>
              </w:rPr>
              <w:t xml:space="preserve"> and tuberculosis.</w:t>
            </w:r>
          </w:p>
          <w:p w14:paraId="55E88AD5" w14:textId="77777777" w:rsidR="0030523E" w:rsidRPr="00F058FF" w:rsidRDefault="0030523E" w:rsidP="00D72378">
            <w:pPr>
              <w:rPr>
                <w:rFonts w:ascii="Times New Roman" w:hAnsi="Times New Roman" w:cs="Times New Roman"/>
                <w:sz w:val="20"/>
                <w:szCs w:val="20"/>
              </w:rPr>
            </w:pPr>
          </w:p>
        </w:tc>
        <w:tc>
          <w:tcPr>
            <w:tcW w:w="1671" w:type="dxa"/>
          </w:tcPr>
          <w:p w14:paraId="552301E4"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In vitro cultivation</w:t>
            </w:r>
          </w:p>
        </w:tc>
        <w:tc>
          <w:tcPr>
            <w:tcW w:w="3266" w:type="dxa"/>
          </w:tcPr>
          <w:p w14:paraId="3B0C72FA"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Modified Locke Egg (LE) Medium was used to culture samples.</w:t>
            </w:r>
          </w:p>
        </w:tc>
        <w:tc>
          <w:tcPr>
            <w:tcW w:w="5386" w:type="dxa"/>
            <w:vMerge w:val="restart"/>
          </w:tcPr>
          <w:p w14:paraId="67A3B0EB" w14:textId="5783719B"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Overall prevalence among inmates</w:t>
            </w:r>
            <w:r w:rsidR="00870F24" w:rsidRPr="00F058FF">
              <w:rPr>
                <w:rFonts w:ascii="Times New Roman" w:hAnsi="Times New Roman" w:cs="Times New Roman"/>
                <w:sz w:val="20"/>
                <w:szCs w:val="20"/>
              </w:rPr>
              <w:t xml:space="preserve"> who had been diagnosed with TB</w:t>
            </w:r>
          </w:p>
          <w:p w14:paraId="0DC707E2" w14:textId="77777777" w:rsidR="0030523E" w:rsidRPr="00F058FF" w:rsidRDefault="0030523E" w:rsidP="00D72378">
            <w:pPr>
              <w:pStyle w:val="ListParagraph"/>
              <w:numPr>
                <w:ilvl w:val="0"/>
                <w:numId w:val="6"/>
              </w:numPr>
              <w:rPr>
                <w:rFonts w:ascii="Times New Roman" w:hAnsi="Times New Roman" w:cs="Times New Roman"/>
                <w:sz w:val="20"/>
                <w:szCs w:val="20"/>
              </w:rPr>
            </w:pPr>
            <w:r w:rsidRPr="00F058FF">
              <w:rPr>
                <w:rFonts w:ascii="Times New Roman" w:hAnsi="Times New Roman" w:cs="Times New Roman"/>
                <w:sz w:val="20"/>
                <w:szCs w:val="20"/>
              </w:rPr>
              <w:t>4 out of 67 samples (5.97%)</w:t>
            </w:r>
          </w:p>
        </w:tc>
        <w:tc>
          <w:tcPr>
            <w:tcW w:w="1423" w:type="dxa"/>
            <w:vMerge w:val="restart"/>
          </w:tcPr>
          <w:p w14:paraId="27861AC8"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Notorio et al., 2025</w:t>
            </w:r>
          </w:p>
        </w:tc>
      </w:tr>
      <w:tr w:rsidR="0030523E" w:rsidRPr="00F058FF" w14:paraId="6F4FBB21" w14:textId="77777777" w:rsidTr="00D72378">
        <w:trPr>
          <w:trHeight w:val="684"/>
          <w:jc w:val="center"/>
        </w:trPr>
        <w:tc>
          <w:tcPr>
            <w:tcW w:w="3002" w:type="dxa"/>
            <w:vMerge/>
          </w:tcPr>
          <w:p w14:paraId="410C53B4" w14:textId="77777777" w:rsidR="0030523E" w:rsidRPr="00F058FF" w:rsidRDefault="0030523E" w:rsidP="00D72378">
            <w:pPr>
              <w:rPr>
                <w:rFonts w:ascii="Times New Roman" w:hAnsi="Times New Roman" w:cs="Times New Roman"/>
                <w:sz w:val="20"/>
                <w:szCs w:val="20"/>
              </w:rPr>
            </w:pPr>
          </w:p>
        </w:tc>
        <w:tc>
          <w:tcPr>
            <w:tcW w:w="1671" w:type="dxa"/>
          </w:tcPr>
          <w:p w14:paraId="10F3E5A1"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Microscopic examination</w:t>
            </w:r>
          </w:p>
        </w:tc>
        <w:tc>
          <w:tcPr>
            <w:tcW w:w="3266" w:type="dxa"/>
          </w:tcPr>
          <w:p w14:paraId="77BCFEAB"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 xml:space="preserve">Employed direct wet-mount technique to identify different morphological forms </w:t>
            </w:r>
            <w:r w:rsidRPr="00F058FF">
              <w:rPr>
                <w:rFonts w:ascii="Times New Roman" w:hAnsi="Times New Roman" w:cs="Times New Roman"/>
                <w:i/>
                <w:iCs/>
                <w:sz w:val="20"/>
                <w:szCs w:val="20"/>
              </w:rPr>
              <w:t>of B. hominis.</w:t>
            </w:r>
          </w:p>
        </w:tc>
        <w:tc>
          <w:tcPr>
            <w:tcW w:w="5386" w:type="dxa"/>
            <w:vMerge/>
          </w:tcPr>
          <w:p w14:paraId="2882D444" w14:textId="77777777" w:rsidR="0030523E" w:rsidRPr="00F058FF" w:rsidRDefault="0030523E" w:rsidP="00D72378">
            <w:pPr>
              <w:rPr>
                <w:rFonts w:ascii="Times New Roman" w:hAnsi="Times New Roman" w:cs="Times New Roman"/>
                <w:sz w:val="20"/>
                <w:szCs w:val="20"/>
              </w:rPr>
            </w:pPr>
          </w:p>
        </w:tc>
        <w:tc>
          <w:tcPr>
            <w:tcW w:w="1423" w:type="dxa"/>
            <w:vMerge/>
          </w:tcPr>
          <w:p w14:paraId="3E160F24" w14:textId="77777777" w:rsidR="0030523E" w:rsidRPr="00F058FF" w:rsidRDefault="0030523E" w:rsidP="00D72378">
            <w:pPr>
              <w:rPr>
                <w:rFonts w:ascii="Times New Roman" w:hAnsi="Times New Roman" w:cs="Times New Roman"/>
                <w:sz w:val="20"/>
                <w:szCs w:val="20"/>
              </w:rPr>
            </w:pPr>
          </w:p>
        </w:tc>
      </w:tr>
      <w:tr w:rsidR="0030523E" w:rsidRPr="00F058FF" w14:paraId="2CB21A82" w14:textId="77777777" w:rsidTr="00D72378">
        <w:trPr>
          <w:trHeight w:val="684"/>
          <w:jc w:val="center"/>
        </w:trPr>
        <w:tc>
          <w:tcPr>
            <w:tcW w:w="3002" w:type="dxa"/>
          </w:tcPr>
          <w:p w14:paraId="60CAE622" w14:textId="2E7E499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Stool samples from 34 randomly selected food handlers were collected in Bankerohan Public</w:t>
            </w:r>
          </w:p>
          <w:p w14:paraId="62EB9E03"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Market, Davao City.</w:t>
            </w:r>
          </w:p>
        </w:tc>
        <w:tc>
          <w:tcPr>
            <w:tcW w:w="1671" w:type="dxa"/>
          </w:tcPr>
          <w:p w14:paraId="0419B601"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Microscopy with (direct fecal smear and formalin-ether concentration technique)</w:t>
            </w:r>
          </w:p>
        </w:tc>
        <w:tc>
          <w:tcPr>
            <w:tcW w:w="3266" w:type="dxa"/>
          </w:tcPr>
          <w:p w14:paraId="696800D4"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Used to identify different intestinal parasites present in stool samples.</w:t>
            </w:r>
          </w:p>
        </w:tc>
        <w:tc>
          <w:tcPr>
            <w:tcW w:w="5386" w:type="dxa"/>
          </w:tcPr>
          <w:p w14:paraId="55F4B542"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Overall prevalence among food handlers:</w:t>
            </w:r>
          </w:p>
          <w:p w14:paraId="27DA8290" w14:textId="77777777" w:rsidR="0030523E" w:rsidRPr="00F058FF" w:rsidRDefault="0030523E" w:rsidP="00D72378">
            <w:pPr>
              <w:pStyle w:val="ListParagraph"/>
              <w:numPr>
                <w:ilvl w:val="0"/>
                <w:numId w:val="6"/>
              </w:numPr>
              <w:rPr>
                <w:rFonts w:ascii="Times New Roman" w:hAnsi="Times New Roman" w:cs="Times New Roman"/>
                <w:sz w:val="20"/>
                <w:szCs w:val="20"/>
              </w:rPr>
            </w:pPr>
            <w:r w:rsidRPr="00F058FF">
              <w:rPr>
                <w:rFonts w:ascii="Times New Roman" w:hAnsi="Times New Roman" w:cs="Times New Roman"/>
                <w:sz w:val="20"/>
                <w:szCs w:val="20"/>
              </w:rPr>
              <w:t>3 out of 34 samples (8.82%)</w:t>
            </w:r>
          </w:p>
        </w:tc>
        <w:tc>
          <w:tcPr>
            <w:tcW w:w="1423" w:type="dxa"/>
          </w:tcPr>
          <w:p w14:paraId="04CFA323"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Dayaganon et al., 2014</w:t>
            </w:r>
          </w:p>
        </w:tc>
      </w:tr>
      <w:tr w:rsidR="0030523E" w:rsidRPr="00F058FF" w14:paraId="68240808" w14:textId="77777777" w:rsidTr="00D72378">
        <w:trPr>
          <w:trHeight w:val="684"/>
          <w:jc w:val="center"/>
        </w:trPr>
        <w:tc>
          <w:tcPr>
            <w:tcW w:w="3002" w:type="dxa"/>
          </w:tcPr>
          <w:p w14:paraId="47AFA7D2"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 xml:space="preserve">Stool samples collected from 412 participants from 18 barangays in a rural area in Northern Samar, Philippines, examining co-infections with </w:t>
            </w:r>
            <w:r w:rsidRPr="00933979">
              <w:rPr>
                <w:rFonts w:ascii="Times New Roman" w:hAnsi="Times New Roman" w:cs="Times New Roman"/>
                <w:i/>
                <w:iCs/>
                <w:color w:val="EE0000"/>
                <w:sz w:val="20"/>
                <w:szCs w:val="20"/>
              </w:rPr>
              <w:t>Schistosoma japonicum</w:t>
            </w:r>
            <w:r w:rsidRPr="00933979">
              <w:rPr>
                <w:rFonts w:ascii="Times New Roman" w:hAnsi="Times New Roman" w:cs="Times New Roman"/>
                <w:color w:val="EE0000"/>
                <w:sz w:val="20"/>
                <w:szCs w:val="20"/>
              </w:rPr>
              <w:t xml:space="preserve"> </w:t>
            </w:r>
            <w:r w:rsidRPr="00F058FF">
              <w:rPr>
                <w:rFonts w:ascii="Times New Roman" w:hAnsi="Times New Roman" w:cs="Times New Roman"/>
                <w:sz w:val="20"/>
                <w:szCs w:val="20"/>
              </w:rPr>
              <w:t xml:space="preserve">and intestinal protozoans such as </w:t>
            </w:r>
            <w:r w:rsidRPr="00F058FF">
              <w:rPr>
                <w:rFonts w:ascii="Times New Roman" w:hAnsi="Times New Roman" w:cs="Times New Roman"/>
                <w:i/>
                <w:iCs/>
                <w:sz w:val="20"/>
                <w:szCs w:val="20"/>
              </w:rPr>
              <w:t>B. hominis</w:t>
            </w:r>
            <w:r w:rsidRPr="00F058FF">
              <w:rPr>
                <w:rFonts w:ascii="Times New Roman" w:hAnsi="Times New Roman" w:cs="Times New Roman"/>
                <w:sz w:val="20"/>
                <w:szCs w:val="20"/>
              </w:rPr>
              <w:t>.</w:t>
            </w:r>
          </w:p>
        </w:tc>
        <w:tc>
          <w:tcPr>
            <w:tcW w:w="1671" w:type="dxa"/>
          </w:tcPr>
          <w:p w14:paraId="38C5FEC7"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Multiplex qPCR assay</w:t>
            </w:r>
          </w:p>
        </w:tc>
        <w:tc>
          <w:tcPr>
            <w:tcW w:w="3266" w:type="dxa"/>
          </w:tcPr>
          <w:p w14:paraId="1ECBE9D1"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To assess intestinal protozoan infection status (co-infections)</w:t>
            </w:r>
          </w:p>
        </w:tc>
        <w:tc>
          <w:tcPr>
            <w:tcW w:w="5386" w:type="dxa"/>
          </w:tcPr>
          <w:p w14:paraId="0FD5C262"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Overall prevalence in the rural area:</w:t>
            </w:r>
          </w:p>
          <w:p w14:paraId="168ED9B5" w14:textId="77777777" w:rsidR="0030523E" w:rsidRPr="00F058FF" w:rsidRDefault="0030523E" w:rsidP="00D72378">
            <w:pPr>
              <w:pStyle w:val="ListParagraph"/>
              <w:numPr>
                <w:ilvl w:val="0"/>
                <w:numId w:val="6"/>
              </w:numPr>
              <w:rPr>
                <w:rFonts w:ascii="Times New Roman" w:hAnsi="Times New Roman" w:cs="Times New Roman"/>
                <w:sz w:val="20"/>
                <w:szCs w:val="20"/>
              </w:rPr>
            </w:pPr>
            <w:r w:rsidRPr="00F058FF">
              <w:rPr>
                <w:rFonts w:ascii="Times New Roman" w:hAnsi="Times New Roman" w:cs="Times New Roman"/>
                <w:sz w:val="20"/>
                <w:szCs w:val="20"/>
              </w:rPr>
              <w:t>242 out of 412 samples (58.70%)</w:t>
            </w:r>
          </w:p>
          <w:p w14:paraId="0142BFC3"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 xml:space="preserve">Co infection with </w:t>
            </w:r>
            <w:r w:rsidRPr="00933979">
              <w:rPr>
                <w:rFonts w:ascii="Times New Roman" w:hAnsi="Times New Roman" w:cs="Times New Roman"/>
                <w:i/>
                <w:iCs/>
                <w:color w:val="EE0000"/>
                <w:sz w:val="20"/>
                <w:szCs w:val="20"/>
              </w:rPr>
              <w:t>S. Japonicum</w:t>
            </w:r>
            <w:r w:rsidRPr="00933979">
              <w:rPr>
                <w:rFonts w:ascii="Times New Roman" w:hAnsi="Times New Roman" w:cs="Times New Roman"/>
                <w:color w:val="EE0000"/>
                <w:sz w:val="20"/>
                <w:szCs w:val="20"/>
              </w:rPr>
              <w:t xml:space="preserve"> </w:t>
            </w:r>
            <w:r w:rsidRPr="00F058FF">
              <w:rPr>
                <w:rFonts w:ascii="Times New Roman" w:hAnsi="Times New Roman" w:cs="Times New Roman"/>
                <w:sz w:val="20"/>
                <w:szCs w:val="20"/>
              </w:rPr>
              <w:t>(dual infection)</w:t>
            </w:r>
          </w:p>
          <w:p w14:paraId="78C3487E" w14:textId="77777777" w:rsidR="0030523E" w:rsidRPr="00F058FF" w:rsidRDefault="0030523E" w:rsidP="00D72378">
            <w:pPr>
              <w:pStyle w:val="ListParagraph"/>
              <w:numPr>
                <w:ilvl w:val="0"/>
                <w:numId w:val="6"/>
              </w:numPr>
              <w:rPr>
                <w:rFonts w:ascii="Times New Roman" w:hAnsi="Times New Roman" w:cs="Times New Roman"/>
                <w:sz w:val="20"/>
                <w:szCs w:val="20"/>
              </w:rPr>
            </w:pPr>
            <w:r w:rsidRPr="00F058FF">
              <w:rPr>
                <w:rFonts w:ascii="Times New Roman" w:hAnsi="Times New Roman" w:cs="Times New Roman"/>
                <w:sz w:val="20"/>
                <w:szCs w:val="20"/>
              </w:rPr>
              <w:t>110 out of 175 samples (62.9%)</w:t>
            </w:r>
          </w:p>
        </w:tc>
        <w:tc>
          <w:tcPr>
            <w:tcW w:w="1423" w:type="dxa"/>
          </w:tcPr>
          <w:p w14:paraId="76C113DD"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Weerakoon et al., 2018</w:t>
            </w:r>
          </w:p>
        </w:tc>
      </w:tr>
      <w:tr w:rsidR="0030523E" w:rsidRPr="00F058FF" w14:paraId="60CA152B" w14:textId="77777777" w:rsidTr="00D72378">
        <w:trPr>
          <w:trHeight w:val="283"/>
          <w:jc w:val="center"/>
        </w:trPr>
        <w:tc>
          <w:tcPr>
            <w:tcW w:w="14748" w:type="dxa"/>
            <w:gridSpan w:val="5"/>
          </w:tcPr>
          <w:p w14:paraId="495519C2" w14:textId="77777777" w:rsidR="0030523E" w:rsidRPr="00F058FF" w:rsidRDefault="0030523E" w:rsidP="00D72378">
            <w:pPr>
              <w:jc w:val="center"/>
              <w:rPr>
                <w:rFonts w:ascii="Times New Roman" w:hAnsi="Times New Roman" w:cs="Times New Roman"/>
                <w:sz w:val="20"/>
                <w:szCs w:val="20"/>
              </w:rPr>
            </w:pPr>
            <w:r w:rsidRPr="003D5B6F">
              <w:rPr>
                <w:rFonts w:ascii="Times New Roman" w:hAnsi="Times New Roman" w:cs="Times New Roman"/>
                <w:b/>
                <w:bCs/>
              </w:rPr>
              <w:t>Animal Reservoir</w:t>
            </w:r>
          </w:p>
        </w:tc>
      </w:tr>
      <w:tr w:rsidR="009B451C" w:rsidRPr="00F058FF" w14:paraId="3C345028" w14:textId="77777777" w:rsidTr="00D72378">
        <w:trPr>
          <w:trHeight w:val="1620"/>
          <w:jc w:val="center"/>
        </w:trPr>
        <w:tc>
          <w:tcPr>
            <w:tcW w:w="3002" w:type="dxa"/>
            <w:vMerge w:val="restart"/>
          </w:tcPr>
          <w:p w14:paraId="439B0FD4" w14:textId="353260E3"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 xml:space="preserve">Fecal samples from backyard-raised pigs (n=99), cows (n=3) and goats (n=6) and cloacal swabs from chickens (n=34), ducks (n=31), pigeons (n=4), geese (n=2) and turkeys (n=3) were </w:t>
            </w:r>
            <w:r w:rsidRPr="00F058FF">
              <w:rPr>
                <w:rFonts w:ascii="Times New Roman" w:hAnsi="Times New Roman" w:cs="Times New Roman"/>
                <w:sz w:val="20"/>
                <w:szCs w:val="20"/>
              </w:rPr>
              <w:lastRenderedPageBreak/>
              <w:t xml:space="preserve">taken in Victoria and Pila, Laguna, Philippines   </w:t>
            </w:r>
          </w:p>
        </w:tc>
        <w:tc>
          <w:tcPr>
            <w:tcW w:w="1671" w:type="dxa"/>
          </w:tcPr>
          <w:p w14:paraId="2EBAFF80"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lastRenderedPageBreak/>
              <w:t>In-vitro cultivation</w:t>
            </w:r>
          </w:p>
        </w:tc>
        <w:tc>
          <w:tcPr>
            <w:tcW w:w="3266" w:type="dxa"/>
          </w:tcPr>
          <w:p w14:paraId="56E88FEA"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Samples collected were inoculated into a biphasic medium containing horse serum and antibiotics, penicillin and streptomycin to determine prevalence.</w:t>
            </w:r>
          </w:p>
        </w:tc>
        <w:tc>
          <w:tcPr>
            <w:tcW w:w="5386" w:type="dxa"/>
            <w:vMerge w:val="restart"/>
          </w:tcPr>
          <w:p w14:paraId="32E5E99D"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Overall prevalence in animals:</w:t>
            </w:r>
          </w:p>
          <w:p w14:paraId="393FEB33" w14:textId="77777777" w:rsidR="009B451C" w:rsidRPr="00F058FF" w:rsidRDefault="009B451C" w:rsidP="00D72378">
            <w:pPr>
              <w:pStyle w:val="ListParagraph"/>
              <w:numPr>
                <w:ilvl w:val="0"/>
                <w:numId w:val="6"/>
              </w:numPr>
              <w:rPr>
                <w:rFonts w:ascii="Times New Roman" w:hAnsi="Times New Roman" w:cs="Times New Roman"/>
                <w:sz w:val="20"/>
                <w:szCs w:val="20"/>
              </w:rPr>
            </w:pPr>
            <w:r w:rsidRPr="00F058FF">
              <w:rPr>
                <w:rFonts w:ascii="Times New Roman" w:hAnsi="Times New Roman" w:cs="Times New Roman"/>
                <w:sz w:val="20"/>
                <w:szCs w:val="20"/>
              </w:rPr>
              <w:t xml:space="preserve">29 of 182 animals (15.9%) </w:t>
            </w:r>
          </w:p>
          <w:p w14:paraId="642EE216" w14:textId="77777777" w:rsidR="009B451C" w:rsidRPr="00F058FF" w:rsidRDefault="009B451C" w:rsidP="00D72378">
            <w:pPr>
              <w:pStyle w:val="ListParagraph"/>
              <w:rPr>
                <w:rFonts w:ascii="Times New Roman" w:hAnsi="Times New Roman" w:cs="Times New Roman"/>
                <w:sz w:val="20"/>
                <w:szCs w:val="20"/>
              </w:rPr>
            </w:pPr>
            <w:r w:rsidRPr="00F058FF">
              <w:rPr>
                <w:rFonts w:ascii="Times New Roman" w:hAnsi="Times New Roman" w:cs="Times New Roman"/>
                <w:sz w:val="20"/>
                <w:szCs w:val="20"/>
              </w:rPr>
              <w:t xml:space="preserve">    24 isolates from animal fecal samples </w:t>
            </w:r>
          </w:p>
          <w:p w14:paraId="75A448AB" w14:textId="77777777" w:rsidR="009B451C" w:rsidRPr="00F058FF" w:rsidRDefault="009B451C" w:rsidP="00D72378">
            <w:pPr>
              <w:pStyle w:val="ListParagraph"/>
              <w:rPr>
                <w:rFonts w:ascii="Times New Roman" w:hAnsi="Times New Roman" w:cs="Times New Roman"/>
                <w:sz w:val="20"/>
                <w:szCs w:val="20"/>
              </w:rPr>
            </w:pPr>
            <w:r w:rsidRPr="00F058FF">
              <w:rPr>
                <w:rFonts w:ascii="Times New Roman" w:hAnsi="Times New Roman" w:cs="Times New Roman"/>
                <w:sz w:val="20"/>
                <w:szCs w:val="20"/>
              </w:rPr>
              <w:t xml:space="preserve">    5 from anal/cloacal swabs.</w:t>
            </w:r>
          </w:p>
          <w:p w14:paraId="3A84D0CA"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Prevalence in animals that tested positive:</w:t>
            </w:r>
          </w:p>
          <w:p w14:paraId="144ABB37" w14:textId="77777777" w:rsidR="009B451C" w:rsidRPr="00F058FF" w:rsidRDefault="009B451C" w:rsidP="00D72378">
            <w:pPr>
              <w:pStyle w:val="ListParagraph"/>
              <w:numPr>
                <w:ilvl w:val="0"/>
                <w:numId w:val="6"/>
              </w:numPr>
              <w:rPr>
                <w:rFonts w:ascii="Times New Roman" w:hAnsi="Times New Roman" w:cs="Times New Roman"/>
                <w:sz w:val="20"/>
                <w:szCs w:val="20"/>
              </w:rPr>
            </w:pPr>
            <w:r w:rsidRPr="00F058FF">
              <w:rPr>
                <w:rFonts w:ascii="Times New Roman" w:hAnsi="Times New Roman" w:cs="Times New Roman"/>
                <w:sz w:val="20"/>
                <w:szCs w:val="20"/>
              </w:rPr>
              <w:t>Pigs: 20 positive samples out of 99 = 20.20%</w:t>
            </w:r>
          </w:p>
          <w:p w14:paraId="621A9D01" w14:textId="77777777" w:rsidR="009B451C" w:rsidRPr="00F058FF" w:rsidRDefault="009B451C" w:rsidP="00D72378">
            <w:pPr>
              <w:pStyle w:val="ListParagraph"/>
              <w:numPr>
                <w:ilvl w:val="0"/>
                <w:numId w:val="6"/>
              </w:numPr>
              <w:rPr>
                <w:rFonts w:ascii="Times New Roman" w:hAnsi="Times New Roman" w:cs="Times New Roman"/>
                <w:sz w:val="20"/>
                <w:szCs w:val="20"/>
              </w:rPr>
            </w:pPr>
            <w:r w:rsidRPr="00F058FF">
              <w:rPr>
                <w:rFonts w:ascii="Times New Roman" w:hAnsi="Times New Roman" w:cs="Times New Roman"/>
                <w:sz w:val="20"/>
                <w:szCs w:val="20"/>
              </w:rPr>
              <w:lastRenderedPageBreak/>
              <w:t>Chickens: 5 positive samples out of 34 = 14.71%</w:t>
            </w:r>
          </w:p>
          <w:p w14:paraId="320620BB" w14:textId="77777777" w:rsidR="009B451C" w:rsidRPr="00F058FF" w:rsidRDefault="009B451C" w:rsidP="00D72378">
            <w:pPr>
              <w:pStyle w:val="ListParagraph"/>
              <w:numPr>
                <w:ilvl w:val="0"/>
                <w:numId w:val="6"/>
              </w:numPr>
              <w:rPr>
                <w:rFonts w:ascii="Times New Roman" w:hAnsi="Times New Roman" w:cs="Times New Roman"/>
                <w:sz w:val="20"/>
                <w:szCs w:val="20"/>
              </w:rPr>
            </w:pPr>
            <w:r w:rsidRPr="00F058FF">
              <w:rPr>
                <w:rFonts w:ascii="Times New Roman" w:hAnsi="Times New Roman" w:cs="Times New Roman"/>
                <w:sz w:val="20"/>
                <w:szCs w:val="20"/>
              </w:rPr>
              <w:t>Ducks: 3 positive samples out of 31 = 9.68%</w:t>
            </w:r>
          </w:p>
          <w:p w14:paraId="302278F5" w14:textId="77777777" w:rsidR="009B451C" w:rsidRPr="00F058FF" w:rsidRDefault="009B451C" w:rsidP="00D72378">
            <w:pPr>
              <w:pStyle w:val="ListParagraph"/>
              <w:numPr>
                <w:ilvl w:val="0"/>
                <w:numId w:val="6"/>
              </w:numPr>
              <w:rPr>
                <w:rFonts w:ascii="Times New Roman" w:hAnsi="Times New Roman" w:cs="Times New Roman"/>
                <w:sz w:val="20"/>
                <w:szCs w:val="20"/>
              </w:rPr>
            </w:pPr>
            <w:r w:rsidRPr="00F058FF">
              <w:rPr>
                <w:rFonts w:ascii="Times New Roman" w:hAnsi="Times New Roman" w:cs="Times New Roman"/>
                <w:sz w:val="20"/>
                <w:szCs w:val="20"/>
              </w:rPr>
              <w:t>Goat: 1 positive sample out of 6 = 16.67%</w:t>
            </w:r>
          </w:p>
          <w:p w14:paraId="35870C5F"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Subtypes identified in positive samples</w:t>
            </w:r>
          </w:p>
          <w:p w14:paraId="18F2694A" w14:textId="77777777" w:rsidR="009B451C" w:rsidRPr="00F058FF" w:rsidRDefault="009B451C" w:rsidP="00D72378">
            <w:pPr>
              <w:pStyle w:val="ListParagraph"/>
              <w:numPr>
                <w:ilvl w:val="0"/>
                <w:numId w:val="8"/>
              </w:numPr>
              <w:rPr>
                <w:rFonts w:ascii="Times New Roman" w:hAnsi="Times New Roman" w:cs="Times New Roman"/>
                <w:sz w:val="20"/>
                <w:szCs w:val="20"/>
              </w:rPr>
            </w:pPr>
            <w:r w:rsidRPr="00F058FF">
              <w:rPr>
                <w:rFonts w:ascii="Times New Roman" w:hAnsi="Times New Roman" w:cs="Times New Roman"/>
                <w:sz w:val="20"/>
                <w:szCs w:val="20"/>
              </w:rPr>
              <w:t>Pigs = ST1, ST5, and ST7 </w:t>
            </w:r>
          </w:p>
          <w:p w14:paraId="26BDE804" w14:textId="77777777" w:rsidR="009B451C" w:rsidRPr="00F058FF" w:rsidRDefault="009B451C" w:rsidP="00D72378">
            <w:pPr>
              <w:pStyle w:val="ListParagraph"/>
              <w:numPr>
                <w:ilvl w:val="0"/>
                <w:numId w:val="8"/>
              </w:numPr>
              <w:rPr>
                <w:rFonts w:ascii="Times New Roman" w:hAnsi="Times New Roman" w:cs="Times New Roman"/>
                <w:sz w:val="20"/>
                <w:szCs w:val="20"/>
              </w:rPr>
            </w:pPr>
            <w:r w:rsidRPr="00F058FF">
              <w:rPr>
                <w:rFonts w:ascii="Times New Roman" w:hAnsi="Times New Roman" w:cs="Times New Roman"/>
                <w:sz w:val="20"/>
                <w:szCs w:val="20"/>
              </w:rPr>
              <w:t>Chickens = ST7 </w:t>
            </w:r>
          </w:p>
          <w:p w14:paraId="5E7ABAC4" w14:textId="77777777" w:rsidR="009B451C" w:rsidRPr="00F058FF" w:rsidRDefault="009B451C" w:rsidP="00D72378">
            <w:pPr>
              <w:pStyle w:val="ListParagraph"/>
              <w:numPr>
                <w:ilvl w:val="0"/>
                <w:numId w:val="8"/>
              </w:numPr>
              <w:rPr>
                <w:rFonts w:ascii="Times New Roman" w:hAnsi="Times New Roman" w:cs="Times New Roman"/>
                <w:sz w:val="20"/>
                <w:szCs w:val="20"/>
              </w:rPr>
            </w:pPr>
            <w:r w:rsidRPr="00F058FF">
              <w:rPr>
                <w:rFonts w:ascii="Times New Roman" w:hAnsi="Times New Roman" w:cs="Times New Roman"/>
                <w:sz w:val="20"/>
                <w:szCs w:val="20"/>
              </w:rPr>
              <w:t>Ducks = ST7 </w:t>
            </w:r>
          </w:p>
          <w:p w14:paraId="21DE2412" w14:textId="255BDED3" w:rsidR="009B451C" w:rsidRPr="00F058FF" w:rsidRDefault="009B451C" w:rsidP="00D72378">
            <w:pPr>
              <w:pStyle w:val="ListParagraph"/>
              <w:numPr>
                <w:ilvl w:val="0"/>
                <w:numId w:val="6"/>
              </w:numPr>
              <w:rPr>
                <w:rFonts w:ascii="Times New Roman" w:hAnsi="Times New Roman" w:cs="Times New Roman"/>
                <w:sz w:val="20"/>
                <w:szCs w:val="20"/>
              </w:rPr>
            </w:pPr>
            <w:r w:rsidRPr="00F058FF">
              <w:rPr>
                <w:rFonts w:ascii="Times New Roman" w:hAnsi="Times New Roman" w:cs="Times New Roman"/>
                <w:sz w:val="20"/>
                <w:szCs w:val="20"/>
              </w:rPr>
              <w:t>Goat = ST 14</w:t>
            </w:r>
          </w:p>
          <w:p w14:paraId="11FCDAB1" w14:textId="77777777" w:rsidR="009B451C" w:rsidRPr="00F058FF" w:rsidRDefault="009B451C" w:rsidP="00D72378">
            <w:pPr>
              <w:rPr>
                <w:rFonts w:ascii="Times New Roman" w:hAnsi="Times New Roman" w:cs="Times New Roman"/>
                <w:sz w:val="20"/>
                <w:szCs w:val="20"/>
              </w:rPr>
            </w:pPr>
          </w:p>
        </w:tc>
        <w:tc>
          <w:tcPr>
            <w:tcW w:w="1423" w:type="dxa"/>
            <w:vMerge w:val="restart"/>
          </w:tcPr>
          <w:p w14:paraId="2C5E6423"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lastRenderedPageBreak/>
              <w:t>Adao et al., 2016</w:t>
            </w:r>
          </w:p>
        </w:tc>
      </w:tr>
      <w:tr w:rsidR="009B451C" w:rsidRPr="00F058FF" w14:paraId="5908013B" w14:textId="77777777" w:rsidTr="00D72378">
        <w:trPr>
          <w:trHeight w:val="1620"/>
          <w:jc w:val="center"/>
        </w:trPr>
        <w:tc>
          <w:tcPr>
            <w:tcW w:w="3002" w:type="dxa"/>
            <w:vMerge/>
          </w:tcPr>
          <w:p w14:paraId="4C623279" w14:textId="77777777" w:rsidR="009B451C" w:rsidRPr="00F058FF" w:rsidRDefault="009B451C" w:rsidP="00D72378">
            <w:pPr>
              <w:rPr>
                <w:rFonts w:ascii="Times New Roman" w:hAnsi="Times New Roman" w:cs="Times New Roman"/>
                <w:sz w:val="20"/>
                <w:szCs w:val="20"/>
              </w:rPr>
            </w:pPr>
          </w:p>
        </w:tc>
        <w:tc>
          <w:tcPr>
            <w:tcW w:w="1671" w:type="dxa"/>
          </w:tcPr>
          <w:p w14:paraId="6E37189B" w14:textId="0B2B382C"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PCR (Polymerase Chain Reaction)</w:t>
            </w:r>
          </w:p>
        </w:tc>
        <w:tc>
          <w:tcPr>
            <w:tcW w:w="3266" w:type="dxa"/>
          </w:tcPr>
          <w:p w14:paraId="52B7EB8B" w14:textId="141695E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Polymerase chain reaction (PCR) using primers RD5 and BhRDr for subtype identification.</w:t>
            </w:r>
          </w:p>
        </w:tc>
        <w:tc>
          <w:tcPr>
            <w:tcW w:w="5386" w:type="dxa"/>
            <w:vMerge/>
          </w:tcPr>
          <w:p w14:paraId="74D40970" w14:textId="77777777" w:rsidR="009B451C" w:rsidRPr="00F058FF" w:rsidRDefault="009B451C" w:rsidP="00D72378">
            <w:pPr>
              <w:rPr>
                <w:rFonts w:ascii="Times New Roman" w:hAnsi="Times New Roman" w:cs="Times New Roman"/>
                <w:sz w:val="20"/>
                <w:szCs w:val="20"/>
              </w:rPr>
            </w:pPr>
          </w:p>
        </w:tc>
        <w:tc>
          <w:tcPr>
            <w:tcW w:w="1423" w:type="dxa"/>
            <w:vMerge/>
          </w:tcPr>
          <w:p w14:paraId="057AF4A5" w14:textId="77777777" w:rsidR="009B451C" w:rsidRPr="00F058FF" w:rsidRDefault="009B451C" w:rsidP="00D72378">
            <w:pPr>
              <w:rPr>
                <w:rFonts w:ascii="Times New Roman" w:hAnsi="Times New Roman" w:cs="Times New Roman"/>
                <w:sz w:val="20"/>
                <w:szCs w:val="20"/>
              </w:rPr>
            </w:pPr>
          </w:p>
        </w:tc>
      </w:tr>
      <w:tr w:rsidR="009B451C" w:rsidRPr="00F058FF" w14:paraId="4065B2C4" w14:textId="77777777" w:rsidTr="00D72378">
        <w:trPr>
          <w:trHeight w:val="1124"/>
          <w:jc w:val="center"/>
        </w:trPr>
        <w:tc>
          <w:tcPr>
            <w:tcW w:w="3002" w:type="dxa"/>
            <w:vMerge w:val="restart"/>
          </w:tcPr>
          <w:p w14:paraId="76342727"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 xml:space="preserve">Stool samples were collected from chickens (n = 13), ducks (n = 19), turkeys (n = 23), and goats (n = 11) from a farm in Tanay, Rizal; macaques (n = 63) from the Quezon City Parks and Wildlife Bureau (PAWB); a pig from Laguna (n = 1); chickens from Quezon City (n = 5); and toads from Quezon City (n = 64).  Cockroaches (n = 127) were also captured from residential areas in Quezon City and </w:t>
            </w:r>
            <w:r w:rsidRPr="00F058FF">
              <w:rPr>
                <w:rFonts w:ascii="Times New Roman" w:hAnsi="Times New Roman" w:cs="Times New Roman"/>
                <w:i/>
                <w:iCs/>
                <w:sz w:val="20"/>
                <w:szCs w:val="20"/>
              </w:rPr>
              <w:t>Blastocystis</w:t>
            </w:r>
            <w:r w:rsidRPr="00F058FF">
              <w:rPr>
                <w:rFonts w:ascii="Times New Roman" w:hAnsi="Times New Roman" w:cs="Times New Roman"/>
                <w:sz w:val="20"/>
                <w:szCs w:val="20"/>
              </w:rPr>
              <w:t xml:space="preserve"> sp. was collected by inoculating the gut contents.</w:t>
            </w:r>
          </w:p>
        </w:tc>
        <w:tc>
          <w:tcPr>
            <w:tcW w:w="1671" w:type="dxa"/>
          </w:tcPr>
          <w:p w14:paraId="49CEEB51"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Culture method and microscopy</w:t>
            </w:r>
          </w:p>
        </w:tc>
        <w:tc>
          <w:tcPr>
            <w:tcW w:w="3266" w:type="dxa"/>
          </w:tcPr>
          <w:p w14:paraId="22266ED9" w14:textId="7711EB6B"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Samples were inoculated onto a biphasic medium for growth and used microscopy to identify positive samples</w:t>
            </w:r>
            <w:r w:rsidR="00F7557E" w:rsidRPr="00F058FF">
              <w:rPr>
                <w:rFonts w:ascii="Times New Roman" w:hAnsi="Times New Roman" w:cs="Times New Roman"/>
                <w:sz w:val="20"/>
                <w:szCs w:val="20"/>
              </w:rPr>
              <w:t>.</w:t>
            </w:r>
          </w:p>
        </w:tc>
        <w:tc>
          <w:tcPr>
            <w:tcW w:w="5386" w:type="dxa"/>
            <w:vMerge w:val="restart"/>
          </w:tcPr>
          <w:p w14:paraId="37774E4E"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Prevalence in poultry and goats from Tanay, Rizal, and subtypes identified</w:t>
            </w:r>
          </w:p>
          <w:p w14:paraId="7703C725" w14:textId="4E51FA64" w:rsidR="009B451C" w:rsidRPr="00F058FF" w:rsidRDefault="009B451C" w:rsidP="00D72378">
            <w:pPr>
              <w:pStyle w:val="ListParagraph"/>
              <w:numPr>
                <w:ilvl w:val="0"/>
                <w:numId w:val="9"/>
              </w:numPr>
              <w:rPr>
                <w:rFonts w:ascii="Times New Roman" w:hAnsi="Times New Roman" w:cs="Times New Roman"/>
                <w:sz w:val="20"/>
                <w:szCs w:val="20"/>
              </w:rPr>
            </w:pPr>
            <w:r w:rsidRPr="00F058FF">
              <w:rPr>
                <w:rFonts w:ascii="Times New Roman" w:hAnsi="Times New Roman" w:cs="Times New Roman"/>
                <w:sz w:val="20"/>
                <w:szCs w:val="20"/>
              </w:rPr>
              <w:t xml:space="preserve">Chicken: 4 out </w:t>
            </w:r>
            <w:r w:rsidR="00647091">
              <w:rPr>
                <w:rFonts w:ascii="Times New Roman" w:hAnsi="Times New Roman" w:cs="Times New Roman"/>
                <w:sz w:val="20"/>
                <w:szCs w:val="20"/>
              </w:rPr>
              <w:t xml:space="preserve">of </w:t>
            </w:r>
            <w:r w:rsidRPr="00F058FF">
              <w:rPr>
                <w:rFonts w:ascii="Times New Roman" w:hAnsi="Times New Roman" w:cs="Times New Roman"/>
                <w:sz w:val="20"/>
                <w:szCs w:val="20"/>
              </w:rPr>
              <w:t xml:space="preserve">13 samples = 30.77% (ST6 ST7) </w:t>
            </w:r>
          </w:p>
          <w:p w14:paraId="66FBDB36" w14:textId="77777777" w:rsidR="009B451C" w:rsidRPr="00F058FF" w:rsidRDefault="009B451C" w:rsidP="00D72378">
            <w:pPr>
              <w:pStyle w:val="ListParagraph"/>
              <w:numPr>
                <w:ilvl w:val="0"/>
                <w:numId w:val="9"/>
              </w:numPr>
              <w:rPr>
                <w:rFonts w:ascii="Times New Roman" w:hAnsi="Times New Roman" w:cs="Times New Roman"/>
                <w:sz w:val="20"/>
                <w:szCs w:val="20"/>
              </w:rPr>
            </w:pPr>
            <w:r w:rsidRPr="00F058FF">
              <w:rPr>
                <w:rFonts w:ascii="Times New Roman" w:hAnsi="Times New Roman" w:cs="Times New Roman"/>
                <w:sz w:val="20"/>
                <w:szCs w:val="20"/>
              </w:rPr>
              <w:t xml:space="preserve">Duck: 13 out of 19 samples = 68.42% (ST7) </w:t>
            </w:r>
          </w:p>
          <w:p w14:paraId="6715A1B9" w14:textId="77777777" w:rsidR="009B451C" w:rsidRPr="00F058FF" w:rsidRDefault="009B451C" w:rsidP="00D72378">
            <w:pPr>
              <w:pStyle w:val="ListParagraph"/>
              <w:numPr>
                <w:ilvl w:val="0"/>
                <w:numId w:val="9"/>
              </w:numPr>
              <w:rPr>
                <w:rFonts w:ascii="Times New Roman" w:hAnsi="Times New Roman" w:cs="Times New Roman"/>
                <w:sz w:val="20"/>
                <w:szCs w:val="20"/>
              </w:rPr>
            </w:pPr>
            <w:r w:rsidRPr="00F058FF">
              <w:rPr>
                <w:rFonts w:ascii="Times New Roman" w:hAnsi="Times New Roman" w:cs="Times New Roman"/>
                <w:sz w:val="20"/>
                <w:szCs w:val="20"/>
              </w:rPr>
              <w:t>Turkey: 8 out of 23 samples = 34.78% (ST6, ST7)</w:t>
            </w:r>
          </w:p>
          <w:p w14:paraId="43EA20C1" w14:textId="77777777" w:rsidR="009B451C" w:rsidRPr="00F058FF" w:rsidRDefault="009B451C" w:rsidP="00D72378">
            <w:pPr>
              <w:pStyle w:val="ListParagraph"/>
              <w:numPr>
                <w:ilvl w:val="0"/>
                <w:numId w:val="9"/>
              </w:numPr>
              <w:rPr>
                <w:rFonts w:ascii="Times New Roman" w:hAnsi="Times New Roman" w:cs="Times New Roman"/>
                <w:sz w:val="20"/>
                <w:szCs w:val="20"/>
              </w:rPr>
            </w:pPr>
            <w:r w:rsidRPr="00F058FF">
              <w:rPr>
                <w:rFonts w:ascii="Times New Roman" w:hAnsi="Times New Roman" w:cs="Times New Roman"/>
                <w:sz w:val="20"/>
                <w:szCs w:val="20"/>
              </w:rPr>
              <w:t>Goat: 0 out of 11 samples = 0%</w:t>
            </w:r>
          </w:p>
          <w:p w14:paraId="07F77132"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Prevalence in Quezon City</w:t>
            </w:r>
          </w:p>
          <w:p w14:paraId="3ABE3FEA" w14:textId="77777777" w:rsidR="009B451C" w:rsidRPr="00F058FF" w:rsidRDefault="009B451C" w:rsidP="00D72378">
            <w:pPr>
              <w:pStyle w:val="ListParagraph"/>
              <w:numPr>
                <w:ilvl w:val="0"/>
                <w:numId w:val="10"/>
              </w:numPr>
              <w:rPr>
                <w:rFonts w:ascii="Times New Roman" w:hAnsi="Times New Roman" w:cs="Times New Roman"/>
                <w:sz w:val="20"/>
                <w:szCs w:val="20"/>
              </w:rPr>
            </w:pPr>
            <w:r w:rsidRPr="00F058FF">
              <w:rPr>
                <w:rFonts w:ascii="Times New Roman" w:hAnsi="Times New Roman" w:cs="Times New Roman"/>
                <w:sz w:val="20"/>
                <w:szCs w:val="20"/>
              </w:rPr>
              <w:t>Chicken: 1 out of 5 samples = 20% (ST7)</w:t>
            </w:r>
          </w:p>
          <w:p w14:paraId="2FA6C90E" w14:textId="77777777" w:rsidR="009B451C" w:rsidRPr="00F058FF" w:rsidRDefault="009B451C" w:rsidP="00D72378">
            <w:pPr>
              <w:pStyle w:val="ListParagraph"/>
              <w:numPr>
                <w:ilvl w:val="0"/>
                <w:numId w:val="10"/>
              </w:numPr>
              <w:rPr>
                <w:rFonts w:ascii="Times New Roman" w:hAnsi="Times New Roman" w:cs="Times New Roman"/>
                <w:sz w:val="20"/>
                <w:szCs w:val="20"/>
              </w:rPr>
            </w:pPr>
            <w:r w:rsidRPr="00F058FF">
              <w:rPr>
                <w:rFonts w:ascii="Times New Roman" w:hAnsi="Times New Roman" w:cs="Times New Roman"/>
                <w:sz w:val="20"/>
                <w:szCs w:val="20"/>
              </w:rPr>
              <w:t>Toad: 10 out of 64 samples = 15.63% (NMAST 1)</w:t>
            </w:r>
          </w:p>
          <w:p w14:paraId="2C7BD7C8" w14:textId="77777777" w:rsidR="009B451C" w:rsidRPr="00F058FF" w:rsidRDefault="009B451C" w:rsidP="00D72378">
            <w:pPr>
              <w:pStyle w:val="ListParagraph"/>
              <w:numPr>
                <w:ilvl w:val="0"/>
                <w:numId w:val="10"/>
              </w:numPr>
              <w:rPr>
                <w:rFonts w:ascii="Times New Roman" w:hAnsi="Times New Roman" w:cs="Times New Roman"/>
                <w:sz w:val="20"/>
                <w:szCs w:val="20"/>
              </w:rPr>
            </w:pPr>
            <w:r w:rsidRPr="00F058FF">
              <w:rPr>
                <w:rFonts w:ascii="Times New Roman" w:hAnsi="Times New Roman" w:cs="Times New Roman"/>
                <w:sz w:val="20"/>
                <w:szCs w:val="20"/>
              </w:rPr>
              <w:t>Cockroach: 3 out of 127 samples = 2.36% (NMAST 6, mixed)</w:t>
            </w:r>
          </w:p>
          <w:p w14:paraId="2611E841"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Prevalence in macaques from Quezon City Parks and Wildlife Bureau</w:t>
            </w:r>
          </w:p>
          <w:p w14:paraId="1807BBDD" w14:textId="77777777" w:rsidR="009B451C" w:rsidRPr="00F058FF" w:rsidRDefault="009B451C" w:rsidP="00D72378">
            <w:pPr>
              <w:pStyle w:val="ListParagraph"/>
              <w:numPr>
                <w:ilvl w:val="0"/>
                <w:numId w:val="11"/>
              </w:numPr>
              <w:rPr>
                <w:rFonts w:ascii="Times New Roman" w:hAnsi="Times New Roman" w:cs="Times New Roman"/>
                <w:sz w:val="20"/>
                <w:szCs w:val="20"/>
              </w:rPr>
            </w:pPr>
            <w:r w:rsidRPr="00F058FF">
              <w:rPr>
                <w:rFonts w:ascii="Times New Roman" w:hAnsi="Times New Roman" w:cs="Times New Roman"/>
                <w:sz w:val="20"/>
                <w:szCs w:val="20"/>
              </w:rPr>
              <w:t>Macaque: 18 out of 63 samples = 28.57% (ST1, ST3, NMAST 1)</w:t>
            </w:r>
          </w:p>
          <w:p w14:paraId="7BBED43D"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Prevalence in Laguna</w:t>
            </w:r>
          </w:p>
          <w:p w14:paraId="62E128E3" w14:textId="77777777" w:rsidR="009B451C" w:rsidRPr="00F058FF" w:rsidRDefault="009B451C" w:rsidP="00D72378">
            <w:pPr>
              <w:pStyle w:val="ListParagraph"/>
              <w:numPr>
                <w:ilvl w:val="0"/>
                <w:numId w:val="11"/>
              </w:numPr>
              <w:rPr>
                <w:rFonts w:ascii="Times New Roman" w:hAnsi="Times New Roman" w:cs="Times New Roman"/>
                <w:sz w:val="20"/>
                <w:szCs w:val="20"/>
              </w:rPr>
            </w:pPr>
            <w:r w:rsidRPr="00F058FF">
              <w:rPr>
                <w:rFonts w:ascii="Times New Roman" w:hAnsi="Times New Roman" w:cs="Times New Roman"/>
                <w:sz w:val="20"/>
                <w:szCs w:val="20"/>
              </w:rPr>
              <w:t>Pig: 1 out of 1 sample = 100% (ST5)</w:t>
            </w:r>
          </w:p>
          <w:p w14:paraId="72EA68B3" w14:textId="77777777" w:rsidR="009B451C" w:rsidRPr="00F058FF" w:rsidRDefault="009B451C" w:rsidP="00D72378">
            <w:pPr>
              <w:rPr>
                <w:rFonts w:ascii="Times New Roman" w:hAnsi="Times New Roman" w:cs="Times New Roman"/>
                <w:sz w:val="20"/>
                <w:szCs w:val="20"/>
              </w:rPr>
            </w:pPr>
          </w:p>
        </w:tc>
        <w:tc>
          <w:tcPr>
            <w:tcW w:w="1423" w:type="dxa"/>
            <w:vMerge w:val="restart"/>
          </w:tcPr>
          <w:p w14:paraId="25BF8BDF"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Adao &amp; Rivera, 2024</w:t>
            </w:r>
          </w:p>
        </w:tc>
      </w:tr>
      <w:tr w:rsidR="009B451C" w:rsidRPr="00F058FF" w14:paraId="7EAB2551" w14:textId="77777777" w:rsidTr="00D72378">
        <w:trPr>
          <w:trHeight w:val="684"/>
          <w:jc w:val="center"/>
        </w:trPr>
        <w:tc>
          <w:tcPr>
            <w:tcW w:w="3002" w:type="dxa"/>
            <w:vMerge/>
          </w:tcPr>
          <w:p w14:paraId="1887F15B" w14:textId="77777777" w:rsidR="009B451C" w:rsidRPr="00F058FF" w:rsidRDefault="009B451C" w:rsidP="00D72378">
            <w:pPr>
              <w:rPr>
                <w:rFonts w:ascii="Times New Roman" w:hAnsi="Times New Roman" w:cs="Times New Roman"/>
                <w:sz w:val="20"/>
                <w:szCs w:val="20"/>
              </w:rPr>
            </w:pPr>
          </w:p>
        </w:tc>
        <w:tc>
          <w:tcPr>
            <w:tcW w:w="1671" w:type="dxa"/>
          </w:tcPr>
          <w:p w14:paraId="3242F5F8"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Polymerase chain reaction (PCR)</w:t>
            </w:r>
          </w:p>
        </w:tc>
        <w:tc>
          <w:tcPr>
            <w:tcW w:w="3266" w:type="dxa"/>
          </w:tcPr>
          <w:p w14:paraId="4DE2F0A0" w14:textId="10E9DEB8"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 xml:space="preserve">Performed using the primers RD5 and BhRDr to amplify the 600-bp barcoding region of the </w:t>
            </w:r>
            <w:r w:rsidRPr="00F058FF">
              <w:rPr>
                <w:rFonts w:ascii="Times New Roman" w:hAnsi="Times New Roman" w:cs="Times New Roman"/>
                <w:i/>
                <w:iCs/>
                <w:sz w:val="20"/>
                <w:szCs w:val="20"/>
              </w:rPr>
              <w:t>Blastocystis</w:t>
            </w:r>
            <w:r w:rsidRPr="00F058FF">
              <w:rPr>
                <w:rFonts w:ascii="Times New Roman" w:hAnsi="Times New Roman" w:cs="Times New Roman"/>
                <w:sz w:val="20"/>
                <w:szCs w:val="20"/>
              </w:rPr>
              <w:t xml:space="preserve"> sp. for subtyping</w:t>
            </w:r>
            <w:r w:rsidR="00F7557E" w:rsidRPr="00F058FF">
              <w:rPr>
                <w:rFonts w:ascii="Times New Roman" w:hAnsi="Times New Roman" w:cs="Times New Roman"/>
                <w:sz w:val="20"/>
                <w:szCs w:val="20"/>
              </w:rPr>
              <w:t>.</w:t>
            </w:r>
          </w:p>
        </w:tc>
        <w:tc>
          <w:tcPr>
            <w:tcW w:w="5386" w:type="dxa"/>
            <w:vMerge/>
          </w:tcPr>
          <w:p w14:paraId="1636198C" w14:textId="77777777" w:rsidR="009B451C" w:rsidRPr="00F058FF" w:rsidRDefault="009B451C" w:rsidP="00D72378">
            <w:pPr>
              <w:rPr>
                <w:rFonts w:ascii="Times New Roman" w:hAnsi="Times New Roman" w:cs="Times New Roman"/>
                <w:sz w:val="20"/>
                <w:szCs w:val="20"/>
              </w:rPr>
            </w:pPr>
          </w:p>
        </w:tc>
        <w:tc>
          <w:tcPr>
            <w:tcW w:w="1423" w:type="dxa"/>
            <w:vMerge/>
          </w:tcPr>
          <w:p w14:paraId="347EC728" w14:textId="77777777" w:rsidR="009B451C" w:rsidRPr="00F058FF" w:rsidRDefault="009B451C" w:rsidP="00D72378">
            <w:pPr>
              <w:rPr>
                <w:rFonts w:ascii="Times New Roman" w:hAnsi="Times New Roman" w:cs="Times New Roman"/>
                <w:sz w:val="20"/>
                <w:szCs w:val="20"/>
              </w:rPr>
            </w:pPr>
          </w:p>
        </w:tc>
      </w:tr>
      <w:tr w:rsidR="009B451C" w:rsidRPr="00F058FF" w14:paraId="0AAE3536" w14:textId="77777777" w:rsidTr="00D72378">
        <w:trPr>
          <w:trHeight w:val="684"/>
          <w:jc w:val="center"/>
        </w:trPr>
        <w:tc>
          <w:tcPr>
            <w:tcW w:w="3002" w:type="dxa"/>
            <w:vMerge w:val="restart"/>
          </w:tcPr>
          <w:p w14:paraId="06C381D3"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 xml:space="preserve">Fresh fecal samples were collected from a total of 122 backyard raised pigs in 36 farms from Municipality of Bay, Province of Laguna. </w:t>
            </w:r>
          </w:p>
        </w:tc>
        <w:tc>
          <w:tcPr>
            <w:tcW w:w="1671" w:type="dxa"/>
          </w:tcPr>
          <w:p w14:paraId="155836A0"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Culture</w:t>
            </w:r>
          </w:p>
        </w:tc>
        <w:tc>
          <w:tcPr>
            <w:tcW w:w="3266" w:type="dxa"/>
          </w:tcPr>
          <w:p w14:paraId="743449BA"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Approximately 50 mg of feces was inoculated, in duplicate, in diphasic medium to allow growth of Blastocystis within 48-72 hours at 37° Celsius.</w:t>
            </w:r>
          </w:p>
        </w:tc>
        <w:tc>
          <w:tcPr>
            <w:tcW w:w="5386" w:type="dxa"/>
            <w:vMerge w:val="restart"/>
          </w:tcPr>
          <w:p w14:paraId="14FD47DA"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Overall prevalence among farms in Bay, Province of Laguna</w:t>
            </w:r>
          </w:p>
          <w:p w14:paraId="53BA4398" w14:textId="77777777" w:rsidR="009B451C" w:rsidRPr="00F058FF" w:rsidRDefault="009B451C" w:rsidP="00D72378">
            <w:pPr>
              <w:pStyle w:val="ListParagraph"/>
              <w:numPr>
                <w:ilvl w:val="0"/>
                <w:numId w:val="11"/>
              </w:numPr>
              <w:rPr>
                <w:rFonts w:ascii="Times New Roman" w:hAnsi="Times New Roman" w:cs="Times New Roman"/>
                <w:sz w:val="20"/>
                <w:szCs w:val="20"/>
              </w:rPr>
            </w:pPr>
            <w:r w:rsidRPr="00F058FF">
              <w:rPr>
                <w:rFonts w:ascii="Times New Roman" w:hAnsi="Times New Roman" w:cs="Times New Roman"/>
                <w:sz w:val="20"/>
                <w:szCs w:val="20"/>
              </w:rPr>
              <w:t>24 out of 36 farms</w:t>
            </w:r>
          </w:p>
          <w:p w14:paraId="2BC01069" w14:textId="68BBC126" w:rsidR="009B451C" w:rsidRPr="00F058FF" w:rsidRDefault="009B451C" w:rsidP="00D72378">
            <w:pPr>
              <w:pStyle w:val="ListParagraph"/>
              <w:numPr>
                <w:ilvl w:val="0"/>
                <w:numId w:val="11"/>
              </w:numPr>
              <w:rPr>
                <w:rFonts w:ascii="Times New Roman" w:hAnsi="Times New Roman" w:cs="Times New Roman"/>
                <w:sz w:val="20"/>
                <w:szCs w:val="20"/>
              </w:rPr>
            </w:pPr>
            <w:r w:rsidRPr="00F058FF">
              <w:rPr>
                <w:rFonts w:ascii="Times New Roman" w:hAnsi="Times New Roman" w:cs="Times New Roman"/>
                <w:sz w:val="20"/>
                <w:szCs w:val="20"/>
              </w:rPr>
              <w:t>Forms observed = granular and cystic forms</w:t>
            </w:r>
          </w:p>
          <w:p w14:paraId="02425F18"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Overall prevalence in pigs</w:t>
            </w:r>
          </w:p>
          <w:p w14:paraId="4746D21E" w14:textId="77777777" w:rsidR="009B451C" w:rsidRPr="00F058FF" w:rsidRDefault="009B451C" w:rsidP="00D72378">
            <w:pPr>
              <w:pStyle w:val="ListParagraph"/>
              <w:numPr>
                <w:ilvl w:val="0"/>
                <w:numId w:val="12"/>
              </w:numPr>
              <w:rPr>
                <w:rFonts w:ascii="Times New Roman" w:hAnsi="Times New Roman" w:cs="Times New Roman"/>
                <w:sz w:val="20"/>
                <w:szCs w:val="20"/>
              </w:rPr>
            </w:pPr>
            <w:r w:rsidRPr="00F058FF">
              <w:rPr>
                <w:rFonts w:ascii="Times New Roman" w:hAnsi="Times New Roman" w:cs="Times New Roman"/>
                <w:sz w:val="20"/>
                <w:szCs w:val="20"/>
              </w:rPr>
              <w:t>Pigs: 38.5%</w:t>
            </w:r>
          </w:p>
          <w:p w14:paraId="02F79DCC"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Prevalence according to classification</w:t>
            </w:r>
          </w:p>
          <w:p w14:paraId="706D5DDE" w14:textId="77777777" w:rsidR="009B451C" w:rsidRPr="00F058FF" w:rsidRDefault="009B451C" w:rsidP="00D72378">
            <w:pPr>
              <w:pStyle w:val="ListParagraph"/>
              <w:numPr>
                <w:ilvl w:val="0"/>
                <w:numId w:val="12"/>
              </w:numPr>
              <w:rPr>
                <w:rFonts w:ascii="Times New Roman" w:hAnsi="Times New Roman" w:cs="Times New Roman"/>
                <w:sz w:val="20"/>
                <w:szCs w:val="20"/>
              </w:rPr>
            </w:pPr>
            <w:r w:rsidRPr="00F058FF">
              <w:rPr>
                <w:rFonts w:ascii="Times New Roman" w:hAnsi="Times New Roman" w:cs="Times New Roman"/>
                <w:sz w:val="20"/>
                <w:szCs w:val="20"/>
              </w:rPr>
              <w:t>Weaning pigs: 60%</w:t>
            </w:r>
          </w:p>
          <w:p w14:paraId="2EB707C9" w14:textId="77777777" w:rsidR="009B451C" w:rsidRPr="00F058FF" w:rsidRDefault="009B451C" w:rsidP="00D72378">
            <w:pPr>
              <w:pStyle w:val="ListParagraph"/>
              <w:numPr>
                <w:ilvl w:val="0"/>
                <w:numId w:val="12"/>
              </w:numPr>
              <w:rPr>
                <w:rFonts w:ascii="Times New Roman" w:hAnsi="Times New Roman" w:cs="Times New Roman"/>
                <w:sz w:val="20"/>
                <w:szCs w:val="20"/>
              </w:rPr>
            </w:pPr>
            <w:r w:rsidRPr="00F058FF">
              <w:rPr>
                <w:rFonts w:ascii="Times New Roman" w:hAnsi="Times New Roman" w:cs="Times New Roman"/>
                <w:sz w:val="20"/>
                <w:szCs w:val="20"/>
              </w:rPr>
              <w:t xml:space="preserve">Growers: 33% </w:t>
            </w:r>
          </w:p>
          <w:p w14:paraId="3EB2776C" w14:textId="77777777" w:rsidR="009B451C" w:rsidRPr="00F058FF" w:rsidRDefault="009B451C" w:rsidP="00D72378">
            <w:pPr>
              <w:pStyle w:val="ListParagraph"/>
              <w:numPr>
                <w:ilvl w:val="0"/>
                <w:numId w:val="12"/>
              </w:numPr>
              <w:rPr>
                <w:rFonts w:ascii="Times New Roman" w:hAnsi="Times New Roman" w:cs="Times New Roman"/>
                <w:sz w:val="20"/>
                <w:szCs w:val="20"/>
              </w:rPr>
            </w:pPr>
            <w:r w:rsidRPr="00F058FF">
              <w:rPr>
                <w:rFonts w:ascii="Times New Roman" w:hAnsi="Times New Roman" w:cs="Times New Roman"/>
                <w:sz w:val="20"/>
                <w:szCs w:val="20"/>
              </w:rPr>
              <w:t>Breeders: 26%</w:t>
            </w:r>
          </w:p>
          <w:p w14:paraId="5F9C360F"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Prevalence according to sex</w:t>
            </w:r>
          </w:p>
          <w:p w14:paraId="06D2D6C3" w14:textId="77777777" w:rsidR="009B451C" w:rsidRPr="00F058FF" w:rsidRDefault="009B451C" w:rsidP="00D72378">
            <w:pPr>
              <w:pStyle w:val="ListParagraph"/>
              <w:numPr>
                <w:ilvl w:val="0"/>
                <w:numId w:val="13"/>
              </w:numPr>
              <w:rPr>
                <w:rFonts w:ascii="Times New Roman" w:hAnsi="Times New Roman" w:cs="Times New Roman"/>
                <w:sz w:val="20"/>
                <w:szCs w:val="20"/>
              </w:rPr>
            </w:pPr>
            <w:r w:rsidRPr="00F058FF">
              <w:rPr>
                <w:rFonts w:ascii="Times New Roman" w:hAnsi="Times New Roman" w:cs="Times New Roman"/>
                <w:sz w:val="20"/>
                <w:szCs w:val="20"/>
              </w:rPr>
              <w:t>Female pigs: 46%</w:t>
            </w:r>
          </w:p>
          <w:p w14:paraId="6185AD3C" w14:textId="77777777" w:rsidR="009B451C" w:rsidRPr="00F058FF" w:rsidRDefault="009B451C" w:rsidP="00D72378">
            <w:pPr>
              <w:pStyle w:val="ListParagraph"/>
              <w:numPr>
                <w:ilvl w:val="0"/>
                <w:numId w:val="13"/>
              </w:numPr>
              <w:rPr>
                <w:rFonts w:ascii="Times New Roman" w:hAnsi="Times New Roman" w:cs="Times New Roman"/>
                <w:sz w:val="20"/>
                <w:szCs w:val="20"/>
              </w:rPr>
            </w:pPr>
            <w:r w:rsidRPr="00F058FF">
              <w:rPr>
                <w:rFonts w:ascii="Times New Roman" w:hAnsi="Times New Roman" w:cs="Times New Roman"/>
                <w:sz w:val="20"/>
                <w:szCs w:val="20"/>
              </w:rPr>
              <w:t>Male pigs: 29%</w:t>
            </w:r>
          </w:p>
        </w:tc>
        <w:tc>
          <w:tcPr>
            <w:tcW w:w="1423" w:type="dxa"/>
            <w:vMerge w:val="restart"/>
          </w:tcPr>
          <w:p w14:paraId="6053D20D"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De La Cruz et al., 2016</w:t>
            </w:r>
          </w:p>
        </w:tc>
      </w:tr>
      <w:tr w:rsidR="009B451C" w:rsidRPr="00F058FF" w14:paraId="461F3B7B" w14:textId="77777777" w:rsidTr="00D72378">
        <w:trPr>
          <w:trHeight w:val="684"/>
          <w:jc w:val="center"/>
        </w:trPr>
        <w:tc>
          <w:tcPr>
            <w:tcW w:w="3002" w:type="dxa"/>
            <w:vMerge/>
          </w:tcPr>
          <w:p w14:paraId="583C0F17" w14:textId="77777777" w:rsidR="009B451C" w:rsidRPr="00F058FF" w:rsidRDefault="009B451C" w:rsidP="00D72378">
            <w:pPr>
              <w:rPr>
                <w:rFonts w:ascii="Times New Roman" w:hAnsi="Times New Roman" w:cs="Times New Roman"/>
                <w:sz w:val="20"/>
                <w:szCs w:val="20"/>
              </w:rPr>
            </w:pPr>
          </w:p>
        </w:tc>
        <w:tc>
          <w:tcPr>
            <w:tcW w:w="1671" w:type="dxa"/>
          </w:tcPr>
          <w:p w14:paraId="131BC138"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Microscopy</w:t>
            </w:r>
          </w:p>
        </w:tc>
        <w:tc>
          <w:tcPr>
            <w:tcW w:w="3266" w:type="dxa"/>
          </w:tcPr>
          <w:p w14:paraId="2AD04F59"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 xml:space="preserve">For subsequent detection of </w:t>
            </w:r>
            <w:r w:rsidRPr="00F058FF">
              <w:rPr>
                <w:rFonts w:ascii="Times New Roman" w:hAnsi="Times New Roman" w:cs="Times New Roman"/>
                <w:i/>
                <w:iCs/>
                <w:sz w:val="20"/>
                <w:szCs w:val="20"/>
              </w:rPr>
              <w:t>B. hominis</w:t>
            </w:r>
            <w:r w:rsidRPr="00F058FF">
              <w:rPr>
                <w:rFonts w:ascii="Times New Roman" w:hAnsi="Times New Roman" w:cs="Times New Roman"/>
                <w:sz w:val="20"/>
                <w:szCs w:val="20"/>
              </w:rPr>
              <w:t xml:space="preserve"> using its characteristic morphology</w:t>
            </w:r>
          </w:p>
        </w:tc>
        <w:tc>
          <w:tcPr>
            <w:tcW w:w="5386" w:type="dxa"/>
            <w:vMerge/>
          </w:tcPr>
          <w:p w14:paraId="1480C02F" w14:textId="77777777" w:rsidR="009B451C" w:rsidRPr="00F058FF" w:rsidRDefault="009B451C" w:rsidP="00D72378">
            <w:pPr>
              <w:rPr>
                <w:rFonts w:ascii="Times New Roman" w:hAnsi="Times New Roman" w:cs="Times New Roman"/>
                <w:sz w:val="20"/>
                <w:szCs w:val="20"/>
              </w:rPr>
            </w:pPr>
          </w:p>
        </w:tc>
        <w:tc>
          <w:tcPr>
            <w:tcW w:w="1423" w:type="dxa"/>
            <w:vMerge/>
          </w:tcPr>
          <w:p w14:paraId="2A597D0E" w14:textId="77777777" w:rsidR="009B451C" w:rsidRPr="00F058FF" w:rsidRDefault="009B451C" w:rsidP="00D72378">
            <w:pPr>
              <w:rPr>
                <w:rFonts w:ascii="Times New Roman" w:hAnsi="Times New Roman" w:cs="Times New Roman"/>
                <w:sz w:val="20"/>
                <w:szCs w:val="20"/>
              </w:rPr>
            </w:pPr>
          </w:p>
        </w:tc>
      </w:tr>
      <w:tr w:rsidR="009B451C" w:rsidRPr="00F058FF" w14:paraId="6F9B9B1F" w14:textId="77777777" w:rsidTr="00D72378">
        <w:trPr>
          <w:trHeight w:val="684"/>
          <w:jc w:val="center"/>
        </w:trPr>
        <w:tc>
          <w:tcPr>
            <w:tcW w:w="3002" w:type="dxa"/>
            <w:vMerge/>
          </w:tcPr>
          <w:p w14:paraId="3739BCC5" w14:textId="77777777" w:rsidR="009B451C" w:rsidRPr="00F058FF" w:rsidRDefault="009B451C" w:rsidP="00D72378">
            <w:pPr>
              <w:rPr>
                <w:rFonts w:ascii="Times New Roman" w:hAnsi="Times New Roman" w:cs="Times New Roman"/>
                <w:sz w:val="20"/>
                <w:szCs w:val="20"/>
              </w:rPr>
            </w:pPr>
          </w:p>
        </w:tc>
        <w:tc>
          <w:tcPr>
            <w:tcW w:w="1671" w:type="dxa"/>
          </w:tcPr>
          <w:p w14:paraId="3D0B984D"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Formalin-ether concentration technique</w:t>
            </w:r>
          </w:p>
        </w:tc>
        <w:tc>
          <w:tcPr>
            <w:tcW w:w="3266" w:type="dxa"/>
          </w:tcPr>
          <w:p w14:paraId="00DE876F"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Positive fecal samples were subjected to fecal-concentration technique to estimate the intensity of infection.</w:t>
            </w:r>
          </w:p>
        </w:tc>
        <w:tc>
          <w:tcPr>
            <w:tcW w:w="5386" w:type="dxa"/>
            <w:vMerge/>
          </w:tcPr>
          <w:p w14:paraId="73FE6F68" w14:textId="77777777" w:rsidR="009B451C" w:rsidRPr="00F058FF" w:rsidRDefault="009B451C" w:rsidP="00D72378">
            <w:pPr>
              <w:rPr>
                <w:rFonts w:ascii="Times New Roman" w:hAnsi="Times New Roman" w:cs="Times New Roman"/>
                <w:sz w:val="20"/>
                <w:szCs w:val="20"/>
              </w:rPr>
            </w:pPr>
          </w:p>
        </w:tc>
        <w:tc>
          <w:tcPr>
            <w:tcW w:w="1423" w:type="dxa"/>
            <w:vMerge/>
          </w:tcPr>
          <w:p w14:paraId="0304F0EE" w14:textId="77777777" w:rsidR="009B451C" w:rsidRPr="00F058FF" w:rsidRDefault="009B451C" w:rsidP="00D72378">
            <w:pPr>
              <w:rPr>
                <w:rFonts w:ascii="Times New Roman" w:hAnsi="Times New Roman" w:cs="Times New Roman"/>
                <w:sz w:val="20"/>
                <w:szCs w:val="20"/>
              </w:rPr>
            </w:pPr>
          </w:p>
        </w:tc>
      </w:tr>
      <w:tr w:rsidR="009B451C" w:rsidRPr="00F058FF" w14:paraId="3123A451" w14:textId="77777777" w:rsidTr="00D72378">
        <w:trPr>
          <w:trHeight w:val="684"/>
          <w:jc w:val="center"/>
        </w:trPr>
        <w:tc>
          <w:tcPr>
            <w:tcW w:w="3002" w:type="dxa"/>
            <w:vMerge w:val="restart"/>
          </w:tcPr>
          <w:p w14:paraId="204F43BF" w14:textId="5C410BCE"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lastRenderedPageBreak/>
              <w:t xml:space="preserve">Fecal </w:t>
            </w:r>
            <w:r w:rsidR="00350604" w:rsidRPr="00F058FF">
              <w:rPr>
                <w:rFonts w:ascii="Times New Roman" w:hAnsi="Times New Roman" w:cs="Times New Roman"/>
                <w:sz w:val="20"/>
                <w:szCs w:val="20"/>
              </w:rPr>
              <w:t>specimens from</w:t>
            </w:r>
            <w:r w:rsidRPr="00F058FF">
              <w:rPr>
                <w:rFonts w:ascii="Times New Roman" w:hAnsi="Times New Roman" w:cs="Times New Roman"/>
                <w:sz w:val="20"/>
                <w:szCs w:val="20"/>
              </w:rPr>
              <w:t xml:space="preserve"> 145 dogs were collected from an urban community in Pateros, Metro Manila, Philippines for subtype analysis</w:t>
            </w:r>
          </w:p>
        </w:tc>
        <w:tc>
          <w:tcPr>
            <w:tcW w:w="1671" w:type="dxa"/>
          </w:tcPr>
          <w:p w14:paraId="1BE6B45B"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Culture and microscopic examination</w:t>
            </w:r>
          </w:p>
          <w:p w14:paraId="7CA1C2D9" w14:textId="77777777" w:rsidR="009B451C" w:rsidRPr="00F058FF" w:rsidRDefault="009B451C" w:rsidP="00D72378">
            <w:pPr>
              <w:rPr>
                <w:rFonts w:ascii="Times New Roman" w:hAnsi="Times New Roman" w:cs="Times New Roman"/>
                <w:sz w:val="20"/>
                <w:szCs w:val="20"/>
              </w:rPr>
            </w:pPr>
          </w:p>
        </w:tc>
        <w:tc>
          <w:tcPr>
            <w:tcW w:w="3266" w:type="dxa"/>
          </w:tcPr>
          <w:p w14:paraId="64BCFD16" w14:textId="466EC5FC"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diphasic culture medium was used to grow the organism and subsequently checked with microscopic examination for prevalence</w:t>
            </w:r>
            <w:r w:rsidR="00350604" w:rsidRPr="00F058FF">
              <w:rPr>
                <w:rFonts w:ascii="Times New Roman" w:hAnsi="Times New Roman" w:cs="Times New Roman"/>
                <w:sz w:val="20"/>
                <w:szCs w:val="20"/>
              </w:rPr>
              <w:t>.</w:t>
            </w:r>
          </w:p>
        </w:tc>
        <w:tc>
          <w:tcPr>
            <w:tcW w:w="5386" w:type="dxa"/>
            <w:vMerge w:val="restart"/>
          </w:tcPr>
          <w:p w14:paraId="41461161"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Overall prevalence in dogs</w:t>
            </w:r>
          </w:p>
          <w:p w14:paraId="38158EA8" w14:textId="77777777" w:rsidR="009B451C" w:rsidRPr="00F058FF" w:rsidRDefault="009B451C" w:rsidP="00D72378">
            <w:pPr>
              <w:pStyle w:val="ListParagraph"/>
              <w:numPr>
                <w:ilvl w:val="0"/>
                <w:numId w:val="14"/>
              </w:numPr>
              <w:rPr>
                <w:rFonts w:ascii="Times New Roman" w:hAnsi="Times New Roman" w:cs="Times New Roman"/>
                <w:sz w:val="20"/>
                <w:szCs w:val="20"/>
              </w:rPr>
            </w:pPr>
            <w:r w:rsidRPr="00F058FF">
              <w:rPr>
                <w:rFonts w:ascii="Times New Roman" w:hAnsi="Times New Roman" w:cs="Times New Roman"/>
                <w:sz w:val="20"/>
                <w:szCs w:val="20"/>
              </w:rPr>
              <w:t>Dogs: 14.5% (95% CI = 9.6–21.2%)</w:t>
            </w:r>
          </w:p>
          <w:p w14:paraId="2E0E8365"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ST distribution in dogs</w:t>
            </w:r>
          </w:p>
          <w:p w14:paraId="7DD394A7" w14:textId="77777777" w:rsidR="009B451C" w:rsidRPr="00F058FF" w:rsidRDefault="009B451C" w:rsidP="00D72378">
            <w:pPr>
              <w:pStyle w:val="ListParagraph"/>
              <w:numPr>
                <w:ilvl w:val="0"/>
                <w:numId w:val="14"/>
              </w:numPr>
              <w:rPr>
                <w:rFonts w:ascii="Times New Roman" w:hAnsi="Times New Roman" w:cs="Times New Roman"/>
                <w:sz w:val="20"/>
                <w:szCs w:val="20"/>
              </w:rPr>
            </w:pPr>
            <w:r w:rsidRPr="00F058FF">
              <w:rPr>
                <w:rFonts w:ascii="Times New Roman" w:hAnsi="Times New Roman" w:cs="Times New Roman"/>
                <w:sz w:val="20"/>
                <w:szCs w:val="20"/>
              </w:rPr>
              <w:t>ST1 with 4.3% (95% CI = 0.0–29.0)</w:t>
            </w:r>
          </w:p>
          <w:p w14:paraId="38FAB824" w14:textId="77777777" w:rsidR="009B451C" w:rsidRPr="00F058FF" w:rsidRDefault="009B451C" w:rsidP="00D72378">
            <w:pPr>
              <w:pStyle w:val="ListParagraph"/>
              <w:numPr>
                <w:ilvl w:val="0"/>
                <w:numId w:val="14"/>
              </w:numPr>
              <w:rPr>
                <w:rFonts w:ascii="Times New Roman" w:hAnsi="Times New Roman" w:cs="Times New Roman"/>
                <w:sz w:val="20"/>
                <w:szCs w:val="20"/>
              </w:rPr>
            </w:pPr>
            <w:r w:rsidRPr="00F058FF">
              <w:rPr>
                <w:rFonts w:ascii="Times New Roman" w:hAnsi="Times New Roman" w:cs="Times New Roman"/>
                <w:sz w:val="20"/>
                <w:szCs w:val="20"/>
              </w:rPr>
              <w:t xml:space="preserve">ST2 with 8.7% (95% CI = 1.3–28.0), </w:t>
            </w:r>
          </w:p>
          <w:p w14:paraId="0576FF18" w14:textId="77777777" w:rsidR="009B451C" w:rsidRPr="00F058FF" w:rsidRDefault="009B451C" w:rsidP="00D72378">
            <w:pPr>
              <w:pStyle w:val="ListParagraph"/>
              <w:numPr>
                <w:ilvl w:val="0"/>
                <w:numId w:val="14"/>
              </w:numPr>
              <w:rPr>
                <w:rFonts w:ascii="Times New Roman" w:hAnsi="Times New Roman" w:cs="Times New Roman"/>
                <w:sz w:val="20"/>
                <w:szCs w:val="20"/>
              </w:rPr>
            </w:pPr>
            <w:r w:rsidRPr="00F058FF">
              <w:rPr>
                <w:rFonts w:ascii="Times New Roman" w:hAnsi="Times New Roman" w:cs="Times New Roman"/>
                <w:sz w:val="20"/>
                <w:szCs w:val="20"/>
              </w:rPr>
              <w:t xml:space="preserve">ST3 with 17.4% (95% CI = 6.4–37.7), </w:t>
            </w:r>
          </w:p>
          <w:p w14:paraId="4124F02B" w14:textId="77777777" w:rsidR="009B451C" w:rsidRPr="00F058FF" w:rsidRDefault="009B451C" w:rsidP="00D72378">
            <w:pPr>
              <w:pStyle w:val="ListParagraph"/>
              <w:numPr>
                <w:ilvl w:val="0"/>
                <w:numId w:val="14"/>
              </w:numPr>
              <w:rPr>
                <w:rFonts w:ascii="Times New Roman" w:hAnsi="Times New Roman" w:cs="Times New Roman"/>
                <w:sz w:val="20"/>
                <w:szCs w:val="20"/>
              </w:rPr>
            </w:pPr>
            <w:r w:rsidRPr="00F058FF">
              <w:rPr>
                <w:rFonts w:ascii="Times New Roman" w:hAnsi="Times New Roman" w:cs="Times New Roman"/>
                <w:sz w:val="20"/>
                <w:szCs w:val="20"/>
              </w:rPr>
              <w:t xml:space="preserve">ST4 with 13.0% (95% CI = 3.7–33.0), </w:t>
            </w:r>
          </w:p>
          <w:p w14:paraId="411E8128" w14:textId="77777777" w:rsidR="009B451C" w:rsidRPr="00F058FF" w:rsidRDefault="009B451C" w:rsidP="00D72378">
            <w:pPr>
              <w:pStyle w:val="ListParagraph"/>
              <w:numPr>
                <w:ilvl w:val="0"/>
                <w:numId w:val="14"/>
              </w:numPr>
              <w:rPr>
                <w:rFonts w:ascii="Times New Roman" w:hAnsi="Times New Roman" w:cs="Times New Roman"/>
                <w:sz w:val="20"/>
                <w:szCs w:val="20"/>
              </w:rPr>
            </w:pPr>
            <w:r w:rsidRPr="00F058FF">
              <w:rPr>
                <w:rFonts w:ascii="Times New Roman" w:hAnsi="Times New Roman" w:cs="Times New Roman"/>
                <w:sz w:val="20"/>
                <w:szCs w:val="20"/>
              </w:rPr>
              <w:t>ST5 with 13.0% (95% CI = 3.7–33.0)</w:t>
            </w:r>
          </w:p>
          <w:p w14:paraId="4A4DA5B6" w14:textId="77777777" w:rsidR="009B451C" w:rsidRPr="00F058FF" w:rsidRDefault="009B451C" w:rsidP="00D72378">
            <w:pPr>
              <w:pStyle w:val="ListParagraph"/>
              <w:numPr>
                <w:ilvl w:val="0"/>
                <w:numId w:val="14"/>
              </w:numPr>
              <w:rPr>
                <w:rFonts w:ascii="Times New Roman" w:hAnsi="Times New Roman" w:cs="Times New Roman"/>
                <w:sz w:val="20"/>
                <w:szCs w:val="20"/>
              </w:rPr>
            </w:pPr>
            <w:r w:rsidRPr="00F058FF">
              <w:rPr>
                <w:rFonts w:ascii="Times New Roman" w:hAnsi="Times New Roman" w:cs="Times New Roman"/>
                <w:sz w:val="20"/>
                <w:szCs w:val="20"/>
              </w:rPr>
              <w:t>Unknown ST with 47.8% (95% CI = 29.2–67.0).</w:t>
            </w:r>
          </w:p>
        </w:tc>
        <w:tc>
          <w:tcPr>
            <w:tcW w:w="1423" w:type="dxa"/>
            <w:vMerge w:val="restart"/>
          </w:tcPr>
          <w:p w14:paraId="1FDB0A37"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Belleza et al., 2016</w:t>
            </w:r>
          </w:p>
        </w:tc>
      </w:tr>
      <w:tr w:rsidR="009B451C" w:rsidRPr="00F058FF" w14:paraId="6521786C" w14:textId="77777777" w:rsidTr="00D72378">
        <w:trPr>
          <w:trHeight w:val="684"/>
          <w:jc w:val="center"/>
        </w:trPr>
        <w:tc>
          <w:tcPr>
            <w:tcW w:w="3002" w:type="dxa"/>
            <w:vMerge/>
          </w:tcPr>
          <w:p w14:paraId="3F638414" w14:textId="77777777" w:rsidR="009B451C" w:rsidRPr="00F058FF" w:rsidRDefault="009B451C" w:rsidP="00D72378">
            <w:pPr>
              <w:rPr>
                <w:rFonts w:ascii="Times New Roman" w:hAnsi="Times New Roman" w:cs="Times New Roman"/>
                <w:sz w:val="20"/>
                <w:szCs w:val="20"/>
              </w:rPr>
            </w:pPr>
          </w:p>
        </w:tc>
        <w:tc>
          <w:tcPr>
            <w:tcW w:w="1671" w:type="dxa"/>
          </w:tcPr>
          <w:p w14:paraId="67CEC622"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Polymerase Chain Reaction (PCR)</w:t>
            </w:r>
          </w:p>
        </w:tc>
        <w:tc>
          <w:tcPr>
            <w:tcW w:w="3266" w:type="dxa"/>
          </w:tcPr>
          <w:p w14:paraId="02940283" w14:textId="11F97DD3"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Used for genotyping (ST-specific sequence-tagged-site (STS) primers were employed)</w:t>
            </w:r>
            <w:r w:rsidR="00350604" w:rsidRPr="00F058FF">
              <w:rPr>
                <w:rFonts w:ascii="Times New Roman" w:hAnsi="Times New Roman" w:cs="Times New Roman"/>
                <w:sz w:val="20"/>
                <w:szCs w:val="20"/>
              </w:rPr>
              <w:t>.</w:t>
            </w:r>
          </w:p>
        </w:tc>
        <w:tc>
          <w:tcPr>
            <w:tcW w:w="5386" w:type="dxa"/>
            <w:vMerge/>
          </w:tcPr>
          <w:p w14:paraId="03310E3F" w14:textId="77777777" w:rsidR="009B451C" w:rsidRPr="00F058FF" w:rsidRDefault="009B451C" w:rsidP="00D72378">
            <w:pPr>
              <w:rPr>
                <w:rFonts w:ascii="Times New Roman" w:hAnsi="Times New Roman" w:cs="Times New Roman"/>
                <w:sz w:val="20"/>
                <w:szCs w:val="20"/>
              </w:rPr>
            </w:pPr>
          </w:p>
        </w:tc>
        <w:tc>
          <w:tcPr>
            <w:tcW w:w="1423" w:type="dxa"/>
            <w:vMerge/>
          </w:tcPr>
          <w:p w14:paraId="0BFC3247" w14:textId="77777777" w:rsidR="009B451C" w:rsidRPr="00F058FF" w:rsidRDefault="009B451C" w:rsidP="00D72378">
            <w:pPr>
              <w:rPr>
                <w:rFonts w:ascii="Times New Roman" w:hAnsi="Times New Roman" w:cs="Times New Roman"/>
                <w:sz w:val="20"/>
                <w:szCs w:val="20"/>
              </w:rPr>
            </w:pPr>
          </w:p>
        </w:tc>
      </w:tr>
      <w:tr w:rsidR="009B451C" w:rsidRPr="00F058FF" w14:paraId="69B4F54E" w14:textId="77777777" w:rsidTr="00D72378">
        <w:trPr>
          <w:trHeight w:val="324"/>
          <w:jc w:val="center"/>
        </w:trPr>
        <w:tc>
          <w:tcPr>
            <w:tcW w:w="14748" w:type="dxa"/>
            <w:gridSpan w:val="5"/>
          </w:tcPr>
          <w:p w14:paraId="5015A703" w14:textId="77777777" w:rsidR="009B451C" w:rsidRPr="00F058FF" w:rsidRDefault="009B451C" w:rsidP="00D72378">
            <w:pPr>
              <w:jc w:val="center"/>
              <w:rPr>
                <w:rFonts w:ascii="Times New Roman" w:hAnsi="Times New Roman" w:cs="Times New Roman"/>
                <w:b/>
                <w:bCs/>
                <w:sz w:val="20"/>
                <w:szCs w:val="20"/>
              </w:rPr>
            </w:pPr>
            <w:r w:rsidRPr="003D5B6F">
              <w:rPr>
                <w:rFonts w:ascii="Times New Roman" w:hAnsi="Times New Roman" w:cs="Times New Roman"/>
                <w:b/>
                <w:bCs/>
              </w:rPr>
              <w:t>Environment</w:t>
            </w:r>
          </w:p>
        </w:tc>
      </w:tr>
      <w:tr w:rsidR="009B451C" w:rsidRPr="00F058FF" w14:paraId="6557CE4F" w14:textId="77777777" w:rsidTr="00D72378">
        <w:trPr>
          <w:trHeight w:val="684"/>
          <w:jc w:val="center"/>
        </w:trPr>
        <w:tc>
          <w:tcPr>
            <w:tcW w:w="3002" w:type="dxa"/>
            <w:vMerge w:val="restart"/>
          </w:tcPr>
          <w:p w14:paraId="5E339BA8"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A total of 62 water samples (31 influent and 31 effluent samples) from 31 wastewater treatment plants from geographically distinct locations across the Philippines were collected.</w:t>
            </w:r>
          </w:p>
        </w:tc>
        <w:tc>
          <w:tcPr>
            <w:tcW w:w="1671" w:type="dxa"/>
          </w:tcPr>
          <w:p w14:paraId="7CE77290"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In-vitro culture</w:t>
            </w:r>
          </w:p>
        </w:tc>
        <w:tc>
          <w:tcPr>
            <w:tcW w:w="3266" w:type="dxa"/>
          </w:tcPr>
          <w:p w14:paraId="56230C27" w14:textId="2B5CD0B6"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To detect positive water samples</w:t>
            </w:r>
            <w:r w:rsidR="00350604" w:rsidRPr="00F058FF">
              <w:rPr>
                <w:rFonts w:ascii="Times New Roman" w:hAnsi="Times New Roman" w:cs="Times New Roman"/>
                <w:sz w:val="20"/>
                <w:szCs w:val="20"/>
              </w:rPr>
              <w:t>.</w:t>
            </w:r>
          </w:p>
        </w:tc>
        <w:tc>
          <w:tcPr>
            <w:tcW w:w="5386" w:type="dxa"/>
            <w:vMerge w:val="restart"/>
          </w:tcPr>
          <w:p w14:paraId="1996082A"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Overall prevalence:</w:t>
            </w:r>
          </w:p>
          <w:p w14:paraId="2BC3FE7D" w14:textId="77777777" w:rsidR="009B451C" w:rsidRPr="00F058FF" w:rsidRDefault="009B451C" w:rsidP="00D72378">
            <w:pPr>
              <w:pStyle w:val="ListParagraph"/>
              <w:numPr>
                <w:ilvl w:val="0"/>
                <w:numId w:val="15"/>
              </w:numPr>
              <w:rPr>
                <w:rFonts w:ascii="Times New Roman" w:hAnsi="Times New Roman" w:cs="Times New Roman"/>
                <w:sz w:val="20"/>
                <w:szCs w:val="20"/>
              </w:rPr>
            </w:pPr>
            <w:r w:rsidRPr="00F058FF">
              <w:rPr>
                <w:rFonts w:ascii="Times New Roman" w:hAnsi="Times New Roman" w:cs="Times New Roman"/>
                <w:sz w:val="20"/>
                <w:szCs w:val="20"/>
              </w:rPr>
              <w:t>9 out of 62 samples (15%)</w:t>
            </w:r>
          </w:p>
          <w:p w14:paraId="1906C2FA"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Prevalence in influent and effluent samples</w:t>
            </w:r>
          </w:p>
          <w:p w14:paraId="3372A1D3" w14:textId="77777777" w:rsidR="009B451C" w:rsidRPr="00F058FF" w:rsidRDefault="009B451C" w:rsidP="00D72378">
            <w:pPr>
              <w:pStyle w:val="ListParagraph"/>
              <w:numPr>
                <w:ilvl w:val="0"/>
                <w:numId w:val="15"/>
              </w:numPr>
              <w:rPr>
                <w:rFonts w:ascii="Times New Roman" w:hAnsi="Times New Roman" w:cs="Times New Roman"/>
                <w:sz w:val="20"/>
                <w:szCs w:val="20"/>
              </w:rPr>
            </w:pPr>
            <w:r w:rsidRPr="00F058FF">
              <w:rPr>
                <w:rFonts w:ascii="Times New Roman" w:hAnsi="Times New Roman" w:cs="Times New Roman"/>
                <w:sz w:val="20"/>
                <w:szCs w:val="20"/>
              </w:rPr>
              <w:t>Influent samples (untreated): 7 out of 31 samples = 23%</w:t>
            </w:r>
          </w:p>
          <w:p w14:paraId="4FB6ED8C" w14:textId="77777777" w:rsidR="009B451C" w:rsidRPr="00F058FF" w:rsidRDefault="009B451C" w:rsidP="00D72378">
            <w:pPr>
              <w:pStyle w:val="ListParagraph"/>
              <w:numPr>
                <w:ilvl w:val="0"/>
                <w:numId w:val="15"/>
              </w:numPr>
              <w:rPr>
                <w:rFonts w:ascii="Times New Roman" w:hAnsi="Times New Roman" w:cs="Times New Roman"/>
                <w:sz w:val="20"/>
                <w:szCs w:val="20"/>
              </w:rPr>
            </w:pPr>
            <w:r w:rsidRPr="00F058FF">
              <w:rPr>
                <w:rFonts w:ascii="Times New Roman" w:hAnsi="Times New Roman" w:cs="Times New Roman"/>
                <w:sz w:val="20"/>
                <w:szCs w:val="20"/>
              </w:rPr>
              <w:t>Effluent samples (treated): 2 out of 31 samples = 7%</w:t>
            </w:r>
          </w:p>
          <w:p w14:paraId="37C40228"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Subtypes identified from positive isolates</w:t>
            </w:r>
          </w:p>
          <w:p w14:paraId="75937A64" w14:textId="77777777" w:rsidR="009B451C" w:rsidRPr="00F058FF" w:rsidRDefault="009B451C" w:rsidP="00D72378">
            <w:pPr>
              <w:pStyle w:val="ListParagraph"/>
              <w:numPr>
                <w:ilvl w:val="0"/>
                <w:numId w:val="16"/>
              </w:numPr>
              <w:rPr>
                <w:rFonts w:ascii="Times New Roman" w:hAnsi="Times New Roman" w:cs="Times New Roman"/>
                <w:sz w:val="20"/>
                <w:szCs w:val="20"/>
              </w:rPr>
            </w:pPr>
            <w:r w:rsidRPr="00F058FF">
              <w:rPr>
                <w:rFonts w:ascii="Times New Roman" w:hAnsi="Times New Roman" w:cs="Times New Roman"/>
                <w:sz w:val="20"/>
                <w:szCs w:val="20"/>
              </w:rPr>
              <w:t>ST1 (7 isolates, 6 from untreated sewage water and 1 from treated sewage water)</w:t>
            </w:r>
          </w:p>
          <w:p w14:paraId="35CB4192" w14:textId="77777777" w:rsidR="009B451C" w:rsidRPr="00F058FF" w:rsidRDefault="009B451C" w:rsidP="00D72378">
            <w:pPr>
              <w:pStyle w:val="ListParagraph"/>
              <w:numPr>
                <w:ilvl w:val="0"/>
                <w:numId w:val="16"/>
              </w:numPr>
              <w:rPr>
                <w:rFonts w:ascii="Times New Roman" w:hAnsi="Times New Roman" w:cs="Times New Roman"/>
                <w:sz w:val="20"/>
                <w:szCs w:val="20"/>
              </w:rPr>
            </w:pPr>
            <w:r w:rsidRPr="00F058FF">
              <w:rPr>
                <w:rFonts w:ascii="Times New Roman" w:hAnsi="Times New Roman" w:cs="Times New Roman"/>
                <w:sz w:val="20"/>
                <w:szCs w:val="20"/>
              </w:rPr>
              <w:t>ST 2 (2 isolates, 1 from untreated sewage water and 1 from treated sewage water</w:t>
            </w:r>
          </w:p>
        </w:tc>
        <w:tc>
          <w:tcPr>
            <w:tcW w:w="1423" w:type="dxa"/>
            <w:vMerge w:val="restart"/>
          </w:tcPr>
          <w:p w14:paraId="519F3F9A"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Banaticla &amp; Rivera, 2011</w:t>
            </w:r>
          </w:p>
        </w:tc>
      </w:tr>
      <w:tr w:rsidR="009B451C" w:rsidRPr="00F058FF" w14:paraId="31CA0248" w14:textId="77777777" w:rsidTr="00D72378">
        <w:trPr>
          <w:trHeight w:val="684"/>
          <w:jc w:val="center"/>
        </w:trPr>
        <w:tc>
          <w:tcPr>
            <w:tcW w:w="3002" w:type="dxa"/>
            <w:vMerge/>
          </w:tcPr>
          <w:p w14:paraId="7492A4F5" w14:textId="77777777" w:rsidR="009B451C" w:rsidRPr="00F058FF" w:rsidRDefault="009B451C" w:rsidP="00D72378">
            <w:pPr>
              <w:rPr>
                <w:rFonts w:ascii="Times New Roman" w:hAnsi="Times New Roman" w:cs="Times New Roman"/>
                <w:sz w:val="20"/>
                <w:szCs w:val="20"/>
              </w:rPr>
            </w:pPr>
          </w:p>
        </w:tc>
        <w:tc>
          <w:tcPr>
            <w:tcW w:w="1671" w:type="dxa"/>
          </w:tcPr>
          <w:p w14:paraId="38CF394D"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PCR (Polymerase Chain Reaction)</w:t>
            </w:r>
          </w:p>
        </w:tc>
        <w:tc>
          <w:tcPr>
            <w:tcW w:w="3266" w:type="dxa"/>
          </w:tcPr>
          <w:p w14:paraId="00D600D7" w14:textId="22BF8D6B"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PCR of the SSU rRNA gene was performed using GoTaqs Green Master Mix (Promega, Madison, WI) and oligonucleotide primers, SR1F and SR1R for subtyping</w:t>
            </w:r>
            <w:r w:rsidR="00350604" w:rsidRPr="00F058FF">
              <w:rPr>
                <w:rFonts w:ascii="Times New Roman" w:hAnsi="Times New Roman" w:cs="Times New Roman"/>
                <w:sz w:val="20"/>
                <w:szCs w:val="20"/>
              </w:rPr>
              <w:t>.</w:t>
            </w:r>
          </w:p>
        </w:tc>
        <w:tc>
          <w:tcPr>
            <w:tcW w:w="5386" w:type="dxa"/>
            <w:vMerge/>
          </w:tcPr>
          <w:p w14:paraId="2CEADE9F" w14:textId="77777777" w:rsidR="009B451C" w:rsidRPr="00F058FF" w:rsidRDefault="009B451C" w:rsidP="00D72378">
            <w:pPr>
              <w:rPr>
                <w:rFonts w:ascii="Times New Roman" w:hAnsi="Times New Roman" w:cs="Times New Roman"/>
                <w:sz w:val="20"/>
                <w:szCs w:val="20"/>
              </w:rPr>
            </w:pPr>
          </w:p>
        </w:tc>
        <w:tc>
          <w:tcPr>
            <w:tcW w:w="1423" w:type="dxa"/>
            <w:vMerge/>
          </w:tcPr>
          <w:p w14:paraId="496B3B2D" w14:textId="77777777" w:rsidR="009B451C" w:rsidRPr="00F058FF" w:rsidRDefault="009B451C" w:rsidP="00D72378">
            <w:pPr>
              <w:rPr>
                <w:rFonts w:ascii="Times New Roman" w:hAnsi="Times New Roman" w:cs="Times New Roman"/>
                <w:sz w:val="20"/>
                <w:szCs w:val="20"/>
              </w:rPr>
            </w:pPr>
          </w:p>
        </w:tc>
      </w:tr>
    </w:tbl>
    <w:p w14:paraId="2DC6468B" w14:textId="77777777" w:rsidR="0030523E" w:rsidRPr="003D32FA" w:rsidRDefault="0030523E" w:rsidP="003D32FA">
      <w:pPr>
        <w:spacing w:line="480" w:lineRule="auto"/>
        <w:jc w:val="center"/>
        <w:rPr>
          <w:rFonts w:ascii="Times New Roman" w:hAnsi="Times New Roman" w:cs="Times New Roman"/>
          <w:b/>
          <w:bCs/>
          <w:sz w:val="24"/>
          <w:szCs w:val="24"/>
        </w:rPr>
      </w:pPr>
    </w:p>
    <w:p w14:paraId="3E530C2F" w14:textId="77777777" w:rsidR="00700521" w:rsidRPr="003D32FA" w:rsidRDefault="00700521" w:rsidP="003D32FA">
      <w:pPr>
        <w:spacing w:line="480" w:lineRule="auto"/>
        <w:jc w:val="both"/>
        <w:rPr>
          <w:rFonts w:ascii="Times New Roman" w:hAnsi="Times New Roman" w:cs="Times New Roman"/>
          <w:sz w:val="24"/>
          <w:szCs w:val="24"/>
        </w:rPr>
      </w:pPr>
    </w:p>
    <w:p w14:paraId="16E2333C" w14:textId="77777777" w:rsidR="00700521" w:rsidRPr="003D32FA" w:rsidRDefault="00700521" w:rsidP="003D32FA">
      <w:pPr>
        <w:spacing w:line="480" w:lineRule="auto"/>
        <w:jc w:val="both"/>
        <w:rPr>
          <w:rFonts w:ascii="Times New Roman" w:hAnsi="Times New Roman" w:cs="Times New Roman"/>
          <w:sz w:val="24"/>
          <w:szCs w:val="24"/>
        </w:rPr>
      </w:pPr>
    </w:p>
    <w:p w14:paraId="32BE3638" w14:textId="77777777" w:rsidR="00700521" w:rsidRPr="003D32FA" w:rsidRDefault="00700521" w:rsidP="003D32FA">
      <w:pPr>
        <w:spacing w:line="480" w:lineRule="auto"/>
        <w:jc w:val="both"/>
        <w:rPr>
          <w:rFonts w:ascii="Times New Roman" w:hAnsi="Times New Roman" w:cs="Times New Roman"/>
          <w:sz w:val="24"/>
          <w:szCs w:val="24"/>
        </w:rPr>
      </w:pPr>
    </w:p>
    <w:p w14:paraId="24A9719D" w14:textId="77777777" w:rsidR="00700521" w:rsidRPr="003D32FA" w:rsidRDefault="00700521" w:rsidP="003D32FA">
      <w:pPr>
        <w:spacing w:line="480" w:lineRule="auto"/>
        <w:jc w:val="both"/>
        <w:rPr>
          <w:rFonts w:ascii="Times New Roman" w:hAnsi="Times New Roman" w:cs="Times New Roman"/>
          <w:sz w:val="24"/>
          <w:szCs w:val="24"/>
        </w:rPr>
      </w:pPr>
    </w:p>
    <w:p w14:paraId="0DBA4073" w14:textId="77777777" w:rsidR="00700521" w:rsidRPr="003D32FA" w:rsidRDefault="00700521" w:rsidP="003D32FA">
      <w:pPr>
        <w:spacing w:line="480" w:lineRule="auto"/>
        <w:jc w:val="both"/>
        <w:rPr>
          <w:rFonts w:ascii="Times New Roman" w:hAnsi="Times New Roman" w:cs="Times New Roman"/>
          <w:sz w:val="24"/>
          <w:szCs w:val="24"/>
        </w:rPr>
      </w:pPr>
    </w:p>
    <w:p w14:paraId="4092086E" w14:textId="77777777" w:rsidR="00D0089F" w:rsidRDefault="00D0089F" w:rsidP="003D32FA">
      <w:pPr>
        <w:spacing w:line="480" w:lineRule="auto"/>
        <w:jc w:val="both"/>
        <w:rPr>
          <w:rFonts w:ascii="Times New Roman" w:hAnsi="Times New Roman" w:cs="Times New Roman"/>
          <w:sz w:val="24"/>
          <w:szCs w:val="24"/>
        </w:rPr>
        <w:sectPr w:rsidR="00D0089F" w:rsidSect="006E3346">
          <w:pgSz w:w="15842" w:h="12242" w:orient="landscape"/>
          <w:pgMar w:top="1440" w:right="1134" w:bottom="1440" w:left="1134" w:header="709" w:footer="709" w:gutter="0"/>
          <w:cols w:space="403"/>
          <w:docGrid w:linePitch="360"/>
        </w:sectPr>
      </w:pPr>
    </w:p>
    <w:p w14:paraId="0493C819" w14:textId="002BD06A" w:rsidR="00700521" w:rsidRPr="003D32FA" w:rsidRDefault="00D0089F" w:rsidP="003D32F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IV</w:t>
      </w:r>
      <w:r w:rsidR="00AF708D" w:rsidRPr="003D32FA">
        <w:rPr>
          <w:rFonts w:ascii="Times New Roman" w:hAnsi="Times New Roman" w:cs="Times New Roman"/>
          <w:b/>
          <w:bCs/>
          <w:sz w:val="24"/>
          <w:szCs w:val="24"/>
        </w:rPr>
        <w:t>. CLINICAL IMPACT AND PUBLIC HEALTH IMPLICATIONS</w:t>
      </w:r>
    </w:p>
    <w:p w14:paraId="5CDB9735" w14:textId="3F0F2CA3" w:rsidR="005B51E6" w:rsidRPr="003D32FA" w:rsidRDefault="000F7DAE"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The</w:t>
      </w:r>
      <w:r w:rsidR="005B51E6" w:rsidRPr="003D32FA">
        <w:rPr>
          <w:rFonts w:ascii="Times New Roman" w:hAnsi="Times New Roman" w:cs="Times New Roman"/>
          <w:sz w:val="24"/>
          <w:szCs w:val="24"/>
        </w:rPr>
        <w:t xml:space="preserve"> pathogenicity</w:t>
      </w:r>
      <w:r w:rsidRPr="003D32FA">
        <w:rPr>
          <w:rFonts w:ascii="Times New Roman" w:hAnsi="Times New Roman" w:cs="Times New Roman"/>
          <w:sz w:val="24"/>
          <w:szCs w:val="24"/>
        </w:rPr>
        <w:t xml:space="preserve"> of </w:t>
      </w:r>
      <w:r w:rsidRPr="003D32FA">
        <w:rPr>
          <w:rFonts w:ascii="Times New Roman" w:hAnsi="Times New Roman" w:cs="Times New Roman"/>
          <w:i/>
          <w:iCs/>
          <w:sz w:val="24"/>
          <w:szCs w:val="24"/>
        </w:rPr>
        <w:t xml:space="preserve">B. </w:t>
      </w:r>
      <w:r w:rsidR="00C42B1F" w:rsidRPr="003D32FA">
        <w:rPr>
          <w:rFonts w:ascii="Times New Roman" w:hAnsi="Times New Roman" w:cs="Times New Roman"/>
          <w:i/>
          <w:iCs/>
          <w:sz w:val="24"/>
          <w:szCs w:val="24"/>
        </w:rPr>
        <w:t>hominis</w:t>
      </w:r>
      <w:r w:rsidR="005B51E6" w:rsidRPr="003D32FA">
        <w:rPr>
          <w:rFonts w:ascii="Times New Roman" w:hAnsi="Times New Roman" w:cs="Times New Roman"/>
          <w:sz w:val="24"/>
          <w:szCs w:val="24"/>
        </w:rPr>
        <w:t xml:space="preserve"> remains controversial</w:t>
      </w:r>
      <w:r w:rsidR="00C30E9F" w:rsidRPr="003D32FA">
        <w:rPr>
          <w:rFonts w:ascii="Times New Roman" w:hAnsi="Times New Roman" w:cs="Times New Roman"/>
          <w:sz w:val="24"/>
          <w:szCs w:val="24"/>
        </w:rPr>
        <w:t>,</w:t>
      </w:r>
      <w:r w:rsidRPr="003D32FA">
        <w:rPr>
          <w:rFonts w:ascii="Times New Roman" w:hAnsi="Times New Roman" w:cs="Times New Roman"/>
          <w:sz w:val="24"/>
          <w:szCs w:val="24"/>
        </w:rPr>
        <w:t xml:space="preserve"> as</w:t>
      </w:r>
      <w:r w:rsidR="005B51E6" w:rsidRPr="003D32FA">
        <w:rPr>
          <w:rFonts w:ascii="Times New Roman" w:hAnsi="Times New Roman" w:cs="Times New Roman"/>
          <w:sz w:val="24"/>
          <w:szCs w:val="24"/>
        </w:rPr>
        <w:t xml:space="preserve"> numerous studies</w:t>
      </w:r>
      <w:r w:rsidR="00C30E9F" w:rsidRPr="003D32FA">
        <w:rPr>
          <w:rFonts w:ascii="Times New Roman" w:hAnsi="Times New Roman" w:cs="Times New Roman"/>
          <w:sz w:val="24"/>
          <w:szCs w:val="24"/>
        </w:rPr>
        <w:t xml:space="preserve"> have</w:t>
      </w:r>
      <w:r w:rsidR="005B51E6" w:rsidRPr="003D32FA">
        <w:rPr>
          <w:rFonts w:ascii="Times New Roman" w:hAnsi="Times New Roman" w:cs="Times New Roman"/>
          <w:sz w:val="24"/>
          <w:szCs w:val="24"/>
        </w:rPr>
        <w:t xml:space="preserve"> </w:t>
      </w:r>
      <w:r w:rsidRPr="003D32FA">
        <w:rPr>
          <w:rFonts w:ascii="Times New Roman" w:hAnsi="Times New Roman" w:cs="Times New Roman"/>
          <w:sz w:val="24"/>
          <w:szCs w:val="24"/>
        </w:rPr>
        <w:t xml:space="preserve">either </w:t>
      </w:r>
      <w:r w:rsidR="005B51E6" w:rsidRPr="003D32FA">
        <w:rPr>
          <w:rFonts w:ascii="Times New Roman" w:hAnsi="Times New Roman" w:cs="Times New Roman"/>
          <w:sz w:val="24"/>
          <w:szCs w:val="24"/>
        </w:rPr>
        <w:t>confirmed</w:t>
      </w:r>
      <w:r w:rsidRPr="003D32FA">
        <w:rPr>
          <w:rFonts w:ascii="Times New Roman" w:hAnsi="Times New Roman" w:cs="Times New Roman"/>
          <w:sz w:val="24"/>
          <w:szCs w:val="24"/>
        </w:rPr>
        <w:t xml:space="preserve"> or </w:t>
      </w:r>
      <w:r w:rsidR="005B51E6" w:rsidRPr="003D32FA">
        <w:rPr>
          <w:rFonts w:ascii="Times New Roman" w:hAnsi="Times New Roman" w:cs="Times New Roman"/>
          <w:sz w:val="24"/>
          <w:szCs w:val="24"/>
        </w:rPr>
        <w:t xml:space="preserve">excluded </w:t>
      </w:r>
      <w:r w:rsidR="005B51E6" w:rsidRPr="003D32FA">
        <w:rPr>
          <w:rFonts w:ascii="Times New Roman" w:hAnsi="Times New Roman" w:cs="Times New Roman"/>
          <w:i/>
          <w:iCs/>
          <w:sz w:val="24"/>
          <w:szCs w:val="24"/>
        </w:rPr>
        <w:t>B. hominis</w:t>
      </w:r>
      <w:r w:rsidR="005B51E6" w:rsidRPr="003D32FA">
        <w:rPr>
          <w:rFonts w:ascii="Times New Roman" w:hAnsi="Times New Roman" w:cs="Times New Roman"/>
          <w:sz w:val="24"/>
          <w:szCs w:val="24"/>
        </w:rPr>
        <w:t xml:space="preserve"> </w:t>
      </w:r>
      <w:r w:rsidR="00F6450F" w:rsidRPr="003D32FA">
        <w:rPr>
          <w:rFonts w:ascii="Times New Roman" w:hAnsi="Times New Roman" w:cs="Times New Roman"/>
          <w:sz w:val="24"/>
          <w:szCs w:val="24"/>
        </w:rPr>
        <w:t>as a disease-causing microorganism.</w:t>
      </w:r>
      <w:r w:rsidR="005B51E6" w:rsidRPr="003D32FA">
        <w:rPr>
          <w:rFonts w:ascii="Times New Roman" w:hAnsi="Times New Roman" w:cs="Times New Roman"/>
          <w:sz w:val="24"/>
          <w:szCs w:val="24"/>
        </w:rPr>
        <w:t xml:space="preserve"> </w:t>
      </w:r>
      <w:r w:rsidR="00F6450F" w:rsidRPr="003D32FA">
        <w:rPr>
          <w:rFonts w:ascii="Times New Roman" w:hAnsi="Times New Roman" w:cs="Times New Roman"/>
          <w:sz w:val="24"/>
          <w:szCs w:val="24"/>
        </w:rPr>
        <w:t>S</w:t>
      </w:r>
      <w:r w:rsidR="005B51E6" w:rsidRPr="003D32FA">
        <w:rPr>
          <w:rFonts w:ascii="Times New Roman" w:hAnsi="Times New Roman" w:cs="Times New Roman"/>
          <w:sz w:val="24"/>
          <w:szCs w:val="24"/>
        </w:rPr>
        <w:t>ome studies show</w:t>
      </w:r>
      <w:r w:rsidR="00226707" w:rsidRPr="003D32FA">
        <w:rPr>
          <w:rFonts w:ascii="Times New Roman" w:hAnsi="Times New Roman" w:cs="Times New Roman"/>
          <w:sz w:val="24"/>
          <w:szCs w:val="24"/>
        </w:rPr>
        <w:t xml:space="preserve"> that</w:t>
      </w:r>
      <w:r w:rsidR="005B51E6" w:rsidRPr="003D32FA">
        <w:rPr>
          <w:rFonts w:ascii="Times New Roman" w:hAnsi="Times New Roman" w:cs="Times New Roman"/>
          <w:sz w:val="24"/>
          <w:szCs w:val="24"/>
        </w:rPr>
        <w:t xml:space="preserve"> it is associated with abdominal pain, acute</w:t>
      </w:r>
      <w:r w:rsidR="00205CBA" w:rsidRPr="003D32FA">
        <w:rPr>
          <w:rFonts w:ascii="Times New Roman" w:hAnsi="Times New Roman" w:cs="Times New Roman"/>
          <w:sz w:val="24"/>
          <w:szCs w:val="24"/>
        </w:rPr>
        <w:t xml:space="preserve"> or </w:t>
      </w:r>
      <w:r w:rsidR="005B51E6" w:rsidRPr="003D32FA">
        <w:rPr>
          <w:rFonts w:ascii="Times New Roman" w:hAnsi="Times New Roman" w:cs="Times New Roman"/>
          <w:sz w:val="24"/>
          <w:szCs w:val="24"/>
        </w:rPr>
        <w:t>chronic diarrhea, nausea, anorexia, bloating,</w:t>
      </w:r>
      <w:r w:rsidR="00226707" w:rsidRPr="003D32FA">
        <w:rPr>
          <w:rFonts w:ascii="Times New Roman" w:hAnsi="Times New Roman" w:cs="Times New Roman"/>
          <w:sz w:val="24"/>
          <w:szCs w:val="24"/>
        </w:rPr>
        <w:t xml:space="preserve"> and</w:t>
      </w:r>
      <w:r w:rsidR="005B51E6" w:rsidRPr="003D32FA">
        <w:rPr>
          <w:rFonts w:ascii="Times New Roman" w:hAnsi="Times New Roman" w:cs="Times New Roman"/>
          <w:sz w:val="24"/>
          <w:szCs w:val="24"/>
        </w:rPr>
        <w:t xml:space="preserve"> perianal itching (</w:t>
      </w:r>
      <w:r w:rsidR="009E6A0F" w:rsidRPr="003D32FA">
        <w:rPr>
          <w:rFonts w:ascii="Times New Roman" w:hAnsi="Times New Roman" w:cs="Times New Roman"/>
          <w:sz w:val="24"/>
          <w:szCs w:val="24"/>
        </w:rPr>
        <w:t xml:space="preserve">with </w:t>
      </w:r>
      <w:r w:rsidR="005B51E6" w:rsidRPr="003D32FA">
        <w:rPr>
          <w:rFonts w:ascii="Times New Roman" w:hAnsi="Times New Roman" w:cs="Times New Roman"/>
          <w:sz w:val="24"/>
          <w:szCs w:val="24"/>
        </w:rPr>
        <w:t>diarrhea, abdominal pain, flatulence, and constipation being the most common complaints) (Tasić et al., 2017). In most cases</w:t>
      </w:r>
      <w:r w:rsidR="00940447" w:rsidRPr="003D32FA">
        <w:rPr>
          <w:rFonts w:ascii="Times New Roman" w:hAnsi="Times New Roman" w:cs="Times New Roman"/>
          <w:sz w:val="24"/>
          <w:szCs w:val="24"/>
        </w:rPr>
        <w:t>,</w:t>
      </w:r>
      <w:r w:rsidR="005B51E6" w:rsidRPr="003D32FA">
        <w:rPr>
          <w:rFonts w:ascii="Times New Roman" w:hAnsi="Times New Roman" w:cs="Times New Roman"/>
          <w:sz w:val="24"/>
          <w:szCs w:val="24"/>
        </w:rPr>
        <w:t xml:space="preserve"> symptoms may vary</w:t>
      </w:r>
      <w:r w:rsidR="00420B89" w:rsidRPr="003D32FA">
        <w:rPr>
          <w:rFonts w:ascii="Times New Roman" w:hAnsi="Times New Roman" w:cs="Times New Roman"/>
          <w:sz w:val="24"/>
          <w:szCs w:val="24"/>
        </w:rPr>
        <w:t>,</w:t>
      </w:r>
      <w:r w:rsidR="005B51E6" w:rsidRPr="003D32FA">
        <w:rPr>
          <w:rFonts w:ascii="Times New Roman" w:hAnsi="Times New Roman" w:cs="Times New Roman"/>
          <w:sz w:val="24"/>
          <w:szCs w:val="24"/>
        </w:rPr>
        <w:t xml:space="preserve"> ranging from absent to mild. The pathogenicity remains </w:t>
      </w:r>
      <w:r w:rsidR="00E56719" w:rsidRPr="003D32FA">
        <w:rPr>
          <w:rFonts w:ascii="Times New Roman" w:hAnsi="Times New Roman" w:cs="Times New Roman"/>
          <w:sz w:val="24"/>
          <w:szCs w:val="24"/>
        </w:rPr>
        <w:t>debated</w:t>
      </w:r>
      <w:r w:rsidR="00BF7678" w:rsidRPr="003D32FA">
        <w:rPr>
          <w:rFonts w:ascii="Times New Roman" w:hAnsi="Times New Roman" w:cs="Times New Roman"/>
          <w:sz w:val="24"/>
          <w:szCs w:val="24"/>
        </w:rPr>
        <w:t xml:space="preserve"> and controversial</w:t>
      </w:r>
      <w:r w:rsidR="00E56719" w:rsidRPr="003D32FA">
        <w:rPr>
          <w:rFonts w:ascii="Times New Roman" w:hAnsi="Times New Roman" w:cs="Times New Roman"/>
          <w:sz w:val="24"/>
          <w:szCs w:val="24"/>
        </w:rPr>
        <w:t xml:space="preserve"> with the following </w:t>
      </w:r>
      <w:r w:rsidR="005B51E6" w:rsidRPr="003D32FA">
        <w:rPr>
          <w:rFonts w:ascii="Times New Roman" w:hAnsi="Times New Roman" w:cs="Times New Roman"/>
          <w:sz w:val="24"/>
          <w:szCs w:val="24"/>
        </w:rPr>
        <w:t>reasons</w:t>
      </w:r>
      <w:r w:rsidR="00420B89" w:rsidRPr="003D32FA">
        <w:rPr>
          <w:rFonts w:ascii="Times New Roman" w:hAnsi="Times New Roman" w:cs="Times New Roman"/>
          <w:sz w:val="24"/>
          <w:szCs w:val="24"/>
        </w:rPr>
        <w:t>:</w:t>
      </w:r>
      <w:r w:rsidR="005B51E6" w:rsidRPr="003D32FA">
        <w:rPr>
          <w:rFonts w:ascii="Times New Roman" w:hAnsi="Times New Roman" w:cs="Times New Roman"/>
          <w:sz w:val="24"/>
          <w:szCs w:val="24"/>
        </w:rPr>
        <w:t xml:space="preserve"> (i) asymptomatic colonization is very common; (ii) evidence suggesting </w:t>
      </w:r>
      <w:r w:rsidR="005B51E6" w:rsidRPr="003D32FA">
        <w:rPr>
          <w:rFonts w:ascii="Times New Roman" w:hAnsi="Times New Roman" w:cs="Times New Roman"/>
          <w:i/>
          <w:iCs/>
          <w:sz w:val="24"/>
          <w:szCs w:val="24"/>
        </w:rPr>
        <w:t>Blastocystis</w:t>
      </w:r>
      <w:r w:rsidR="005B51E6" w:rsidRPr="003D32FA">
        <w:rPr>
          <w:rFonts w:ascii="Times New Roman" w:hAnsi="Times New Roman" w:cs="Times New Roman"/>
          <w:sz w:val="24"/>
          <w:szCs w:val="24"/>
        </w:rPr>
        <w:t xml:space="preserve">-induced pathogenicity has been inferred mainly from in vitro studies (while pathogenicity remains to be robustly demonstrated in vivo); (iii) no striking phenotypic virulence properties, such as the presence of flagella, lectins, or rhoptries have been identified, and phagocytosis has been described only once; (iv) no </w:t>
      </w:r>
      <w:r w:rsidR="005B51E6" w:rsidRPr="003D32FA">
        <w:rPr>
          <w:rFonts w:ascii="Times New Roman" w:hAnsi="Times New Roman" w:cs="Times New Roman"/>
          <w:i/>
          <w:iCs/>
          <w:sz w:val="24"/>
          <w:szCs w:val="24"/>
        </w:rPr>
        <w:t>Blastocystis</w:t>
      </w:r>
      <w:r w:rsidR="005B51E6" w:rsidRPr="003D32FA">
        <w:rPr>
          <w:rFonts w:ascii="Times New Roman" w:hAnsi="Times New Roman" w:cs="Times New Roman"/>
          <w:sz w:val="24"/>
          <w:szCs w:val="24"/>
        </w:rPr>
        <w:t xml:space="preserve">-associated outbreaks have been verified; (v) </w:t>
      </w:r>
      <w:r w:rsidR="00C23760" w:rsidRPr="003D32FA">
        <w:rPr>
          <w:rFonts w:ascii="Times New Roman" w:hAnsi="Times New Roman" w:cs="Times New Roman"/>
          <w:sz w:val="24"/>
          <w:szCs w:val="24"/>
        </w:rPr>
        <w:t xml:space="preserve">majority of </w:t>
      </w:r>
      <w:r w:rsidR="005B51E6" w:rsidRPr="003D32FA">
        <w:rPr>
          <w:rFonts w:ascii="Times New Roman" w:hAnsi="Times New Roman" w:cs="Times New Roman"/>
          <w:sz w:val="24"/>
          <w:szCs w:val="24"/>
        </w:rPr>
        <w:t xml:space="preserve"> evidence</w:t>
      </w:r>
      <w:r w:rsidR="00C23760" w:rsidRPr="003D32FA">
        <w:rPr>
          <w:rFonts w:ascii="Times New Roman" w:hAnsi="Times New Roman" w:cs="Times New Roman"/>
          <w:sz w:val="24"/>
          <w:szCs w:val="24"/>
        </w:rPr>
        <w:t xml:space="preserve"> that</w:t>
      </w:r>
      <w:r w:rsidR="005B51E6" w:rsidRPr="003D32FA">
        <w:rPr>
          <w:rFonts w:ascii="Times New Roman" w:hAnsi="Times New Roman" w:cs="Times New Roman"/>
          <w:sz w:val="24"/>
          <w:szCs w:val="24"/>
        </w:rPr>
        <w:t xml:space="preserve"> exists regarding clinical improvement upon </w:t>
      </w:r>
      <w:r w:rsidR="005B51E6" w:rsidRPr="003D32FA">
        <w:rPr>
          <w:rFonts w:ascii="Times New Roman" w:hAnsi="Times New Roman" w:cs="Times New Roman"/>
          <w:i/>
          <w:iCs/>
          <w:sz w:val="24"/>
          <w:szCs w:val="24"/>
        </w:rPr>
        <w:t>Blastocystis</w:t>
      </w:r>
      <w:r w:rsidR="005B51E6" w:rsidRPr="003D32FA">
        <w:rPr>
          <w:rFonts w:ascii="Times New Roman" w:hAnsi="Times New Roman" w:cs="Times New Roman"/>
          <w:sz w:val="24"/>
          <w:szCs w:val="24"/>
        </w:rPr>
        <w:t xml:space="preserve"> eradication in patients with gastrointestinal symptoms</w:t>
      </w:r>
      <w:r w:rsidR="00C23760" w:rsidRPr="003D32FA">
        <w:rPr>
          <w:rFonts w:ascii="Times New Roman" w:hAnsi="Times New Roman" w:cs="Times New Roman"/>
          <w:sz w:val="24"/>
          <w:szCs w:val="24"/>
        </w:rPr>
        <w:t xml:space="preserve"> are anecdotal</w:t>
      </w:r>
      <w:r w:rsidR="005B51E6" w:rsidRPr="003D32FA">
        <w:rPr>
          <w:rFonts w:ascii="Times New Roman" w:hAnsi="Times New Roman" w:cs="Times New Roman"/>
          <w:sz w:val="24"/>
          <w:szCs w:val="24"/>
        </w:rPr>
        <w:t>; and (vi) when epidemiological studies are used for inferring hypotheses on the basis of the pathogenic status of enteric microorganisms, distinctions between endemically and intermittently exposed populations are rarely</w:t>
      </w:r>
      <w:r w:rsidR="000D1375" w:rsidRPr="003D32FA">
        <w:rPr>
          <w:rFonts w:ascii="Times New Roman" w:hAnsi="Times New Roman" w:cs="Times New Roman"/>
          <w:sz w:val="24"/>
          <w:szCs w:val="24"/>
        </w:rPr>
        <w:t>,</w:t>
      </w:r>
      <w:r w:rsidR="005B51E6" w:rsidRPr="003D32FA">
        <w:rPr>
          <w:rFonts w:ascii="Times New Roman" w:hAnsi="Times New Roman" w:cs="Times New Roman"/>
          <w:sz w:val="24"/>
          <w:szCs w:val="24"/>
        </w:rPr>
        <w:t xml:space="preserve"> if ever made; such distinctions may be critical to understanding differences in symptom development in the event that host immune response plays a significant role in </w:t>
      </w:r>
      <w:r w:rsidR="005B51E6" w:rsidRPr="003D32FA">
        <w:rPr>
          <w:rFonts w:ascii="Times New Roman" w:hAnsi="Times New Roman" w:cs="Times New Roman"/>
          <w:i/>
          <w:iCs/>
          <w:sz w:val="24"/>
          <w:szCs w:val="24"/>
        </w:rPr>
        <w:t>Blastocystis-</w:t>
      </w:r>
      <w:r w:rsidR="005B51E6" w:rsidRPr="003D32FA">
        <w:rPr>
          <w:rFonts w:ascii="Times New Roman" w:hAnsi="Times New Roman" w:cs="Times New Roman"/>
          <w:sz w:val="24"/>
          <w:szCs w:val="24"/>
        </w:rPr>
        <w:t xml:space="preserve">associated disease (Andersen &amp; Stensvold, 2016). </w:t>
      </w:r>
    </w:p>
    <w:p w14:paraId="37F254E6" w14:textId="2562F236" w:rsidR="005B51E6" w:rsidRPr="003D32FA" w:rsidRDefault="005B51E6"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 There are views that</w:t>
      </w:r>
      <w:r w:rsidR="0082065D" w:rsidRPr="003D32FA">
        <w:rPr>
          <w:rFonts w:ascii="Times New Roman" w:hAnsi="Times New Roman" w:cs="Times New Roman"/>
          <w:sz w:val="24"/>
          <w:szCs w:val="24"/>
        </w:rPr>
        <w:t xml:space="preserve"> the</w:t>
      </w:r>
      <w:r w:rsidRPr="003D32FA">
        <w:rPr>
          <w:rFonts w:ascii="Times New Roman" w:hAnsi="Times New Roman" w:cs="Times New Roman"/>
          <w:sz w:val="24"/>
          <w:szCs w:val="24"/>
        </w:rPr>
        <w:t xml:space="preserve"> clinical manifestations of </w:t>
      </w:r>
      <w:r w:rsidRPr="003D32FA">
        <w:rPr>
          <w:rFonts w:ascii="Times New Roman" w:hAnsi="Times New Roman" w:cs="Times New Roman"/>
          <w:i/>
          <w:iCs/>
          <w:sz w:val="24"/>
          <w:szCs w:val="24"/>
        </w:rPr>
        <w:t>B</w:t>
      </w:r>
      <w:r w:rsidR="0082065D" w:rsidRPr="003D32FA">
        <w:rPr>
          <w:rFonts w:ascii="Times New Roman" w:hAnsi="Times New Roman" w:cs="Times New Roman"/>
          <w:i/>
          <w:iCs/>
          <w:sz w:val="24"/>
          <w:szCs w:val="24"/>
        </w:rPr>
        <w:t>. hominis</w:t>
      </w:r>
      <w:r w:rsidRPr="003D32FA">
        <w:rPr>
          <w:rFonts w:ascii="Times New Roman" w:hAnsi="Times New Roman" w:cs="Times New Roman"/>
          <w:sz w:val="24"/>
          <w:szCs w:val="24"/>
        </w:rPr>
        <w:t xml:space="preserve"> depend on the subtype of </w:t>
      </w:r>
      <w:r w:rsidR="0082065D" w:rsidRPr="003D32FA">
        <w:rPr>
          <w:rFonts w:ascii="Times New Roman" w:hAnsi="Times New Roman" w:cs="Times New Roman"/>
          <w:sz w:val="24"/>
          <w:szCs w:val="24"/>
        </w:rPr>
        <w:t xml:space="preserve">the </w:t>
      </w:r>
      <w:r w:rsidRPr="003D32FA">
        <w:rPr>
          <w:rFonts w:ascii="Times New Roman" w:hAnsi="Times New Roman" w:cs="Times New Roman"/>
          <w:sz w:val="24"/>
          <w:szCs w:val="24"/>
        </w:rPr>
        <w:t>parasite. ST1</w:t>
      </w:r>
      <w:r w:rsidR="00520E46" w:rsidRPr="003D32FA">
        <w:rPr>
          <w:rFonts w:ascii="Times New Roman" w:hAnsi="Times New Roman" w:cs="Times New Roman"/>
          <w:sz w:val="24"/>
          <w:szCs w:val="24"/>
        </w:rPr>
        <w:t xml:space="preserve"> is </w:t>
      </w:r>
      <w:r w:rsidRPr="003D32FA">
        <w:rPr>
          <w:rFonts w:ascii="Times New Roman" w:hAnsi="Times New Roman" w:cs="Times New Roman"/>
          <w:sz w:val="24"/>
          <w:szCs w:val="24"/>
        </w:rPr>
        <w:t xml:space="preserve">commonly found </w:t>
      </w:r>
      <w:r w:rsidR="00520E46" w:rsidRPr="003D32FA">
        <w:rPr>
          <w:rFonts w:ascii="Times New Roman" w:hAnsi="Times New Roman" w:cs="Times New Roman"/>
          <w:sz w:val="24"/>
          <w:szCs w:val="24"/>
        </w:rPr>
        <w:t xml:space="preserve">in </w:t>
      </w:r>
      <w:r w:rsidRPr="003D32FA">
        <w:rPr>
          <w:rFonts w:ascii="Times New Roman" w:hAnsi="Times New Roman" w:cs="Times New Roman"/>
          <w:sz w:val="24"/>
          <w:szCs w:val="24"/>
        </w:rPr>
        <w:t xml:space="preserve">symptomatic </w:t>
      </w:r>
      <w:r w:rsidR="00520E46" w:rsidRPr="003D32FA">
        <w:rPr>
          <w:rFonts w:ascii="Times New Roman" w:hAnsi="Times New Roman" w:cs="Times New Roman"/>
          <w:sz w:val="24"/>
          <w:szCs w:val="24"/>
        </w:rPr>
        <w:t>individuals</w:t>
      </w:r>
      <w:r w:rsidRPr="003D32FA">
        <w:rPr>
          <w:rFonts w:ascii="Times New Roman" w:hAnsi="Times New Roman" w:cs="Times New Roman"/>
          <w:sz w:val="24"/>
          <w:szCs w:val="24"/>
        </w:rPr>
        <w:t xml:space="preserve">. ST2 has a controversial pathogenicity because </w:t>
      </w:r>
      <w:r w:rsidR="008C31A4" w:rsidRPr="003D32FA">
        <w:rPr>
          <w:rFonts w:ascii="Times New Roman" w:hAnsi="Times New Roman" w:cs="Times New Roman"/>
          <w:sz w:val="24"/>
          <w:szCs w:val="24"/>
        </w:rPr>
        <w:t>it has been</w:t>
      </w:r>
      <w:r w:rsidRPr="003D32FA">
        <w:rPr>
          <w:rFonts w:ascii="Times New Roman" w:hAnsi="Times New Roman" w:cs="Times New Roman"/>
          <w:sz w:val="24"/>
          <w:szCs w:val="24"/>
        </w:rPr>
        <w:t xml:space="preserve"> positively demonstrated in some studies and disputed in others.  ST3 is the most common subtype isolated in humans</w:t>
      </w:r>
      <w:r w:rsidR="008C31A4" w:rsidRPr="003D32FA">
        <w:rPr>
          <w:rFonts w:ascii="Times New Roman" w:hAnsi="Times New Roman" w:cs="Times New Roman"/>
          <w:sz w:val="24"/>
          <w:szCs w:val="24"/>
        </w:rPr>
        <w:t>,</w:t>
      </w:r>
      <w:r w:rsidRPr="003D32FA">
        <w:rPr>
          <w:rFonts w:ascii="Times New Roman" w:hAnsi="Times New Roman" w:cs="Times New Roman"/>
          <w:sz w:val="24"/>
          <w:szCs w:val="24"/>
        </w:rPr>
        <w:t xml:space="preserve"> but there are still limited data indicating its pathogenicity.</w:t>
      </w:r>
      <w:r w:rsidR="008C31A4" w:rsidRPr="003D32FA">
        <w:rPr>
          <w:rFonts w:ascii="Times New Roman" w:hAnsi="Times New Roman" w:cs="Times New Roman"/>
          <w:sz w:val="24"/>
          <w:szCs w:val="24"/>
        </w:rPr>
        <w:t xml:space="preserve"> However, recent studies show </w:t>
      </w:r>
      <w:r w:rsidR="008E65E7" w:rsidRPr="003D32FA">
        <w:rPr>
          <w:rFonts w:ascii="Times New Roman" w:hAnsi="Times New Roman" w:cs="Times New Roman"/>
          <w:sz w:val="24"/>
          <w:szCs w:val="24"/>
        </w:rPr>
        <w:t xml:space="preserve">that in </w:t>
      </w:r>
      <w:r w:rsidR="000F2A2A" w:rsidRPr="003D32FA">
        <w:rPr>
          <w:rFonts w:ascii="Times New Roman" w:hAnsi="Times New Roman" w:cs="Times New Roman"/>
          <w:sz w:val="24"/>
          <w:szCs w:val="24"/>
        </w:rPr>
        <w:t>symptomatic</w:t>
      </w:r>
      <w:r w:rsidR="008E65E7" w:rsidRPr="003D32FA">
        <w:rPr>
          <w:rFonts w:ascii="Times New Roman" w:hAnsi="Times New Roman" w:cs="Times New Roman"/>
          <w:sz w:val="24"/>
          <w:szCs w:val="24"/>
        </w:rPr>
        <w:t xml:space="preserve"> individuals, ST3 is associated </w:t>
      </w:r>
      <w:r w:rsidR="008E65E7" w:rsidRPr="003D32FA">
        <w:rPr>
          <w:rFonts w:ascii="Times New Roman" w:hAnsi="Times New Roman" w:cs="Times New Roman"/>
          <w:sz w:val="24"/>
          <w:szCs w:val="24"/>
        </w:rPr>
        <w:lastRenderedPageBreak/>
        <w:t>with gastrointestinal symptoms, especially diarrhea (Zulfa et al., 2017). Furthermore,</w:t>
      </w:r>
      <w:r w:rsidRPr="003D32FA">
        <w:rPr>
          <w:rFonts w:ascii="Times New Roman" w:hAnsi="Times New Roman" w:cs="Times New Roman"/>
          <w:sz w:val="24"/>
          <w:szCs w:val="24"/>
        </w:rPr>
        <w:t xml:space="preserve"> </w:t>
      </w:r>
      <w:r w:rsidR="008E65E7" w:rsidRPr="003D32FA">
        <w:rPr>
          <w:rFonts w:ascii="Times New Roman" w:hAnsi="Times New Roman" w:cs="Times New Roman"/>
          <w:sz w:val="24"/>
          <w:szCs w:val="24"/>
        </w:rPr>
        <w:t>o</w:t>
      </w:r>
      <w:r w:rsidRPr="003D32FA">
        <w:rPr>
          <w:rFonts w:ascii="Times New Roman" w:hAnsi="Times New Roman" w:cs="Times New Roman"/>
          <w:sz w:val="24"/>
          <w:szCs w:val="24"/>
        </w:rPr>
        <w:t xml:space="preserve">nly around 40% of </w:t>
      </w:r>
      <w:r w:rsidR="001352EE" w:rsidRPr="003D32FA">
        <w:rPr>
          <w:rFonts w:ascii="Times New Roman" w:hAnsi="Times New Roman" w:cs="Times New Roman"/>
          <w:sz w:val="24"/>
          <w:szCs w:val="24"/>
        </w:rPr>
        <w:t>ST4-infected</w:t>
      </w:r>
      <w:r w:rsidRPr="003D32FA">
        <w:rPr>
          <w:rFonts w:ascii="Times New Roman" w:hAnsi="Times New Roman" w:cs="Times New Roman"/>
          <w:sz w:val="24"/>
          <w:szCs w:val="24"/>
        </w:rPr>
        <w:t xml:space="preserve"> </w:t>
      </w:r>
      <w:r w:rsidR="008E65E7" w:rsidRPr="003D32FA">
        <w:rPr>
          <w:rFonts w:ascii="Times New Roman" w:hAnsi="Times New Roman" w:cs="Times New Roman"/>
          <w:sz w:val="24"/>
          <w:szCs w:val="24"/>
        </w:rPr>
        <w:t>individuals have</w:t>
      </w:r>
      <w:r w:rsidRPr="003D32FA">
        <w:rPr>
          <w:rFonts w:ascii="Times New Roman" w:hAnsi="Times New Roman" w:cs="Times New Roman"/>
          <w:sz w:val="24"/>
          <w:szCs w:val="24"/>
        </w:rPr>
        <w:t xml:space="preserve"> gastrointestinal symptoms. ST5 </w:t>
      </w:r>
      <w:r w:rsidR="000F2A2A" w:rsidRPr="003D32FA">
        <w:rPr>
          <w:rFonts w:ascii="Times New Roman" w:hAnsi="Times New Roman" w:cs="Times New Roman"/>
          <w:sz w:val="24"/>
          <w:szCs w:val="24"/>
        </w:rPr>
        <w:t>is</w:t>
      </w:r>
      <w:r w:rsidRPr="003D32FA">
        <w:rPr>
          <w:rFonts w:ascii="Times New Roman" w:hAnsi="Times New Roman" w:cs="Times New Roman"/>
          <w:sz w:val="24"/>
          <w:szCs w:val="24"/>
        </w:rPr>
        <w:t xml:space="preserve"> found in infected </w:t>
      </w:r>
      <w:r w:rsidR="008E65E7" w:rsidRPr="003D32FA">
        <w:rPr>
          <w:rFonts w:ascii="Times New Roman" w:hAnsi="Times New Roman" w:cs="Times New Roman"/>
          <w:sz w:val="24"/>
          <w:szCs w:val="24"/>
        </w:rPr>
        <w:t>individuals</w:t>
      </w:r>
      <w:r w:rsidRPr="003D32FA">
        <w:rPr>
          <w:rFonts w:ascii="Times New Roman" w:hAnsi="Times New Roman" w:cs="Times New Roman"/>
          <w:sz w:val="24"/>
          <w:szCs w:val="24"/>
        </w:rPr>
        <w:t xml:space="preserve"> with severe diarrhea</w:t>
      </w:r>
      <w:r w:rsidR="00942E7D" w:rsidRPr="003D32FA">
        <w:rPr>
          <w:rFonts w:ascii="Times New Roman" w:hAnsi="Times New Roman" w:cs="Times New Roman"/>
          <w:sz w:val="24"/>
          <w:szCs w:val="24"/>
        </w:rPr>
        <w:t>,</w:t>
      </w:r>
      <w:r w:rsidR="000F2A2A" w:rsidRPr="003D32FA">
        <w:rPr>
          <w:rFonts w:ascii="Times New Roman" w:hAnsi="Times New Roman" w:cs="Times New Roman"/>
          <w:sz w:val="24"/>
          <w:szCs w:val="24"/>
        </w:rPr>
        <w:t xml:space="preserve"> while </w:t>
      </w:r>
      <w:r w:rsidRPr="003D32FA">
        <w:rPr>
          <w:rFonts w:ascii="Times New Roman" w:hAnsi="Times New Roman" w:cs="Times New Roman"/>
          <w:sz w:val="24"/>
          <w:szCs w:val="24"/>
        </w:rPr>
        <w:t>ST6</w:t>
      </w:r>
      <w:r w:rsidR="00942E7D" w:rsidRPr="003D32FA">
        <w:rPr>
          <w:rFonts w:ascii="Times New Roman" w:hAnsi="Times New Roman" w:cs="Times New Roman"/>
          <w:sz w:val="24"/>
          <w:szCs w:val="24"/>
        </w:rPr>
        <w:t xml:space="preserve"> (which is </w:t>
      </w:r>
      <w:r w:rsidRPr="003D32FA">
        <w:rPr>
          <w:rFonts w:ascii="Times New Roman" w:hAnsi="Times New Roman" w:cs="Times New Roman"/>
          <w:sz w:val="24"/>
          <w:szCs w:val="24"/>
        </w:rPr>
        <w:t>the common subtype pass</w:t>
      </w:r>
      <w:r w:rsidR="000F2A2A" w:rsidRPr="003D32FA">
        <w:rPr>
          <w:rFonts w:ascii="Times New Roman" w:hAnsi="Times New Roman" w:cs="Times New Roman"/>
          <w:sz w:val="24"/>
          <w:szCs w:val="24"/>
        </w:rPr>
        <w:t>ed</w:t>
      </w:r>
      <w:r w:rsidRPr="003D32FA">
        <w:rPr>
          <w:rFonts w:ascii="Times New Roman" w:hAnsi="Times New Roman" w:cs="Times New Roman"/>
          <w:sz w:val="24"/>
          <w:szCs w:val="24"/>
        </w:rPr>
        <w:t xml:space="preserve"> in zoonotic transmission</w:t>
      </w:r>
      <w:r w:rsidR="00942E7D" w:rsidRPr="003D32FA">
        <w:rPr>
          <w:rFonts w:ascii="Times New Roman" w:hAnsi="Times New Roman" w:cs="Times New Roman"/>
          <w:sz w:val="24"/>
          <w:szCs w:val="24"/>
        </w:rPr>
        <w:t>)</w:t>
      </w:r>
      <w:r w:rsidRPr="003D32FA">
        <w:rPr>
          <w:rFonts w:ascii="Times New Roman" w:hAnsi="Times New Roman" w:cs="Times New Roman"/>
          <w:sz w:val="24"/>
          <w:szCs w:val="24"/>
        </w:rPr>
        <w:t xml:space="preserve"> </w:t>
      </w:r>
      <w:r w:rsidR="000F2A2A" w:rsidRPr="003D32FA">
        <w:rPr>
          <w:rFonts w:ascii="Times New Roman" w:hAnsi="Times New Roman" w:cs="Times New Roman"/>
          <w:sz w:val="24"/>
          <w:szCs w:val="24"/>
        </w:rPr>
        <w:t>is</w:t>
      </w:r>
      <w:r w:rsidRPr="003D32FA">
        <w:rPr>
          <w:rFonts w:ascii="Times New Roman" w:hAnsi="Times New Roman" w:cs="Times New Roman"/>
          <w:sz w:val="24"/>
          <w:szCs w:val="24"/>
        </w:rPr>
        <w:t xml:space="preserve"> found to cause diarrhea in</w:t>
      </w:r>
      <w:r w:rsidR="00942E7D" w:rsidRPr="003D32FA">
        <w:rPr>
          <w:rFonts w:ascii="Times New Roman" w:hAnsi="Times New Roman" w:cs="Times New Roman"/>
          <w:sz w:val="24"/>
          <w:szCs w:val="24"/>
        </w:rPr>
        <w:t xml:space="preserve"> only</w:t>
      </w:r>
      <w:r w:rsidRPr="003D32FA">
        <w:rPr>
          <w:rFonts w:ascii="Times New Roman" w:hAnsi="Times New Roman" w:cs="Times New Roman"/>
          <w:sz w:val="24"/>
          <w:szCs w:val="24"/>
        </w:rPr>
        <w:t xml:space="preserve"> 1/3 of infected </w:t>
      </w:r>
      <w:r w:rsidR="00942E7D" w:rsidRPr="003D32FA">
        <w:rPr>
          <w:rFonts w:ascii="Times New Roman" w:hAnsi="Times New Roman" w:cs="Times New Roman"/>
          <w:sz w:val="24"/>
          <w:szCs w:val="24"/>
        </w:rPr>
        <w:t>individuals</w:t>
      </w:r>
      <w:r w:rsidRPr="003D32FA">
        <w:rPr>
          <w:rFonts w:ascii="Times New Roman" w:hAnsi="Times New Roman" w:cs="Times New Roman"/>
          <w:sz w:val="24"/>
          <w:szCs w:val="24"/>
        </w:rPr>
        <w:t xml:space="preserve">. </w:t>
      </w:r>
      <w:r w:rsidR="00942E7D" w:rsidRPr="003D32FA">
        <w:rPr>
          <w:rFonts w:ascii="Times New Roman" w:hAnsi="Times New Roman" w:cs="Times New Roman"/>
          <w:sz w:val="24"/>
          <w:szCs w:val="24"/>
        </w:rPr>
        <w:t xml:space="preserve">Moreover, </w:t>
      </w:r>
      <w:r w:rsidRPr="003D32FA">
        <w:rPr>
          <w:rFonts w:ascii="Times New Roman" w:hAnsi="Times New Roman" w:cs="Times New Roman"/>
          <w:sz w:val="24"/>
          <w:szCs w:val="24"/>
        </w:rPr>
        <w:t xml:space="preserve">ST7 is also associated with </w:t>
      </w:r>
      <w:r w:rsidR="00942E7D" w:rsidRPr="003D32FA">
        <w:rPr>
          <w:rFonts w:ascii="Times New Roman" w:hAnsi="Times New Roman" w:cs="Times New Roman"/>
          <w:sz w:val="24"/>
          <w:szCs w:val="24"/>
        </w:rPr>
        <w:t xml:space="preserve">the </w:t>
      </w:r>
      <w:r w:rsidRPr="003D32FA">
        <w:rPr>
          <w:rFonts w:ascii="Times New Roman" w:hAnsi="Times New Roman" w:cs="Times New Roman"/>
          <w:sz w:val="24"/>
          <w:szCs w:val="24"/>
        </w:rPr>
        <w:t xml:space="preserve">onset of diarrhea (Tasić et al., 2017). Around 84% of individuals with </w:t>
      </w:r>
      <w:r w:rsidRPr="003D32FA">
        <w:rPr>
          <w:rFonts w:ascii="Times New Roman" w:hAnsi="Times New Roman" w:cs="Times New Roman"/>
          <w:i/>
          <w:iCs/>
          <w:sz w:val="24"/>
          <w:szCs w:val="24"/>
        </w:rPr>
        <w:t>B. hominis infection</w:t>
      </w:r>
      <w:r w:rsidRPr="003D32FA">
        <w:rPr>
          <w:rFonts w:ascii="Times New Roman" w:hAnsi="Times New Roman" w:cs="Times New Roman"/>
          <w:sz w:val="24"/>
          <w:szCs w:val="24"/>
        </w:rPr>
        <w:t xml:space="preserve"> had at least one known pathogen other than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including </w:t>
      </w:r>
      <w:r w:rsidR="006147E8" w:rsidRPr="003D32FA">
        <w:rPr>
          <w:rFonts w:ascii="Times New Roman" w:hAnsi="Times New Roman" w:cs="Times New Roman"/>
          <w:i/>
          <w:iCs/>
          <w:sz w:val="24"/>
          <w:szCs w:val="24"/>
        </w:rPr>
        <w:t>E. histolytica</w:t>
      </w:r>
      <w:r w:rsidRPr="003D32FA">
        <w:rPr>
          <w:rFonts w:ascii="Times New Roman" w:hAnsi="Times New Roman" w:cs="Times New Roman"/>
          <w:i/>
          <w:iCs/>
          <w:sz w:val="24"/>
          <w:szCs w:val="24"/>
        </w:rPr>
        <w:t xml:space="preserve">, G. </w:t>
      </w:r>
      <w:r w:rsidR="00942E7D" w:rsidRPr="003D32FA">
        <w:rPr>
          <w:rFonts w:ascii="Times New Roman" w:hAnsi="Times New Roman" w:cs="Times New Roman"/>
          <w:i/>
          <w:iCs/>
          <w:sz w:val="24"/>
          <w:szCs w:val="24"/>
        </w:rPr>
        <w:t>duodenal</w:t>
      </w:r>
      <w:r w:rsidR="00ED3993" w:rsidRPr="003D32FA">
        <w:rPr>
          <w:rFonts w:ascii="Times New Roman" w:hAnsi="Times New Roman" w:cs="Times New Roman"/>
          <w:i/>
          <w:iCs/>
          <w:sz w:val="24"/>
          <w:szCs w:val="24"/>
        </w:rPr>
        <w:t>is</w:t>
      </w:r>
      <w:r w:rsidRPr="003D32FA">
        <w:rPr>
          <w:rFonts w:ascii="Times New Roman" w:hAnsi="Times New Roman" w:cs="Times New Roman"/>
          <w:i/>
          <w:iCs/>
          <w:sz w:val="24"/>
          <w:szCs w:val="24"/>
        </w:rPr>
        <w:t xml:space="preserve">, </w:t>
      </w:r>
      <w:r w:rsidRPr="00647091">
        <w:rPr>
          <w:rFonts w:ascii="Times New Roman" w:hAnsi="Times New Roman" w:cs="Times New Roman"/>
          <w:sz w:val="24"/>
          <w:szCs w:val="24"/>
        </w:rPr>
        <w:t>and</w:t>
      </w:r>
      <w:r w:rsidRPr="003D32FA">
        <w:rPr>
          <w:rFonts w:ascii="Times New Roman" w:hAnsi="Times New Roman" w:cs="Times New Roman"/>
          <w:i/>
          <w:iCs/>
          <w:sz w:val="24"/>
          <w:szCs w:val="24"/>
        </w:rPr>
        <w:t xml:space="preserve"> D. fragilis</w:t>
      </w:r>
      <w:r w:rsidRPr="003D32FA">
        <w:rPr>
          <w:rFonts w:ascii="Times New Roman" w:hAnsi="Times New Roman" w:cs="Times New Roman"/>
          <w:sz w:val="24"/>
          <w:szCs w:val="24"/>
        </w:rPr>
        <w:t xml:space="preserve">. The behavior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in people is comparable to that of </w:t>
      </w:r>
      <w:r w:rsidRPr="003D32FA">
        <w:rPr>
          <w:rFonts w:ascii="Times New Roman" w:hAnsi="Times New Roman" w:cs="Times New Roman"/>
          <w:i/>
          <w:iCs/>
          <w:sz w:val="24"/>
          <w:szCs w:val="24"/>
        </w:rPr>
        <w:t xml:space="preserve">Giardia </w:t>
      </w:r>
      <w:r w:rsidRPr="00647091">
        <w:rPr>
          <w:rFonts w:ascii="Times New Roman" w:hAnsi="Times New Roman" w:cs="Times New Roman"/>
          <w:sz w:val="24"/>
          <w:szCs w:val="24"/>
        </w:rPr>
        <w:t>spp</w:t>
      </w:r>
      <w:r w:rsidRPr="003D32FA">
        <w:rPr>
          <w:rFonts w:ascii="Times New Roman" w:hAnsi="Times New Roman" w:cs="Times New Roman"/>
          <w:sz w:val="24"/>
          <w:szCs w:val="24"/>
        </w:rPr>
        <w:t xml:space="preserve">. and </w:t>
      </w:r>
      <w:r w:rsidRPr="003D32FA">
        <w:rPr>
          <w:rFonts w:ascii="Times New Roman" w:hAnsi="Times New Roman" w:cs="Times New Roman"/>
          <w:i/>
          <w:iCs/>
          <w:sz w:val="24"/>
          <w:szCs w:val="24"/>
        </w:rPr>
        <w:t>E. histolytica</w:t>
      </w:r>
      <w:r w:rsidR="00ED3993" w:rsidRPr="003D32FA">
        <w:rPr>
          <w:rFonts w:ascii="Times New Roman" w:hAnsi="Times New Roman" w:cs="Times New Roman"/>
          <w:sz w:val="24"/>
          <w:szCs w:val="24"/>
        </w:rPr>
        <w:t xml:space="preserve"> </w:t>
      </w:r>
      <w:r w:rsidRPr="003D32FA">
        <w:rPr>
          <w:rFonts w:ascii="Times New Roman" w:hAnsi="Times New Roman" w:cs="Times New Roman"/>
          <w:sz w:val="24"/>
          <w:szCs w:val="24"/>
        </w:rPr>
        <w:t>(Wahid et al., 2023)</w:t>
      </w:r>
      <w:r w:rsidR="00ED3993" w:rsidRPr="003D32FA">
        <w:rPr>
          <w:rFonts w:ascii="Times New Roman" w:hAnsi="Times New Roman" w:cs="Times New Roman"/>
          <w:sz w:val="24"/>
          <w:szCs w:val="24"/>
        </w:rPr>
        <w:t>.</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G</w:t>
      </w:r>
      <w:r w:rsidR="00ED3993" w:rsidRPr="003D32FA">
        <w:rPr>
          <w:rFonts w:ascii="Times New Roman" w:hAnsi="Times New Roman" w:cs="Times New Roman"/>
          <w:i/>
          <w:iCs/>
          <w:sz w:val="24"/>
          <w:szCs w:val="24"/>
        </w:rPr>
        <w:t>.</w:t>
      </w:r>
      <w:r w:rsidRPr="003D32FA">
        <w:rPr>
          <w:rFonts w:ascii="Times New Roman" w:hAnsi="Times New Roman" w:cs="Times New Roman"/>
          <w:i/>
          <w:iCs/>
          <w:sz w:val="24"/>
          <w:szCs w:val="24"/>
        </w:rPr>
        <w:t xml:space="preserve"> </w:t>
      </w:r>
      <w:r w:rsidR="00ED3993" w:rsidRPr="003D32FA">
        <w:rPr>
          <w:rFonts w:ascii="Times New Roman" w:hAnsi="Times New Roman" w:cs="Times New Roman"/>
          <w:i/>
          <w:iCs/>
          <w:sz w:val="24"/>
          <w:szCs w:val="24"/>
        </w:rPr>
        <w:t>duodenalis</w:t>
      </w:r>
      <w:r w:rsidR="00ED3993" w:rsidRPr="003D32FA">
        <w:rPr>
          <w:rFonts w:ascii="Times New Roman" w:hAnsi="Times New Roman" w:cs="Times New Roman"/>
          <w:sz w:val="24"/>
          <w:szCs w:val="24"/>
        </w:rPr>
        <w:t xml:space="preserve"> </w:t>
      </w:r>
      <w:r w:rsidRPr="003D32FA">
        <w:rPr>
          <w:rFonts w:ascii="Times New Roman" w:hAnsi="Times New Roman" w:cs="Times New Roman"/>
          <w:sz w:val="24"/>
          <w:szCs w:val="24"/>
        </w:rPr>
        <w:t xml:space="preserve">and </w:t>
      </w:r>
      <w:r w:rsidRPr="003D32FA">
        <w:rPr>
          <w:rFonts w:ascii="Times New Roman" w:hAnsi="Times New Roman" w:cs="Times New Roman"/>
          <w:i/>
          <w:iCs/>
          <w:sz w:val="24"/>
          <w:szCs w:val="24"/>
        </w:rPr>
        <w:t>Blastocystis</w:t>
      </w:r>
      <w:r w:rsidRPr="003D32FA">
        <w:rPr>
          <w:rFonts w:ascii="Times New Roman" w:hAnsi="Times New Roman" w:cs="Times New Roman"/>
          <w:sz w:val="24"/>
          <w:szCs w:val="24"/>
        </w:rPr>
        <w:t xml:space="preserve"> spp. are also found to be responsible for the majority of diarrheic cases</w:t>
      </w:r>
      <w:r w:rsidR="00973721" w:rsidRPr="003D32FA">
        <w:rPr>
          <w:rFonts w:ascii="Times New Roman" w:hAnsi="Times New Roman" w:cs="Times New Roman"/>
          <w:sz w:val="24"/>
          <w:szCs w:val="24"/>
        </w:rPr>
        <w:t>,</w:t>
      </w:r>
      <w:r w:rsidRPr="003D32FA">
        <w:rPr>
          <w:rFonts w:ascii="Times New Roman" w:hAnsi="Times New Roman" w:cs="Times New Roman"/>
          <w:sz w:val="24"/>
          <w:szCs w:val="24"/>
        </w:rPr>
        <w:t xml:space="preserve"> and they are incriminated to be an important cause of acute diarrhea in children (Hamdy et al., 2020). </w:t>
      </w:r>
    </w:p>
    <w:p w14:paraId="5DA03FD8" w14:textId="7FB79F77" w:rsidR="008544EA" w:rsidRPr="003D32FA" w:rsidRDefault="005B51E6"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is highly prevalent in tropical and subtropical settings, particularly in developing countries with inadequate hygiene conditions and consumption of contaminated food or water</w:t>
      </w:r>
      <w:r w:rsidR="00C42B1F" w:rsidRPr="003D32FA">
        <w:rPr>
          <w:rFonts w:ascii="Times New Roman" w:hAnsi="Times New Roman" w:cs="Times New Roman"/>
          <w:sz w:val="24"/>
          <w:szCs w:val="24"/>
        </w:rPr>
        <w:t>, including the Philippines</w:t>
      </w:r>
      <w:r w:rsidRPr="003D32FA">
        <w:rPr>
          <w:rFonts w:ascii="Times New Roman" w:hAnsi="Times New Roman" w:cs="Times New Roman"/>
          <w:sz w:val="24"/>
          <w:szCs w:val="24"/>
        </w:rPr>
        <w:t xml:space="preserve">. Although its pathogenic potential is still questioned,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is commonly recognized as a pathogenic contributor to diarrhea, abdominal pain, and irritable bowel syndrome in people. In immunocompromised </w:t>
      </w:r>
      <w:r w:rsidR="00D221AC" w:rsidRPr="003D32FA">
        <w:rPr>
          <w:rFonts w:ascii="Times New Roman" w:hAnsi="Times New Roman" w:cs="Times New Roman"/>
          <w:sz w:val="24"/>
          <w:szCs w:val="24"/>
        </w:rPr>
        <w:t>individuals</w:t>
      </w:r>
      <w:r w:rsidR="00B06957" w:rsidRPr="003D32FA">
        <w:rPr>
          <w:rFonts w:ascii="Times New Roman" w:hAnsi="Times New Roman" w:cs="Times New Roman"/>
          <w:sz w:val="24"/>
          <w:szCs w:val="24"/>
        </w:rPr>
        <w:t>,</w:t>
      </w:r>
      <w:r w:rsidRPr="003D32FA">
        <w:rPr>
          <w:rFonts w:ascii="Times New Roman" w:hAnsi="Times New Roman" w:cs="Times New Roman"/>
          <w:sz w:val="24"/>
          <w:szCs w:val="24"/>
        </w:rPr>
        <w:t xml:space="preserve"> such as </w:t>
      </w:r>
      <w:r w:rsidR="00D221AC" w:rsidRPr="003D32FA">
        <w:rPr>
          <w:rFonts w:ascii="Times New Roman" w:hAnsi="Times New Roman" w:cs="Times New Roman"/>
          <w:sz w:val="24"/>
          <w:szCs w:val="24"/>
        </w:rPr>
        <w:t xml:space="preserve">the </w:t>
      </w:r>
      <w:r w:rsidRPr="003D32FA">
        <w:rPr>
          <w:rFonts w:ascii="Times New Roman" w:hAnsi="Times New Roman" w:cs="Times New Roman"/>
          <w:sz w:val="24"/>
          <w:szCs w:val="24"/>
        </w:rPr>
        <w:t>elderly, people with HIV/AIDS</w:t>
      </w:r>
      <w:r w:rsidR="00D221AC" w:rsidRPr="003D32FA">
        <w:rPr>
          <w:rFonts w:ascii="Times New Roman" w:hAnsi="Times New Roman" w:cs="Times New Roman"/>
          <w:sz w:val="24"/>
          <w:szCs w:val="24"/>
        </w:rPr>
        <w:t>,</w:t>
      </w:r>
      <w:r w:rsidRPr="003D32FA">
        <w:rPr>
          <w:rFonts w:ascii="Times New Roman" w:hAnsi="Times New Roman" w:cs="Times New Roman"/>
          <w:sz w:val="24"/>
          <w:szCs w:val="24"/>
        </w:rPr>
        <w:t xml:space="preserve"> or</w:t>
      </w:r>
      <w:r w:rsidR="00B06957" w:rsidRPr="003D32FA">
        <w:rPr>
          <w:rFonts w:ascii="Times New Roman" w:hAnsi="Times New Roman" w:cs="Times New Roman"/>
          <w:sz w:val="24"/>
          <w:szCs w:val="24"/>
        </w:rPr>
        <w:t xml:space="preserve"> people with</w:t>
      </w:r>
      <w:r w:rsidRPr="003D32FA">
        <w:rPr>
          <w:rFonts w:ascii="Times New Roman" w:hAnsi="Times New Roman" w:cs="Times New Roman"/>
          <w:sz w:val="24"/>
          <w:szCs w:val="24"/>
        </w:rPr>
        <w:t xml:space="preserve"> cancer,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infections can cause noticeable diarrhea. Children with recurrent diarrhea had a higher prevalence of intestinal parasitic infection, implying that </w:t>
      </w:r>
      <w:r w:rsidR="004663A3" w:rsidRPr="003D32FA">
        <w:rPr>
          <w:rFonts w:ascii="Times New Roman" w:hAnsi="Times New Roman" w:cs="Times New Roman"/>
          <w:sz w:val="24"/>
          <w:szCs w:val="24"/>
        </w:rPr>
        <w:t xml:space="preserve">this </w:t>
      </w:r>
      <w:r w:rsidRPr="003D32FA">
        <w:rPr>
          <w:rFonts w:ascii="Times New Roman" w:hAnsi="Times New Roman" w:cs="Times New Roman"/>
          <w:sz w:val="24"/>
          <w:szCs w:val="24"/>
        </w:rPr>
        <w:t xml:space="preserve">should be investigated in cases of chronic or recurrent diarrhea. Moreover, intestinal parasite infections are more common in children of school age and may have a negative impact on growth. Similarly, prior studies revealed that a higher cumulative burden of diarrhea prior to the age of 24 months was linked to a higher prevalence of stunting at that age (Wahid et al., 2023). Because of </w:t>
      </w:r>
      <w:r w:rsidR="00F84367" w:rsidRPr="003D32FA">
        <w:rPr>
          <w:rFonts w:ascii="Times New Roman" w:hAnsi="Times New Roman" w:cs="Times New Roman"/>
          <w:i/>
          <w:iCs/>
          <w:sz w:val="24"/>
          <w:szCs w:val="24"/>
        </w:rPr>
        <w:t>Blastocystis</w:t>
      </w:r>
      <w:r w:rsidR="00F84367" w:rsidRPr="003D32FA">
        <w:rPr>
          <w:rFonts w:ascii="Times New Roman" w:hAnsi="Times New Roman" w:cs="Times New Roman"/>
          <w:sz w:val="24"/>
          <w:szCs w:val="24"/>
        </w:rPr>
        <w:t>'</w:t>
      </w:r>
      <w:r w:rsidRPr="003D32FA">
        <w:rPr>
          <w:rFonts w:ascii="Times New Roman" w:hAnsi="Times New Roman" w:cs="Times New Roman"/>
          <w:sz w:val="24"/>
          <w:szCs w:val="24"/>
        </w:rPr>
        <w:t xml:space="preserve"> potential threat</w:t>
      </w:r>
      <w:r w:rsidR="00F84367" w:rsidRPr="003D32FA">
        <w:rPr>
          <w:rFonts w:ascii="Times New Roman" w:hAnsi="Times New Roman" w:cs="Times New Roman"/>
          <w:sz w:val="24"/>
          <w:szCs w:val="24"/>
        </w:rPr>
        <w:t>,</w:t>
      </w:r>
      <w:r w:rsidRPr="003D32FA">
        <w:rPr>
          <w:rFonts w:ascii="Times New Roman" w:hAnsi="Times New Roman" w:cs="Times New Roman"/>
          <w:sz w:val="24"/>
          <w:szCs w:val="24"/>
        </w:rPr>
        <w:t xml:space="preserve"> it is recommended to improve personal and environmental </w:t>
      </w:r>
      <w:r w:rsidR="009F7A83" w:rsidRPr="003D32FA">
        <w:rPr>
          <w:rFonts w:ascii="Times New Roman" w:hAnsi="Times New Roman" w:cs="Times New Roman"/>
          <w:sz w:val="24"/>
          <w:szCs w:val="24"/>
        </w:rPr>
        <w:t>hygiene</w:t>
      </w:r>
      <w:r w:rsidRPr="003D32FA">
        <w:rPr>
          <w:rFonts w:ascii="Times New Roman" w:hAnsi="Times New Roman" w:cs="Times New Roman"/>
          <w:sz w:val="24"/>
          <w:szCs w:val="24"/>
        </w:rPr>
        <w:t xml:space="preserve"> measures, </w:t>
      </w:r>
      <w:r w:rsidR="009F7A83" w:rsidRPr="003D32FA">
        <w:rPr>
          <w:rFonts w:ascii="Times New Roman" w:hAnsi="Times New Roman" w:cs="Times New Roman"/>
          <w:sz w:val="24"/>
          <w:szCs w:val="24"/>
        </w:rPr>
        <w:t>promote</w:t>
      </w:r>
      <w:r w:rsidRPr="003D32FA">
        <w:rPr>
          <w:rFonts w:ascii="Times New Roman" w:hAnsi="Times New Roman" w:cs="Times New Roman"/>
          <w:sz w:val="24"/>
          <w:szCs w:val="24"/>
        </w:rPr>
        <w:t xml:space="preserve"> health education, </w:t>
      </w:r>
      <w:r w:rsidR="009F7A83" w:rsidRPr="003D32FA">
        <w:rPr>
          <w:rFonts w:ascii="Times New Roman" w:hAnsi="Times New Roman" w:cs="Times New Roman"/>
          <w:sz w:val="24"/>
          <w:szCs w:val="24"/>
        </w:rPr>
        <w:t xml:space="preserve">and </w:t>
      </w:r>
      <w:r w:rsidRPr="003D32FA">
        <w:rPr>
          <w:rFonts w:ascii="Times New Roman" w:hAnsi="Times New Roman" w:cs="Times New Roman"/>
          <w:sz w:val="24"/>
          <w:szCs w:val="24"/>
        </w:rPr>
        <w:t xml:space="preserve">regular screening and treatment for such infections </w:t>
      </w:r>
      <w:r w:rsidR="009F7A83" w:rsidRPr="003D32FA">
        <w:rPr>
          <w:rFonts w:ascii="Times New Roman" w:hAnsi="Times New Roman" w:cs="Times New Roman"/>
          <w:sz w:val="24"/>
          <w:szCs w:val="24"/>
        </w:rPr>
        <w:t xml:space="preserve">must </w:t>
      </w:r>
      <w:r w:rsidR="009F7A83" w:rsidRPr="003D32FA">
        <w:rPr>
          <w:rFonts w:ascii="Times New Roman" w:hAnsi="Times New Roman" w:cs="Times New Roman"/>
          <w:sz w:val="24"/>
          <w:szCs w:val="24"/>
        </w:rPr>
        <w:lastRenderedPageBreak/>
        <w:t>be employed</w:t>
      </w:r>
      <w:r w:rsidRPr="003D32FA">
        <w:rPr>
          <w:rFonts w:ascii="Times New Roman" w:hAnsi="Times New Roman" w:cs="Times New Roman"/>
          <w:sz w:val="24"/>
          <w:szCs w:val="24"/>
        </w:rPr>
        <w:t xml:space="preserve">. Further studies concerned with molecular and subtype identification of </w:t>
      </w:r>
      <w:r w:rsidRPr="003D32FA">
        <w:rPr>
          <w:rFonts w:ascii="Times New Roman" w:hAnsi="Times New Roman" w:cs="Times New Roman"/>
          <w:i/>
          <w:iCs/>
          <w:sz w:val="24"/>
          <w:szCs w:val="24"/>
        </w:rPr>
        <w:t>Blastocystis</w:t>
      </w:r>
      <w:r w:rsidRPr="003D32FA">
        <w:rPr>
          <w:rFonts w:ascii="Times New Roman" w:hAnsi="Times New Roman" w:cs="Times New Roman"/>
          <w:sz w:val="24"/>
          <w:szCs w:val="24"/>
        </w:rPr>
        <w:t xml:space="preserve"> are</w:t>
      </w:r>
      <w:r w:rsidR="00E84AB2" w:rsidRPr="003D32FA">
        <w:rPr>
          <w:rFonts w:ascii="Times New Roman" w:hAnsi="Times New Roman" w:cs="Times New Roman"/>
          <w:sz w:val="24"/>
          <w:szCs w:val="24"/>
        </w:rPr>
        <w:t xml:space="preserve"> also</w:t>
      </w:r>
      <w:r w:rsidRPr="003D32FA">
        <w:rPr>
          <w:rFonts w:ascii="Times New Roman" w:hAnsi="Times New Roman" w:cs="Times New Roman"/>
          <w:sz w:val="24"/>
          <w:szCs w:val="24"/>
        </w:rPr>
        <w:t xml:space="preserve"> highly recommended (Hamdy et al., 2020).</w:t>
      </w:r>
    </w:p>
    <w:p w14:paraId="4AA0DE2A" w14:textId="753B908A" w:rsidR="00700521" w:rsidRPr="003D32FA" w:rsidRDefault="00D0089F" w:rsidP="003D32FA">
      <w:pPr>
        <w:spacing w:line="480" w:lineRule="auto"/>
        <w:jc w:val="both"/>
        <w:rPr>
          <w:rFonts w:ascii="Times New Roman" w:hAnsi="Times New Roman" w:cs="Times New Roman"/>
          <w:sz w:val="24"/>
          <w:szCs w:val="24"/>
        </w:rPr>
      </w:pPr>
      <w:r>
        <w:rPr>
          <w:rFonts w:ascii="Times New Roman" w:hAnsi="Times New Roman" w:cs="Times New Roman"/>
          <w:b/>
          <w:bCs/>
          <w:sz w:val="24"/>
          <w:szCs w:val="24"/>
        </w:rPr>
        <w:t>V</w:t>
      </w:r>
      <w:r w:rsidR="00D974C0" w:rsidRPr="003D32FA">
        <w:rPr>
          <w:rFonts w:ascii="Times New Roman" w:hAnsi="Times New Roman" w:cs="Times New Roman"/>
          <w:b/>
          <w:bCs/>
          <w:sz w:val="24"/>
          <w:szCs w:val="24"/>
        </w:rPr>
        <w:t>. DIAGNOSTIC CHALLENGES</w:t>
      </w:r>
    </w:p>
    <w:p w14:paraId="3434CA37" w14:textId="34713F41" w:rsidR="00CB7992" w:rsidRPr="003D32FA" w:rsidRDefault="000D4979" w:rsidP="003D32FA">
      <w:pPr>
        <w:spacing w:line="480" w:lineRule="auto"/>
        <w:ind w:firstLine="720"/>
        <w:jc w:val="both"/>
        <w:rPr>
          <w:rFonts w:ascii="Times New Roman" w:hAnsi="Times New Roman" w:cs="Times New Roman"/>
          <w:b/>
          <w:bCs/>
          <w:sz w:val="24"/>
          <w:szCs w:val="24"/>
          <w:lang w:val="en-US"/>
        </w:rPr>
      </w:pPr>
      <w:r w:rsidRPr="003D32FA">
        <w:rPr>
          <w:rFonts w:ascii="Times New Roman" w:hAnsi="Times New Roman" w:cs="Times New Roman"/>
          <w:sz w:val="24"/>
          <w:szCs w:val="24"/>
          <w:lang w:val="en-US"/>
        </w:rPr>
        <w:t xml:space="preserve">As an emerging pathogenic concern in the Philippines, </w:t>
      </w:r>
      <w:r w:rsidR="00690A7D" w:rsidRPr="003D32FA">
        <w:rPr>
          <w:rFonts w:ascii="Times New Roman" w:hAnsi="Times New Roman" w:cs="Times New Roman"/>
          <w:sz w:val="24"/>
          <w:szCs w:val="24"/>
          <w:lang w:val="en-US"/>
        </w:rPr>
        <w:t xml:space="preserve">precise diagnosis of </w:t>
      </w:r>
      <w:r w:rsidR="00690A7D" w:rsidRPr="003D32FA">
        <w:rPr>
          <w:rFonts w:ascii="Times New Roman" w:hAnsi="Times New Roman" w:cs="Times New Roman"/>
          <w:i/>
          <w:iCs/>
          <w:sz w:val="24"/>
          <w:szCs w:val="24"/>
          <w:lang w:val="en-US"/>
        </w:rPr>
        <w:t>B</w:t>
      </w:r>
      <w:r w:rsidR="00A0782F" w:rsidRPr="003D32FA">
        <w:rPr>
          <w:rFonts w:ascii="Times New Roman" w:hAnsi="Times New Roman" w:cs="Times New Roman"/>
          <w:i/>
          <w:iCs/>
          <w:sz w:val="24"/>
          <w:szCs w:val="24"/>
          <w:lang w:val="en-US"/>
        </w:rPr>
        <w:t>.</w:t>
      </w:r>
      <w:r w:rsidR="00690A7D" w:rsidRPr="003D32FA">
        <w:rPr>
          <w:rFonts w:ascii="Times New Roman" w:hAnsi="Times New Roman" w:cs="Times New Roman"/>
          <w:i/>
          <w:iCs/>
          <w:sz w:val="24"/>
          <w:szCs w:val="24"/>
          <w:lang w:val="en-US"/>
        </w:rPr>
        <w:t xml:space="preserve"> hominis</w:t>
      </w:r>
      <w:r w:rsidR="00690A7D" w:rsidRPr="003D32FA">
        <w:rPr>
          <w:rFonts w:ascii="Times New Roman" w:hAnsi="Times New Roman" w:cs="Times New Roman"/>
          <w:sz w:val="24"/>
          <w:szCs w:val="24"/>
          <w:lang w:val="en-US"/>
        </w:rPr>
        <w:t xml:space="preserve"> is necessary to understand its prevalence and </w:t>
      </w:r>
      <w:r w:rsidR="00E340A1" w:rsidRPr="003D32FA">
        <w:rPr>
          <w:rFonts w:ascii="Times New Roman" w:hAnsi="Times New Roman" w:cs="Times New Roman"/>
          <w:sz w:val="24"/>
          <w:szCs w:val="24"/>
          <w:lang w:val="en-US"/>
        </w:rPr>
        <w:t>clinical impact</w:t>
      </w:r>
      <w:r w:rsidR="008917CF" w:rsidRPr="003D32FA">
        <w:rPr>
          <w:rFonts w:ascii="Times New Roman" w:hAnsi="Times New Roman" w:cs="Times New Roman"/>
          <w:sz w:val="24"/>
          <w:szCs w:val="24"/>
          <w:lang w:val="en-US"/>
        </w:rPr>
        <w:t xml:space="preserve"> </w:t>
      </w:r>
      <w:r w:rsidR="008917CF" w:rsidRPr="003D32FA">
        <w:rPr>
          <w:rFonts w:ascii="Times New Roman" w:hAnsi="Times New Roman" w:cs="Times New Roman"/>
          <w:sz w:val="24"/>
          <w:szCs w:val="24"/>
        </w:rPr>
        <w:t>(Adao &amp; Rivera, 2024)</w:t>
      </w:r>
      <w:r w:rsidR="00E340A1" w:rsidRPr="003D32FA">
        <w:rPr>
          <w:rFonts w:ascii="Times New Roman" w:hAnsi="Times New Roman" w:cs="Times New Roman"/>
          <w:sz w:val="24"/>
          <w:szCs w:val="24"/>
          <w:lang w:val="en-US"/>
        </w:rPr>
        <w:t xml:space="preserve">. </w:t>
      </w:r>
      <w:r w:rsidR="003B6206" w:rsidRPr="003D32FA">
        <w:rPr>
          <w:rFonts w:ascii="Times New Roman" w:hAnsi="Times New Roman" w:cs="Times New Roman"/>
          <w:sz w:val="24"/>
          <w:szCs w:val="24"/>
          <w:lang w:val="en-US"/>
        </w:rPr>
        <w:t xml:space="preserve">Many diagnostic methods are currently employed to detect </w:t>
      </w:r>
      <w:r w:rsidR="008917CF" w:rsidRPr="003D32FA">
        <w:rPr>
          <w:rFonts w:ascii="Times New Roman" w:hAnsi="Times New Roman" w:cs="Times New Roman"/>
          <w:i/>
          <w:iCs/>
          <w:sz w:val="24"/>
          <w:szCs w:val="24"/>
          <w:lang w:val="en-US"/>
        </w:rPr>
        <w:t>B</w:t>
      </w:r>
      <w:r w:rsidR="0052162A" w:rsidRPr="003D32FA">
        <w:rPr>
          <w:rFonts w:ascii="Times New Roman" w:hAnsi="Times New Roman" w:cs="Times New Roman"/>
          <w:i/>
          <w:iCs/>
          <w:sz w:val="24"/>
          <w:szCs w:val="24"/>
          <w:lang w:val="en-US"/>
        </w:rPr>
        <w:t>.</w:t>
      </w:r>
      <w:r w:rsidR="008917CF" w:rsidRPr="003D32FA">
        <w:rPr>
          <w:rFonts w:ascii="Times New Roman" w:hAnsi="Times New Roman" w:cs="Times New Roman"/>
          <w:i/>
          <w:iCs/>
          <w:sz w:val="24"/>
          <w:szCs w:val="24"/>
          <w:lang w:val="en-US"/>
        </w:rPr>
        <w:t xml:space="preserve"> hominis</w:t>
      </w:r>
      <w:r w:rsidR="0052162A" w:rsidRPr="003D32FA">
        <w:rPr>
          <w:rFonts w:ascii="Times New Roman" w:hAnsi="Times New Roman" w:cs="Times New Roman"/>
          <w:i/>
          <w:iCs/>
          <w:sz w:val="24"/>
          <w:szCs w:val="24"/>
          <w:lang w:val="en-US"/>
        </w:rPr>
        <w:t>,</w:t>
      </w:r>
      <w:r w:rsidR="008917CF" w:rsidRPr="003D32FA">
        <w:rPr>
          <w:rFonts w:ascii="Times New Roman" w:hAnsi="Times New Roman" w:cs="Times New Roman"/>
          <w:sz w:val="24"/>
          <w:szCs w:val="24"/>
          <w:lang w:val="en-US"/>
        </w:rPr>
        <w:t xml:space="preserve"> including microscopy,</w:t>
      </w:r>
      <w:r w:rsidR="008F7C8F" w:rsidRPr="003D32FA">
        <w:rPr>
          <w:rFonts w:ascii="Times New Roman" w:hAnsi="Times New Roman" w:cs="Times New Roman"/>
          <w:sz w:val="24"/>
          <w:szCs w:val="24"/>
        </w:rPr>
        <w:t xml:space="preserve"> </w:t>
      </w:r>
      <w:r w:rsidR="001530A2" w:rsidRPr="003D32FA">
        <w:rPr>
          <w:rFonts w:ascii="Times New Roman" w:hAnsi="Times New Roman" w:cs="Times New Roman"/>
          <w:sz w:val="24"/>
          <w:szCs w:val="24"/>
        </w:rPr>
        <w:t>in vitro</w:t>
      </w:r>
      <w:r w:rsidR="008F7C8F" w:rsidRPr="003D32FA">
        <w:rPr>
          <w:rFonts w:ascii="Times New Roman" w:hAnsi="Times New Roman" w:cs="Times New Roman"/>
          <w:sz w:val="24"/>
          <w:szCs w:val="24"/>
        </w:rPr>
        <w:t xml:space="preserve"> cultivation, immunodiagnostic assays, </w:t>
      </w:r>
      <w:r w:rsidR="00BA49C8" w:rsidRPr="003D32FA">
        <w:rPr>
          <w:rFonts w:ascii="Times New Roman" w:hAnsi="Times New Roman" w:cs="Times New Roman"/>
          <w:sz w:val="24"/>
          <w:szCs w:val="24"/>
        </w:rPr>
        <w:t xml:space="preserve">and more </w:t>
      </w:r>
      <w:r w:rsidR="00E45FCD" w:rsidRPr="003D32FA">
        <w:rPr>
          <w:rFonts w:ascii="Times New Roman" w:hAnsi="Times New Roman" w:cs="Times New Roman"/>
          <w:sz w:val="24"/>
          <w:szCs w:val="24"/>
        </w:rPr>
        <w:t>advanced</w:t>
      </w:r>
      <w:r w:rsidR="001530A2" w:rsidRPr="003D32FA">
        <w:rPr>
          <w:rFonts w:ascii="Times New Roman" w:hAnsi="Times New Roman" w:cs="Times New Roman"/>
          <w:sz w:val="24"/>
          <w:szCs w:val="24"/>
        </w:rPr>
        <w:t xml:space="preserve"> and emerging</w:t>
      </w:r>
      <w:r w:rsidR="00BA49C8" w:rsidRPr="003D32FA">
        <w:rPr>
          <w:rFonts w:ascii="Times New Roman" w:hAnsi="Times New Roman" w:cs="Times New Roman"/>
          <w:sz w:val="24"/>
          <w:szCs w:val="24"/>
        </w:rPr>
        <w:t xml:space="preserve"> methods such as </w:t>
      </w:r>
      <w:r w:rsidR="008F7C8F" w:rsidRPr="003D32FA">
        <w:rPr>
          <w:rFonts w:ascii="Times New Roman" w:hAnsi="Times New Roman" w:cs="Times New Roman"/>
          <w:sz w:val="24"/>
          <w:szCs w:val="24"/>
        </w:rPr>
        <w:t>molecular tests</w:t>
      </w:r>
      <w:r w:rsidR="00BA49C8" w:rsidRPr="003D32FA">
        <w:rPr>
          <w:rFonts w:ascii="Times New Roman" w:hAnsi="Times New Roman" w:cs="Times New Roman"/>
          <w:sz w:val="24"/>
          <w:szCs w:val="24"/>
        </w:rPr>
        <w:t xml:space="preserve"> (Table 2).</w:t>
      </w:r>
      <w:r w:rsidR="00BA49C8" w:rsidRPr="003D32FA">
        <w:rPr>
          <w:rFonts w:ascii="Times New Roman" w:hAnsi="Times New Roman" w:cs="Times New Roman"/>
          <w:b/>
          <w:bCs/>
          <w:sz w:val="24"/>
          <w:szCs w:val="24"/>
          <w:lang w:val="en-US"/>
        </w:rPr>
        <w:t xml:space="preserve"> </w:t>
      </w:r>
      <w:r w:rsidR="00536813" w:rsidRPr="003D32FA">
        <w:rPr>
          <w:rFonts w:ascii="Times New Roman" w:hAnsi="Times New Roman" w:cs="Times New Roman"/>
          <w:sz w:val="24"/>
          <w:szCs w:val="24"/>
          <w:lang w:val="en-US"/>
        </w:rPr>
        <w:t>H</w:t>
      </w:r>
      <w:r w:rsidR="00964996" w:rsidRPr="003D32FA">
        <w:rPr>
          <w:rFonts w:ascii="Times New Roman" w:hAnsi="Times New Roman" w:cs="Times New Roman"/>
          <w:sz w:val="24"/>
          <w:szCs w:val="24"/>
          <w:lang w:val="en-US"/>
        </w:rPr>
        <w:t>owever</w:t>
      </w:r>
      <w:r w:rsidR="008027CD" w:rsidRPr="003D32FA">
        <w:rPr>
          <w:rFonts w:ascii="Times New Roman" w:hAnsi="Times New Roman" w:cs="Times New Roman"/>
          <w:sz w:val="24"/>
          <w:szCs w:val="24"/>
          <w:lang w:val="en-US"/>
        </w:rPr>
        <w:t xml:space="preserve">, </w:t>
      </w:r>
      <w:r w:rsidR="00CB7992" w:rsidRPr="003D32FA">
        <w:rPr>
          <w:rFonts w:ascii="Times New Roman" w:hAnsi="Times New Roman" w:cs="Times New Roman"/>
          <w:sz w:val="24"/>
          <w:szCs w:val="24"/>
          <w:lang w:val="en-US"/>
        </w:rPr>
        <w:t xml:space="preserve">less sensitive (38.46% sensitivity) conventional microscopy </w:t>
      </w:r>
      <w:r w:rsidR="00F52427" w:rsidRPr="003D32FA">
        <w:rPr>
          <w:rFonts w:ascii="Times New Roman" w:hAnsi="Times New Roman" w:cs="Times New Roman"/>
          <w:sz w:val="24"/>
          <w:szCs w:val="24"/>
          <w:lang w:val="en-US"/>
        </w:rPr>
        <w:t>is still</w:t>
      </w:r>
      <w:r w:rsidR="00E45FCD" w:rsidRPr="003D32FA">
        <w:rPr>
          <w:rFonts w:ascii="Times New Roman" w:hAnsi="Times New Roman" w:cs="Times New Roman"/>
          <w:sz w:val="24"/>
          <w:szCs w:val="24"/>
          <w:lang w:val="en-US"/>
        </w:rPr>
        <w:t xml:space="preserve"> the most</w:t>
      </w:r>
      <w:r w:rsidR="008027CD" w:rsidRPr="003D32FA">
        <w:rPr>
          <w:rFonts w:ascii="Times New Roman" w:hAnsi="Times New Roman" w:cs="Times New Roman"/>
          <w:sz w:val="24"/>
          <w:szCs w:val="24"/>
          <w:lang w:val="en-US"/>
        </w:rPr>
        <w:t xml:space="preserve"> commonly</w:t>
      </w:r>
      <w:r w:rsidR="00CB7992" w:rsidRPr="003D32FA">
        <w:rPr>
          <w:rFonts w:ascii="Times New Roman" w:hAnsi="Times New Roman" w:cs="Times New Roman"/>
          <w:sz w:val="24"/>
          <w:szCs w:val="24"/>
          <w:lang w:val="en-US"/>
        </w:rPr>
        <w:t xml:space="preserve"> used </w:t>
      </w:r>
      <w:r w:rsidR="00E45FCD" w:rsidRPr="003D32FA">
        <w:rPr>
          <w:rFonts w:ascii="Times New Roman" w:hAnsi="Times New Roman" w:cs="Times New Roman"/>
          <w:sz w:val="24"/>
          <w:szCs w:val="24"/>
          <w:lang w:val="en-US"/>
        </w:rPr>
        <w:t xml:space="preserve">method </w:t>
      </w:r>
      <w:r w:rsidR="00CB7992" w:rsidRPr="003D32FA">
        <w:rPr>
          <w:rFonts w:ascii="Times New Roman" w:hAnsi="Times New Roman" w:cs="Times New Roman"/>
          <w:sz w:val="24"/>
          <w:szCs w:val="24"/>
          <w:lang w:val="en-US"/>
        </w:rPr>
        <w:t xml:space="preserve">due to its cheap price and higher accessibility (Barua et al., 2015). Concentration technique </w:t>
      </w:r>
      <w:r w:rsidR="00CB7992" w:rsidRPr="00FD0FAA">
        <w:rPr>
          <w:rFonts w:ascii="Times New Roman" w:hAnsi="Times New Roman" w:cs="Times New Roman"/>
          <w:sz w:val="24"/>
          <w:szCs w:val="24"/>
          <w:lang w:val="en-US"/>
        </w:rPr>
        <w:t xml:space="preserve">using </w:t>
      </w:r>
      <w:r w:rsidR="00FD0FAA" w:rsidRPr="00FD0FAA">
        <w:rPr>
          <w:rFonts w:ascii="Times New Roman" w:hAnsi="Times New Roman" w:cs="Times New Roman"/>
          <w:sz w:val="24"/>
          <w:szCs w:val="24"/>
        </w:rPr>
        <w:t>Formalin-Ether Concentration Technique</w:t>
      </w:r>
      <w:r w:rsidR="00FD0FAA">
        <w:rPr>
          <w:rFonts w:ascii="Times New Roman" w:hAnsi="Times New Roman" w:cs="Times New Roman"/>
          <w:sz w:val="24"/>
          <w:szCs w:val="24"/>
        </w:rPr>
        <w:t xml:space="preserve"> (</w:t>
      </w:r>
      <w:r w:rsidR="00CB7992" w:rsidRPr="003D32FA">
        <w:rPr>
          <w:rFonts w:ascii="Times New Roman" w:hAnsi="Times New Roman" w:cs="Times New Roman"/>
          <w:sz w:val="24"/>
          <w:szCs w:val="24"/>
          <w:lang w:val="en-US"/>
        </w:rPr>
        <w:t>FECT</w:t>
      </w:r>
      <w:r w:rsidR="00FD0FAA">
        <w:rPr>
          <w:rFonts w:ascii="Times New Roman" w:hAnsi="Times New Roman" w:cs="Times New Roman"/>
          <w:sz w:val="24"/>
          <w:szCs w:val="24"/>
          <w:lang w:val="en-US"/>
        </w:rPr>
        <w:t>)</w:t>
      </w:r>
      <w:r w:rsidR="00CB7992" w:rsidRPr="003D32FA">
        <w:rPr>
          <w:rFonts w:ascii="Times New Roman" w:hAnsi="Times New Roman" w:cs="Times New Roman"/>
          <w:sz w:val="24"/>
          <w:szCs w:val="24"/>
          <w:lang w:val="en-US"/>
        </w:rPr>
        <w:t xml:space="preserve"> could also be employed with much higher sensitivity </w:t>
      </w:r>
      <w:r w:rsidR="00F52427" w:rsidRPr="003D32FA">
        <w:rPr>
          <w:rFonts w:ascii="Times New Roman" w:hAnsi="Times New Roman" w:cs="Times New Roman"/>
          <w:sz w:val="24"/>
          <w:szCs w:val="24"/>
          <w:lang w:val="en-US"/>
        </w:rPr>
        <w:t>compared</w:t>
      </w:r>
      <w:r w:rsidR="00CB7992" w:rsidRPr="003D32FA">
        <w:rPr>
          <w:rFonts w:ascii="Times New Roman" w:hAnsi="Times New Roman" w:cs="Times New Roman"/>
          <w:sz w:val="24"/>
          <w:szCs w:val="24"/>
          <w:lang w:val="en-US"/>
        </w:rPr>
        <w:t xml:space="preserve"> to direct wet mount</w:t>
      </w:r>
      <w:r w:rsidR="00F52427" w:rsidRPr="003D32FA">
        <w:rPr>
          <w:rFonts w:ascii="Times New Roman" w:hAnsi="Times New Roman" w:cs="Times New Roman"/>
          <w:sz w:val="24"/>
          <w:szCs w:val="24"/>
          <w:lang w:val="en-US"/>
        </w:rPr>
        <w:t>,</w:t>
      </w:r>
      <w:r w:rsidR="00CB7992" w:rsidRPr="003D32FA">
        <w:rPr>
          <w:rFonts w:ascii="Times New Roman" w:hAnsi="Times New Roman" w:cs="Times New Roman"/>
          <w:sz w:val="24"/>
          <w:szCs w:val="24"/>
          <w:lang w:val="en-US"/>
        </w:rPr>
        <w:t xml:space="preserve"> but </w:t>
      </w:r>
      <w:r w:rsidR="00434012" w:rsidRPr="003D32FA">
        <w:rPr>
          <w:rFonts w:ascii="Times New Roman" w:hAnsi="Times New Roman" w:cs="Times New Roman"/>
          <w:sz w:val="24"/>
          <w:szCs w:val="24"/>
          <w:lang w:val="en-US"/>
        </w:rPr>
        <w:t xml:space="preserve">the </w:t>
      </w:r>
      <w:r w:rsidR="00CB7992" w:rsidRPr="003D32FA">
        <w:rPr>
          <w:rFonts w:ascii="Times New Roman" w:hAnsi="Times New Roman" w:cs="Times New Roman"/>
          <w:sz w:val="24"/>
          <w:szCs w:val="24"/>
          <w:lang w:val="en-US"/>
        </w:rPr>
        <w:t>parasite could be easily disturbed</w:t>
      </w:r>
      <w:r w:rsidR="00434012" w:rsidRPr="003D32FA">
        <w:rPr>
          <w:rFonts w:ascii="Times New Roman" w:hAnsi="Times New Roman" w:cs="Times New Roman"/>
          <w:sz w:val="24"/>
          <w:szCs w:val="24"/>
          <w:lang w:val="en-US"/>
        </w:rPr>
        <w:t>,</w:t>
      </w:r>
      <w:r w:rsidR="00CB7992" w:rsidRPr="003D32FA">
        <w:rPr>
          <w:rFonts w:ascii="Times New Roman" w:hAnsi="Times New Roman" w:cs="Times New Roman"/>
          <w:sz w:val="24"/>
          <w:szCs w:val="24"/>
          <w:lang w:val="en-US"/>
        </w:rPr>
        <w:t xml:space="preserve"> producing </w:t>
      </w:r>
      <w:r w:rsidR="00434012" w:rsidRPr="003D32FA">
        <w:rPr>
          <w:rFonts w:ascii="Times New Roman" w:hAnsi="Times New Roman" w:cs="Times New Roman"/>
          <w:sz w:val="24"/>
          <w:szCs w:val="24"/>
          <w:lang w:val="en-US"/>
        </w:rPr>
        <w:t xml:space="preserve">a </w:t>
      </w:r>
      <w:r w:rsidR="00CB7992" w:rsidRPr="003D32FA">
        <w:rPr>
          <w:rFonts w:ascii="Times New Roman" w:hAnsi="Times New Roman" w:cs="Times New Roman"/>
          <w:sz w:val="24"/>
          <w:szCs w:val="24"/>
          <w:lang w:val="en-US"/>
        </w:rPr>
        <w:t xml:space="preserve">potential false negative result. </w:t>
      </w:r>
      <w:r w:rsidR="00434012" w:rsidRPr="003D32FA">
        <w:rPr>
          <w:rFonts w:ascii="Times New Roman" w:hAnsi="Times New Roman" w:cs="Times New Roman"/>
          <w:sz w:val="24"/>
          <w:szCs w:val="24"/>
          <w:lang w:val="en-US"/>
        </w:rPr>
        <w:t>The use</w:t>
      </w:r>
      <w:r w:rsidR="00CB7992" w:rsidRPr="003D32FA">
        <w:rPr>
          <w:rFonts w:ascii="Times New Roman" w:hAnsi="Times New Roman" w:cs="Times New Roman"/>
          <w:sz w:val="24"/>
          <w:szCs w:val="24"/>
          <w:lang w:val="en-US"/>
        </w:rPr>
        <w:t xml:space="preserve"> of permanent </w:t>
      </w:r>
      <w:r w:rsidR="00F52427" w:rsidRPr="003D32FA">
        <w:rPr>
          <w:rFonts w:ascii="Times New Roman" w:hAnsi="Times New Roman" w:cs="Times New Roman"/>
          <w:sz w:val="24"/>
          <w:szCs w:val="24"/>
          <w:lang w:val="en-US"/>
        </w:rPr>
        <w:t>stains</w:t>
      </w:r>
      <w:r w:rsidR="00CB7992" w:rsidRPr="003D32FA">
        <w:rPr>
          <w:rFonts w:ascii="Times New Roman" w:hAnsi="Times New Roman" w:cs="Times New Roman"/>
          <w:sz w:val="24"/>
          <w:szCs w:val="24"/>
          <w:lang w:val="en-US"/>
        </w:rPr>
        <w:t xml:space="preserve"> like trichome</w:t>
      </w:r>
      <w:r w:rsidR="00F52427" w:rsidRPr="003D32FA">
        <w:rPr>
          <w:rFonts w:ascii="Times New Roman" w:hAnsi="Times New Roman" w:cs="Times New Roman"/>
          <w:sz w:val="24"/>
          <w:szCs w:val="24"/>
          <w:lang w:val="en-US"/>
        </w:rPr>
        <w:t>,</w:t>
      </w:r>
      <w:r w:rsidR="00CB7992" w:rsidRPr="003D32FA">
        <w:rPr>
          <w:rFonts w:ascii="Times New Roman" w:hAnsi="Times New Roman" w:cs="Times New Roman"/>
          <w:sz w:val="24"/>
          <w:szCs w:val="24"/>
          <w:lang w:val="en-US"/>
        </w:rPr>
        <w:t xml:space="preserve"> besides iodine</w:t>
      </w:r>
      <w:r w:rsidR="00F52427" w:rsidRPr="003D32FA">
        <w:rPr>
          <w:rFonts w:ascii="Times New Roman" w:hAnsi="Times New Roman" w:cs="Times New Roman"/>
          <w:sz w:val="24"/>
          <w:szCs w:val="24"/>
          <w:lang w:val="en-US"/>
        </w:rPr>
        <w:t>,</w:t>
      </w:r>
      <w:r w:rsidR="00CB7992" w:rsidRPr="003D32FA">
        <w:rPr>
          <w:rFonts w:ascii="Times New Roman" w:hAnsi="Times New Roman" w:cs="Times New Roman"/>
          <w:sz w:val="24"/>
          <w:szCs w:val="24"/>
          <w:lang w:val="en-US"/>
        </w:rPr>
        <w:t xml:space="preserve"> </w:t>
      </w:r>
      <w:r w:rsidR="00F52427" w:rsidRPr="003D32FA">
        <w:rPr>
          <w:rFonts w:ascii="Times New Roman" w:hAnsi="Times New Roman" w:cs="Times New Roman"/>
          <w:sz w:val="24"/>
          <w:szCs w:val="24"/>
          <w:lang w:val="en-US"/>
        </w:rPr>
        <w:t>is</w:t>
      </w:r>
      <w:r w:rsidR="00CB7992" w:rsidRPr="003D32FA">
        <w:rPr>
          <w:rFonts w:ascii="Times New Roman" w:hAnsi="Times New Roman" w:cs="Times New Roman"/>
          <w:sz w:val="24"/>
          <w:szCs w:val="24"/>
          <w:lang w:val="en-US"/>
        </w:rPr>
        <w:t xml:space="preserve"> currently being suggested to increase the sensitivity in detecting</w:t>
      </w:r>
      <w:r w:rsidR="007B5E41" w:rsidRPr="003D32FA">
        <w:rPr>
          <w:rFonts w:ascii="Times New Roman" w:hAnsi="Times New Roman" w:cs="Times New Roman"/>
          <w:sz w:val="24"/>
          <w:szCs w:val="24"/>
          <w:lang w:val="en-US"/>
        </w:rPr>
        <w:t xml:space="preserve"> </w:t>
      </w:r>
      <w:r w:rsidR="007B5E41" w:rsidRPr="003D32FA">
        <w:rPr>
          <w:rFonts w:ascii="Times New Roman" w:hAnsi="Times New Roman" w:cs="Times New Roman"/>
          <w:i/>
          <w:iCs/>
          <w:sz w:val="24"/>
          <w:szCs w:val="24"/>
          <w:lang w:val="en-US"/>
        </w:rPr>
        <w:t>B</w:t>
      </w:r>
      <w:r w:rsidR="00B33784" w:rsidRPr="003D32FA">
        <w:rPr>
          <w:rFonts w:ascii="Times New Roman" w:hAnsi="Times New Roman" w:cs="Times New Roman"/>
          <w:i/>
          <w:iCs/>
          <w:sz w:val="24"/>
          <w:szCs w:val="24"/>
          <w:lang w:val="en-US"/>
        </w:rPr>
        <w:t>.</w:t>
      </w:r>
      <w:r w:rsidR="007B5E41" w:rsidRPr="003D32FA">
        <w:rPr>
          <w:rFonts w:ascii="Times New Roman" w:hAnsi="Times New Roman" w:cs="Times New Roman"/>
          <w:i/>
          <w:iCs/>
          <w:sz w:val="24"/>
          <w:szCs w:val="24"/>
          <w:lang w:val="en-US"/>
        </w:rPr>
        <w:t xml:space="preserve"> hominis</w:t>
      </w:r>
      <w:r w:rsidR="0061511E" w:rsidRPr="003D32FA">
        <w:rPr>
          <w:rFonts w:ascii="Times New Roman" w:hAnsi="Times New Roman" w:cs="Times New Roman"/>
          <w:sz w:val="24"/>
          <w:szCs w:val="24"/>
          <w:lang w:val="en-US"/>
        </w:rPr>
        <w:t>.</w:t>
      </w:r>
      <w:r w:rsidR="00CB7992" w:rsidRPr="003D32FA">
        <w:rPr>
          <w:rFonts w:ascii="Times New Roman" w:hAnsi="Times New Roman" w:cs="Times New Roman"/>
          <w:sz w:val="24"/>
          <w:szCs w:val="24"/>
          <w:lang w:val="en-US"/>
        </w:rPr>
        <w:t xml:space="preserve"> </w:t>
      </w:r>
      <w:r w:rsidR="0061511E" w:rsidRPr="003D32FA">
        <w:rPr>
          <w:rFonts w:ascii="Times New Roman" w:hAnsi="Times New Roman" w:cs="Times New Roman"/>
          <w:sz w:val="24"/>
          <w:szCs w:val="24"/>
          <w:lang w:val="en-US"/>
        </w:rPr>
        <w:t>However,</w:t>
      </w:r>
      <w:r w:rsidR="00CB7992" w:rsidRPr="003D32FA">
        <w:rPr>
          <w:rFonts w:ascii="Times New Roman" w:hAnsi="Times New Roman" w:cs="Times New Roman"/>
          <w:sz w:val="24"/>
          <w:szCs w:val="24"/>
          <w:lang w:val="en-US"/>
        </w:rPr>
        <w:t xml:space="preserve"> it was </w:t>
      </w:r>
      <w:r w:rsidR="0061511E" w:rsidRPr="003D32FA">
        <w:rPr>
          <w:rFonts w:ascii="Times New Roman" w:hAnsi="Times New Roman" w:cs="Times New Roman"/>
          <w:sz w:val="24"/>
          <w:szCs w:val="24"/>
          <w:lang w:val="en-US"/>
        </w:rPr>
        <w:t>also revealed</w:t>
      </w:r>
      <w:r w:rsidR="00CB7992" w:rsidRPr="003D32FA">
        <w:rPr>
          <w:rFonts w:ascii="Times New Roman" w:hAnsi="Times New Roman" w:cs="Times New Roman"/>
          <w:sz w:val="24"/>
          <w:szCs w:val="24"/>
          <w:lang w:val="en-US"/>
        </w:rPr>
        <w:t xml:space="preserve"> that trichrome staining </w:t>
      </w:r>
      <w:r w:rsidR="00B33784" w:rsidRPr="003D32FA">
        <w:rPr>
          <w:rFonts w:ascii="Times New Roman" w:hAnsi="Times New Roman" w:cs="Times New Roman"/>
          <w:sz w:val="24"/>
          <w:szCs w:val="24"/>
          <w:lang w:val="en-US"/>
        </w:rPr>
        <w:t>is</w:t>
      </w:r>
      <w:r w:rsidR="00CB7992" w:rsidRPr="003D32FA">
        <w:rPr>
          <w:rFonts w:ascii="Times New Roman" w:hAnsi="Times New Roman" w:cs="Times New Roman"/>
          <w:sz w:val="24"/>
          <w:szCs w:val="24"/>
          <w:lang w:val="en-US"/>
        </w:rPr>
        <w:t xml:space="preserve"> much more </w:t>
      </w:r>
      <w:r w:rsidR="0061511E" w:rsidRPr="003D32FA">
        <w:rPr>
          <w:rFonts w:ascii="Times New Roman" w:hAnsi="Times New Roman" w:cs="Times New Roman"/>
          <w:sz w:val="24"/>
          <w:szCs w:val="24"/>
          <w:lang w:val="en-US"/>
        </w:rPr>
        <w:t>time-consuming</w:t>
      </w:r>
      <w:r w:rsidR="00CB7992" w:rsidRPr="003D32FA">
        <w:rPr>
          <w:rFonts w:ascii="Times New Roman" w:hAnsi="Times New Roman" w:cs="Times New Roman"/>
          <w:sz w:val="24"/>
          <w:szCs w:val="24"/>
          <w:lang w:val="en-US"/>
        </w:rPr>
        <w:t xml:space="preserve">, </w:t>
      </w:r>
      <w:r w:rsidR="00C4734A" w:rsidRPr="003D32FA">
        <w:rPr>
          <w:rFonts w:ascii="Times New Roman" w:hAnsi="Times New Roman" w:cs="Times New Roman"/>
          <w:sz w:val="24"/>
          <w:szCs w:val="24"/>
          <w:lang w:val="en-US"/>
        </w:rPr>
        <w:t>making</w:t>
      </w:r>
      <w:r w:rsidR="00CB7992" w:rsidRPr="003D32FA">
        <w:rPr>
          <w:rFonts w:ascii="Times New Roman" w:hAnsi="Times New Roman" w:cs="Times New Roman"/>
          <w:sz w:val="24"/>
          <w:szCs w:val="24"/>
          <w:lang w:val="en-US"/>
        </w:rPr>
        <w:t xml:space="preserve"> it unsuitable for </w:t>
      </w:r>
      <w:r w:rsidR="00B340DB" w:rsidRPr="003D32FA">
        <w:rPr>
          <w:rFonts w:ascii="Times New Roman" w:hAnsi="Times New Roman" w:cs="Times New Roman"/>
          <w:sz w:val="24"/>
          <w:szCs w:val="24"/>
          <w:lang w:val="en-US"/>
        </w:rPr>
        <w:t>routine use</w:t>
      </w:r>
      <w:r w:rsidR="0061511E" w:rsidRPr="003D32FA">
        <w:rPr>
          <w:rFonts w:ascii="Times New Roman" w:hAnsi="Times New Roman" w:cs="Times New Roman"/>
          <w:sz w:val="24"/>
          <w:szCs w:val="24"/>
          <w:lang w:val="en-US"/>
        </w:rPr>
        <w:t xml:space="preserve"> </w:t>
      </w:r>
      <w:r w:rsidR="00CB7992" w:rsidRPr="003D32FA">
        <w:rPr>
          <w:rFonts w:ascii="Times New Roman" w:hAnsi="Times New Roman" w:cs="Times New Roman"/>
          <w:sz w:val="24"/>
          <w:szCs w:val="24"/>
          <w:lang w:val="en-US"/>
        </w:rPr>
        <w:t>(Elghareeb et al., 2015)</w:t>
      </w:r>
      <w:r w:rsidR="00B340DB" w:rsidRPr="003D32FA">
        <w:rPr>
          <w:rFonts w:ascii="Times New Roman" w:hAnsi="Times New Roman" w:cs="Times New Roman"/>
          <w:sz w:val="24"/>
          <w:szCs w:val="24"/>
          <w:lang w:val="en-US"/>
        </w:rPr>
        <w:t>.</w:t>
      </w:r>
      <w:r w:rsidR="00CB7992" w:rsidRPr="003D32FA">
        <w:rPr>
          <w:rFonts w:ascii="Times New Roman" w:hAnsi="Times New Roman" w:cs="Times New Roman"/>
          <w:sz w:val="24"/>
          <w:szCs w:val="24"/>
          <w:lang w:val="en-US"/>
        </w:rPr>
        <w:t xml:space="preserve"> Issues</w:t>
      </w:r>
      <w:r w:rsidR="00BD029C" w:rsidRPr="003D32FA">
        <w:rPr>
          <w:rFonts w:ascii="Times New Roman" w:hAnsi="Times New Roman" w:cs="Times New Roman"/>
          <w:sz w:val="24"/>
          <w:szCs w:val="24"/>
          <w:lang w:val="en-US"/>
        </w:rPr>
        <w:t xml:space="preserve"> of the harmful effects</w:t>
      </w:r>
      <w:r w:rsidR="00CB7992" w:rsidRPr="003D32FA">
        <w:rPr>
          <w:rFonts w:ascii="Times New Roman" w:hAnsi="Times New Roman" w:cs="Times New Roman"/>
          <w:sz w:val="24"/>
          <w:szCs w:val="24"/>
          <w:lang w:val="en-US"/>
        </w:rPr>
        <w:t xml:space="preserve"> </w:t>
      </w:r>
      <w:r w:rsidR="001F3EFE" w:rsidRPr="003D32FA">
        <w:rPr>
          <w:rFonts w:ascii="Times New Roman" w:hAnsi="Times New Roman" w:cs="Times New Roman"/>
          <w:sz w:val="24"/>
          <w:szCs w:val="24"/>
          <w:lang w:val="en-US"/>
        </w:rPr>
        <w:t xml:space="preserve">of </w:t>
      </w:r>
      <w:r w:rsidR="000C56BA" w:rsidRPr="003D32FA">
        <w:rPr>
          <w:rFonts w:ascii="Times New Roman" w:hAnsi="Times New Roman" w:cs="Times New Roman"/>
          <w:sz w:val="24"/>
          <w:szCs w:val="24"/>
          <w:lang w:val="en-US"/>
        </w:rPr>
        <w:t xml:space="preserve">the use of </w:t>
      </w:r>
      <w:r w:rsidR="00CB7992" w:rsidRPr="003D32FA">
        <w:rPr>
          <w:rFonts w:ascii="Times New Roman" w:hAnsi="Times New Roman" w:cs="Times New Roman"/>
          <w:sz w:val="24"/>
          <w:szCs w:val="24"/>
          <w:lang w:val="en-US"/>
        </w:rPr>
        <w:t>fixatives (PVA and Schaudinn fixative) in permanent staining</w:t>
      </w:r>
      <w:r w:rsidR="00BD029C" w:rsidRPr="003D32FA">
        <w:rPr>
          <w:rFonts w:ascii="Times New Roman" w:hAnsi="Times New Roman" w:cs="Times New Roman"/>
          <w:sz w:val="24"/>
          <w:szCs w:val="24"/>
          <w:lang w:val="en-US"/>
        </w:rPr>
        <w:t xml:space="preserve"> </w:t>
      </w:r>
      <w:r w:rsidR="00CB7992" w:rsidRPr="003D32FA">
        <w:rPr>
          <w:rFonts w:ascii="Times New Roman" w:hAnsi="Times New Roman" w:cs="Times New Roman"/>
          <w:sz w:val="24"/>
          <w:szCs w:val="24"/>
          <w:lang w:val="en-US"/>
        </w:rPr>
        <w:t>should</w:t>
      </w:r>
      <w:r w:rsidR="000C56BA" w:rsidRPr="003D32FA">
        <w:rPr>
          <w:rFonts w:ascii="Times New Roman" w:hAnsi="Times New Roman" w:cs="Times New Roman"/>
          <w:sz w:val="24"/>
          <w:szCs w:val="24"/>
          <w:lang w:val="en-US"/>
        </w:rPr>
        <w:t xml:space="preserve"> also</w:t>
      </w:r>
      <w:r w:rsidR="00CB7992" w:rsidRPr="003D32FA">
        <w:rPr>
          <w:rFonts w:ascii="Times New Roman" w:hAnsi="Times New Roman" w:cs="Times New Roman"/>
          <w:sz w:val="24"/>
          <w:szCs w:val="24"/>
          <w:lang w:val="en-US"/>
        </w:rPr>
        <w:t xml:space="preserve"> be considered. Therefore, it was recommended that in vitro culture method (RPMI 1640, 199, DMEM</w:t>
      </w:r>
      <w:r w:rsidR="00BD029C" w:rsidRPr="003D32FA">
        <w:rPr>
          <w:rFonts w:ascii="Times New Roman" w:hAnsi="Times New Roman" w:cs="Times New Roman"/>
          <w:sz w:val="24"/>
          <w:szCs w:val="24"/>
          <w:lang w:val="en-US"/>
        </w:rPr>
        <w:t>,</w:t>
      </w:r>
      <w:r w:rsidR="00CB7992" w:rsidRPr="003D32FA">
        <w:rPr>
          <w:rFonts w:ascii="Times New Roman" w:hAnsi="Times New Roman" w:cs="Times New Roman"/>
          <w:sz w:val="24"/>
          <w:szCs w:val="24"/>
          <w:lang w:val="en-US"/>
        </w:rPr>
        <w:t xml:space="preserve"> and </w:t>
      </w:r>
      <w:r w:rsidR="00BD029C" w:rsidRPr="003D32FA">
        <w:rPr>
          <w:rFonts w:ascii="Times New Roman" w:hAnsi="Times New Roman" w:cs="Times New Roman"/>
          <w:sz w:val="24"/>
          <w:szCs w:val="24"/>
          <w:lang w:val="en-US"/>
        </w:rPr>
        <w:t>Jones</w:t>
      </w:r>
      <w:r w:rsidR="00CB7992" w:rsidRPr="003D32FA">
        <w:rPr>
          <w:rFonts w:ascii="Times New Roman" w:hAnsi="Times New Roman" w:cs="Times New Roman"/>
          <w:sz w:val="24"/>
          <w:szCs w:val="24"/>
          <w:lang w:val="en-US"/>
        </w:rPr>
        <w:t xml:space="preserve"> medium) could be used with</w:t>
      </w:r>
      <w:r w:rsidR="009A51D7" w:rsidRPr="003D32FA">
        <w:rPr>
          <w:rFonts w:ascii="Times New Roman" w:hAnsi="Times New Roman" w:cs="Times New Roman"/>
          <w:sz w:val="24"/>
          <w:szCs w:val="24"/>
          <w:lang w:val="en-US"/>
        </w:rPr>
        <w:t xml:space="preserve"> </w:t>
      </w:r>
      <w:r w:rsidR="00CB7992" w:rsidRPr="003D32FA">
        <w:rPr>
          <w:rFonts w:ascii="Times New Roman" w:hAnsi="Times New Roman" w:cs="Times New Roman"/>
          <w:sz w:val="24"/>
          <w:szCs w:val="24"/>
          <w:lang w:val="en-US"/>
        </w:rPr>
        <w:t xml:space="preserve">more </w:t>
      </w:r>
      <w:r w:rsidR="00BD029C" w:rsidRPr="003D32FA">
        <w:rPr>
          <w:rFonts w:ascii="Times New Roman" w:hAnsi="Times New Roman" w:cs="Times New Roman"/>
          <w:sz w:val="24"/>
          <w:szCs w:val="24"/>
          <w:lang w:val="en-US"/>
        </w:rPr>
        <w:t>improved</w:t>
      </w:r>
      <w:r w:rsidR="00CB7992" w:rsidRPr="003D32FA">
        <w:rPr>
          <w:rFonts w:ascii="Times New Roman" w:hAnsi="Times New Roman" w:cs="Times New Roman"/>
          <w:sz w:val="24"/>
          <w:szCs w:val="24"/>
          <w:lang w:val="en-US"/>
        </w:rPr>
        <w:t xml:space="preserve"> sensitivity and </w:t>
      </w:r>
      <w:r w:rsidR="00CC2D0C" w:rsidRPr="003D32FA">
        <w:rPr>
          <w:rFonts w:ascii="Times New Roman" w:hAnsi="Times New Roman" w:cs="Times New Roman"/>
          <w:sz w:val="24"/>
          <w:szCs w:val="24"/>
          <w:lang w:val="en-US"/>
        </w:rPr>
        <w:t>specificity;</w:t>
      </w:r>
      <w:r w:rsidR="00897FF7" w:rsidRPr="003D32FA">
        <w:rPr>
          <w:rFonts w:ascii="Times New Roman" w:hAnsi="Times New Roman" w:cs="Times New Roman"/>
          <w:sz w:val="24"/>
          <w:szCs w:val="24"/>
          <w:lang w:val="en-US"/>
        </w:rPr>
        <w:t xml:space="preserve"> however,</w:t>
      </w:r>
      <w:r w:rsidR="00986AE5" w:rsidRPr="003D32FA">
        <w:rPr>
          <w:rFonts w:ascii="Times New Roman" w:hAnsi="Times New Roman" w:cs="Times New Roman"/>
          <w:sz w:val="24"/>
          <w:szCs w:val="24"/>
          <w:lang w:val="en-US"/>
        </w:rPr>
        <w:t xml:space="preserve"> </w:t>
      </w:r>
      <w:r w:rsidR="00CB7992" w:rsidRPr="003D32FA">
        <w:rPr>
          <w:rFonts w:ascii="Times New Roman" w:hAnsi="Times New Roman" w:cs="Times New Roman"/>
          <w:sz w:val="24"/>
          <w:szCs w:val="24"/>
          <w:lang w:val="en-US"/>
        </w:rPr>
        <w:t>disadvantages like labor extensive</w:t>
      </w:r>
      <w:r w:rsidR="00986AE5" w:rsidRPr="003D32FA">
        <w:rPr>
          <w:rFonts w:ascii="Times New Roman" w:hAnsi="Times New Roman" w:cs="Times New Roman"/>
          <w:sz w:val="24"/>
          <w:szCs w:val="24"/>
          <w:lang w:val="en-US"/>
        </w:rPr>
        <w:t>ness</w:t>
      </w:r>
      <w:r w:rsidR="00CB7992" w:rsidRPr="003D32FA">
        <w:rPr>
          <w:rFonts w:ascii="Times New Roman" w:hAnsi="Times New Roman" w:cs="Times New Roman"/>
          <w:sz w:val="24"/>
          <w:szCs w:val="24"/>
          <w:lang w:val="en-US"/>
        </w:rPr>
        <w:t xml:space="preserve"> and</w:t>
      </w:r>
      <w:r w:rsidR="00CC2D0C" w:rsidRPr="003D32FA">
        <w:rPr>
          <w:rFonts w:ascii="Times New Roman" w:hAnsi="Times New Roman" w:cs="Times New Roman"/>
          <w:sz w:val="24"/>
          <w:szCs w:val="24"/>
          <w:lang w:val="en-US"/>
        </w:rPr>
        <w:t xml:space="preserve"> its</w:t>
      </w:r>
      <w:r w:rsidR="00CB7992" w:rsidRPr="003D32FA">
        <w:rPr>
          <w:rFonts w:ascii="Times New Roman" w:hAnsi="Times New Roman" w:cs="Times New Roman"/>
          <w:sz w:val="24"/>
          <w:szCs w:val="24"/>
          <w:lang w:val="en-US"/>
        </w:rPr>
        <w:t xml:space="preserve"> </w:t>
      </w:r>
      <w:r w:rsidR="00986AE5" w:rsidRPr="003D32FA">
        <w:rPr>
          <w:rFonts w:ascii="Times New Roman" w:hAnsi="Times New Roman" w:cs="Times New Roman"/>
          <w:sz w:val="24"/>
          <w:szCs w:val="24"/>
          <w:lang w:val="en-US"/>
        </w:rPr>
        <w:t>time-consuming</w:t>
      </w:r>
      <w:r w:rsidR="00CB7992" w:rsidRPr="003D32FA">
        <w:rPr>
          <w:rFonts w:ascii="Times New Roman" w:hAnsi="Times New Roman" w:cs="Times New Roman"/>
          <w:sz w:val="24"/>
          <w:szCs w:val="24"/>
          <w:lang w:val="en-US"/>
        </w:rPr>
        <w:t xml:space="preserve"> </w:t>
      </w:r>
      <w:r w:rsidR="00CC2D0C" w:rsidRPr="003D32FA">
        <w:rPr>
          <w:rFonts w:ascii="Times New Roman" w:hAnsi="Times New Roman" w:cs="Times New Roman"/>
          <w:sz w:val="24"/>
          <w:szCs w:val="24"/>
          <w:lang w:val="en-US"/>
        </w:rPr>
        <w:t xml:space="preserve">nature </w:t>
      </w:r>
      <w:r w:rsidR="00CB7992" w:rsidRPr="003D32FA">
        <w:rPr>
          <w:rFonts w:ascii="Times New Roman" w:hAnsi="Times New Roman" w:cs="Times New Roman"/>
          <w:sz w:val="24"/>
          <w:szCs w:val="24"/>
          <w:lang w:val="en-US"/>
        </w:rPr>
        <w:t>must also be considered (Elghareeb et al., 2015</w:t>
      </w:r>
      <w:r w:rsidR="00B33784" w:rsidRPr="003D32FA">
        <w:rPr>
          <w:rFonts w:ascii="Times New Roman" w:hAnsi="Times New Roman" w:cs="Times New Roman"/>
          <w:sz w:val="24"/>
          <w:szCs w:val="24"/>
          <w:lang w:val="en-US"/>
        </w:rPr>
        <w:t>; Zhang et al., 2012</w:t>
      </w:r>
      <w:r w:rsidR="00CB7992" w:rsidRPr="003D32FA">
        <w:rPr>
          <w:rFonts w:ascii="Times New Roman" w:hAnsi="Times New Roman" w:cs="Times New Roman"/>
          <w:sz w:val="24"/>
          <w:szCs w:val="24"/>
          <w:lang w:val="en-US"/>
        </w:rPr>
        <w:t xml:space="preserve">). Emerging new ELISA test was able to detect low parasite </w:t>
      </w:r>
      <w:r w:rsidR="008D40BA" w:rsidRPr="003D32FA">
        <w:rPr>
          <w:rFonts w:ascii="Times New Roman" w:hAnsi="Times New Roman" w:cs="Times New Roman"/>
          <w:sz w:val="24"/>
          <w:szCs w:val="24"/>
          <w:lang w:val="en-US"/>
        </w:rPr>
        <w:t>levels</w:t>
      </w:r>
      <w:r w:rsidR="00CB7992" w:rsidRPr="003D32FA">
        <w:rPr>
          <w:rFonts w:ascii="Times New Roman" w:hAnsi="Times New Roman" w:cs="Times New Roman"/>
          <w:sz w:val="24"/>
          <w:szCs w:val="24"/>
          <w:lang w:val="en-US"/>
        </w:rPr>
        <w:t xml:space="preserve"> </w:t>
      </w:r>
      <w:r w:rsidR="008D40BA" w:rsidRPr="003D32FA">
        <w:rPr>
          <w:rFonts w:ascii="Times New Roman" w:hAnsi="Times New Roman" w:cs="Times New Roman"/>
          <w:sz w:val="24"/>
          <w:szCs w:val="24"/>
          <w:lang w:val="en-US"/>
        </w:rPr>
        <w:t>in</w:t>
      </w:r>
      <w:r w:rsidR="00CA345B" w:rsidRPr="003D32FA">
        <w:rPr>
          <w:rFonts w:ascii="Times New Roman" w:hAnsi="Times New Roman" w:cs="Times New Roman"/>
          <w:sz w:val="24"/>
          <w:szCs w:val="24"/>
          <w:lang w:val="en-US"/>
        </w:rPr>
        <w:t xml:space="preserve"> </w:t>
      </w:r>
      <w:r w:rsidR="00CB7992" w:rsidRPr="003D32FA">
        <w:rPr>
          <w:rFonts w:ascii="Times New Roman" w:hAnsi="Times New Roman" w:cs="Times New Roman"/>
          <w:sz w:val="24"/>
          <w:szCs w:val="24"/>
          <w:lang w:val="en-US"/>
        </w:rPr>
        <w:t>infected individual</w:t>
      </w:r>
      <w:r w:rsidR="00CA345B" w:rsidRPr="003D32FA">
        <w:rPr>
          <w:rFonts w:ascii="Times New Roman" w:hAnsi="Times New Roman" w:cs="Times New Roman"/>
          <w:sz w:val="24"/>
          <w:szCs w:val="24"/>
          <w:lang w:val="en-US"/>
        </w:rPr>
        <w:t>s</w:t>
      </w:r>
      <w:r w:rsidR="00CB7992" w:rsidRPr="003D32FA">
        <w:rPr>
          <w:rFonts w:ascii="Times New Roman" w:hAnsi="Times New Roman" w:cs="Times New Roman"/>
          <w:sz w:val="24"/>
          <w:szCs w:val="24"/>
          <w:lang w:val="en-US"/>
        </w:rPr>
        <w:t xml:space="preserve"> and can </w:t>
      </w:r>
      <w:r w:rsidR="00CA345B" w:rsidRPr="003D32FA">
        <w:rPr>
          <w:rFonts w:ascii="Times New Roman" w:hAnsi="Times New Roman" w:cs="Times New Roman"/>
          <w:sz w:val="24"/>
          <w:szCs w:val="24"/>
          <w:lang w:val="en-US"/>
        </w:rPr>
        <w:t>recognize</w:t>
      </w:r>
      <w:r w:rsidR="00CB7992" w:rsidRPr="003D32FA">
        <w:rPr>
          <w:rFonts w:ascii="Times New Roman" w:hAnsi="Times New Roman" w:cs="Times New Roman"/>
          <w:sz w:val="24"/>
          <w:szCs w:val="24"/>
          <w:lang w:val="en-US"/>
        </w:rPr>
        <w:t xml:space="preserve"> subtypes 1, 2, 3, and 5</w:t>
      </w:r>
      <w:r w:rsidR="008D40BA" w:rsidRPr="003D32FA">
        <w:rPr>
          <w:rFonts w:ascii="Times New Roman" w:hAnsi="Times New Roman" w:cs="Times New Roman"/>
          <w:sz w:val="24"/>
          <w:szCs w:val="24"/>
          <w:lang w:val="en-US"/>
        </w:rPr>
        <w:t>, b</w:t>
      </w:r>
      <w:r w:rsidR="00CB7992" w:rsidRPr="003D32FA">
        <w:rPr>
          <w:rFonts w:ascii="Times New Roman" w:hAnsi="Times New Roman" w:cs="Times New Roman"/>
          <w:sz w:val="24"/>
          <w:szCs w:val="24"/>
          <w:lang w:val="en-US"/>
        </w:rPr>
        <w:t xml:space="preserve">ut need for further data about the technique </w:t>
      </w:r>
      <w:r w:rsidR="00CA345B" w:rsidRPr="003D32FA">
        <w:rPr>
          <w:rFonts w:ascii="Times New Roman" w:hAnsi="Times New Roman" w:cs="Times New Roman"/>
          <w:sz w:val="24"/>
          <w:szCs w:val="24"/>
          <w:lang w:val="en-US"/>
        </w:rPr>
        <w:t>is</w:t>
      </w:r>
      <w:r w:rsidR="00CB7992" w:rsidRPr="003D32FA">
        <w:rPr>
          <w:rFonts w:ascii="Times New Roman" w:hAnsi="Times New Roman" w:cs="Times New Roman"/>
          <w:sz w:val="24"/>
          <w:szCs w:val="24"/>
          <w:lang w:val="en-US"/>
        </w:rPr>
        <w:t xml:space="preserve"> necessary (Dogruman-Al et al., 2015). Other staining </w:t>
      </w:r>
      <w:r w:rsidR="008D40BA" w:rsidRPr="003D32FA">
        <w:rPr>
          <w:rFonts w:ascii="Times New Roman" w:hAnsi="Times New Roman" w:cs="Times New Roman"/>
          <w:sz w:val="24"/>
          <w:szCs w:val="24"/>
          <w:lang w:val="en-US"/>
        </w:rPr>
        <w:t>techniques,</w:t>
      </w:r>
      <w:r w:rsidR="00CB7992" w:rsidRPr="003D32FA">
        <w:rPr>
          <w:rFonts w:ascii="Times New Roman" w:hAnsi="Times New Roman" w:cs="Times New Roman"/>
          <w:sz w:val="24"/>
          <w:szCs w:val="24"/>
          <w:lang w:val="en-US"/>
        </w:rPr>
        <w:t xml:space="preserve"> like IFA stain</w:t>
      </w:r>
      <w:r w:rsidR="008D40BA" w:rsidRPr="003D32FA">
        <w:rPr>
          <w:rFonts w:ascii="Times New Roman" w:hAnsi="Times New Roman" w:cs="Times New Roman"/>
          <w:sz w:val="24"/>
          <w:szCs w:val="24"/>
          <w:lang w:val="en-US"/>
        </w:rPr>
        <w:t>,</w:t>
      </w:r>
      <w:r w:rsidR="00CB7992" w:rsidRPr="003D32FA">
        <w:rPr>
          <w:rFonts w:ascii="Times New Roman" w:hAnsi="Times New Roman" w:cs="Times New Roman"/>
          <w:sz w:val="24"/>
          <w:szCs w:val="24"/>
          <w:lang w:val="en-US"/>
        </w:rPr>
        <w:t xml:space="preserve"> </w:t>
      </w:r>
      <w:r w:rsidR="006F1717" w:rsidRPr="003D32FA">
        <w:rPr>
          <w:rFonts w:ascii="Times New Roman" w:hAnsi="Times New Roman" w:cs="Times New Roman"/>
          <w:sz w:val="24"/>
          <w:szCs w:val="24"/>
          <w:lang w:val="en-US"/>
        </w:rPr>
        <w:t>were</w:t>
      </w:r>
      <w:r w:rsidR="00CB7992" w:rsidRPr="003D32FA">
        <w:rPr>
          <w:rFonts w:ascii="Times New Roman" w:hAnsi="Times New Roman" w:cs="Times New Roman"/>
          <w:sz w:val="24"/>
          <w:szCs w:val="24"/>
          <w:lang w:val="en-US"/>
        </w:rPr>
        <w:t xml:space="preserve"> </w:t>
      </w:r>
      <w:r w:rsidR="008D40BA" w:rsidRPr="003D32FA">
        <w:rPr>
          <w:rFonts w:ascii="Times New Roman" w:hAnsi="Times New Roman" w:cs="Times New Roman"/>
          <w:sz w:val="24"/>
          <w:szCs w:val="24"/>
          <w:lang w:val="en-US"/>
        </w:rPr>
        <w:t xml:space="preserve">also proven </w:t>
      </w:r>
      <w:r w:rsidR="00CB7992" w:rsidRPr="003D32FA">
        <w:rPr>
          <w:rFonts w:ascii="Times New Roman" w:hAnsi="Times New Roman" w:cs="Times New Roman"/>
          <w:sz w:val="24"/>
          <w:szCs w:val="24"/>
          <w:lang w:val="en-US"/>
        </w:rPr>
        <w:t>to be sensitive (73.3%)</w:t>
      </w:r>
      <w:r w:rsidR="008D40BA" w:rsidRPr="003D32FA">
        <w:rPr>
          <w:rFonts w:ascii="Times New Roman" w:hAnsi="Times New Roman" w:cs="Times New Roman"/>
          <w:sz w:val="24"/>
          <w:szCs w:val="24"/>
          <w:lang w:val="en-US"/>
        </w:rPr>
        <w:t>.</w:t>
      </w:r>
      <w:r w:rsidR="00CB7992" w:rsidRPr="003D32FA">
        <w:rPr>
          <w:rFonts w:ascii="Times New Roman" w:hAnsi="Times New Roman" w:cs="Times New Roman"/>
          <w:sz w:val="24"/>
          <w:szCs w:val="24"/>
          <w:lang w:val="en-US"/>
        </w:rPr>
        <w:t xml:space="preserve"> </w:t>
      </w:r>
      <w:r w:rsidR="008D40BA" w:rsidRPr="003D32FA">
        <w:rPr>
          <w:rFonts w:ascii="Times New Roman" w:hAnsi="Times New Roman" w:cs="Times New Roman"/>
          <w:sz w:val="24"/>
          <w:szCs w:val="24"/>
          <w:lang w:val="en-US"/>
        </w:rPr>
        <w:t>Although</w:t>
      </w:r>
      <w:r w:rsidR="00CB7992" w:rsidRPr="003D32FA">
        <w:rPr>
          <w:rFonts w:ascii="Times New Roman" w:hAnsi="Times New Roman" w:cs="Times New Roman"/>
          <w:sz w:val="24"/>
          <w:szCs w:val="24"/>
          <w:lang w:val="en-US"/>
        </w:rPr>
        <w:t xml:space="preserve"> having high sensitivity, it is suitable only in large </w:t>
      </w:r>
      <w:r w:rsidR="00CB7992" w:rsidRPr="003D32FA">
        <w:rPr>
          <w:rFonts w:ascii="Times New Roman" w:hAnsi="Times New Roman" w:cs="Times New Roman"/>
          <w:sz w:val="24"/>
          <w:szCs w:val="24"/>
          <w:lang w:val="en-US"/>
        </w:rPr>
        <w:lastRenderedPageBreak/>
        <w:t>hospitals or public health laboratories in developed countries</w:t>
      </w:r>
      <w:r w:rsidR="008D40BA" w:rsidRPr="003D32FA">
        <w:rPr>
          <w:rFonts w:ascii="Times New Roman" w:hAnsi="Times New Roman" w:cs="Times New Roman"/>
          <w:sz w:val="24"/>
          <w:szCs w:val="24"/>
          <w:lang w:val="en-US"/>
        </w:rPr>
        <w:t>,</w:t>
      </w:r>
      <w:r w:rsidR="00CB7992" w:rsidRPr="003D32FA">
        <w:rPr>
          <w:rFonts w:ascii="Times New Roman" w:hAnsi="Times New Roman" w:cs="Times New Roman"/>
          <w:sz w:val="24"/>
          <w:szCs w:val="24"/>
          <w:lang w:val="en-US"/>
        </w:rPr>
        <w:t xml:space="preserve"> owing to its high cost (EL-Marhoumy et al., 2015)</w:t>
      </w:r>
      <w:r w:rsidR="008D40BA" w:rsidRPr="003D32FA">
        <w:rPr>
          <w:rFonts w:ascii="Times New Roman" w:hAnsi="Times New Roman" w:cs="Times New Roman"/>
          <w:sz w:val="24"/>
          <w:szCs w:val="24"/>
          <w:lang w:val="en-US"/>
        </w:rPr>
        <w:t>.</w:t>
      </w:r>
    </w:p>
    <w:p w14:paraId="5E895BDA" w14:textId="184C972A" w:rsidR="001530A2" w:rsidRPr="003D32FA" w:rsidRDefault="00CB7992" w:rsidP="003D32FA">
      <w:pPr>
        <w:spacing w:line="480" w:lineRule="auto"/>
        <w:ind w:firstLine="720"/>
        <w:jc w:val="both"/>
        <w:rPr>
          <w:rFonts w:ascii="Times New Roman" w:hAnsi="Times New Roman" w:cs="Times New Roman"/>
          <w:sz w:val="24"/>
          <w:szCs w:val="24"/>
          <w:lang w:val="en-US"/>
        </w:rPr>
      </w:pPr>
      <w:r w:rsidRPr="003D32FA">
        <w:rPr>
          <w:rFonts w:ascii="Times New Roman" w:hAnsi="Times New Roman" w:cs="Times New Roman"/>
          <w:sz w:val="24"/>
          <w:szCs w:val="24"/>
          <w:lang w:val="en-US"/>
        </w:rPr>
        <w:t>The routine diagnostic method</w:t>
      </w:r>
      <w:r w:rsidR="00F44084" w:rsidRPr="003D32FA">
        <w:rPr>
          <w:rFonts w:ascii="Times New Roman" w:hAnsi="Times New Roman" w:cs="Times New Roman"/>
          <w:sz w:val="24"/>
          <w:szCs w:val="24"/>
          <w:lang w:val="en-US"/>
        </w:rPr>
        <w:t xml:space="preserve"> used in the Philippines</w:t>
      </w:r>
      <w:r w:rsidRPr="003D32FA">
        <w:rPr>
          <w:rFonts w:ascii="Times New Roman" w:hAnsi="Times New Roman" w:cs="Times New Roman"/>
          <w:sz w:val="24"/>
          <w:szCs w:val="24"/>
          <w:lang w:val="en-US"/>
        </w:rPr>
        <w:t xml:space="preserve"> for </w:t>
      </w:r>
      <w:r w:rsidR="004C3B95" w:rsidRPr="003D32FA">
        <w:rPr>
          <w:rFonts w:ascii="Times New Roman" w:hAnsi="Times New Roman" w:cs="Times New Roman"/>
          <w:sz w:val="24"/>
          <w:szCs w:val="24"/>
          <w:lang w:val="en-US"/>
        </w:rPr>
        <w:t xml:space="preserve">the </w:t>
      </w:r>
      <w:r w:rsidRPr="003D32FA">
        <w:rPr>
          <w:rFonts w:ascii="Times New Roman" w:hAnsi="Times New Roman" w:cs="Times New Roman"/>
          <w:sz w:val="24"/>
          <w:szCs w:val="24"/>
          <w:lang w:val="en-US"/>
        </w:rPr>
        <w:t xml:space="preserve">identification of </w:t>
      </w:r>
      <w:r w:rsidRPr="003D32FA">
        <w:rPr>
          <w:rFonts w:ascii="Times New Roman" w:hAnsi="Times New Roman" w:cs="Times New Roman"/>
          <w:i/>
          <w:iCs/>
          <w:sz w:val="24"/>
          <w:szCs w:val="24"/>
          <w:lang w:val="en-US"/>
        </w:rPr>
        <w:t>B. hominis</w:t>
      </w:r>
      <w:r w:rsidRPr="003D32FA">
        <w:rPr>
          <w:rFonts w:ascii="Times New Roman" w:hAnsi="Times New Roman" w:cs="Times New Roman"/>
          <w:sz w:val="24"/>
          <w:szCs w:val="24"/>
          <w:lang w:val="en-US"/>
        </w:rPr>
        <w:t xml:space="preserve"> is microscopic observation</w:t>
      </w:r>
      <w:r w:rsidR="00314619" w:rsidRPr="003D32FA">
        <w:rPr>
          <w:rFonts w:ascii="Times New Roman" w:hAnsi="Times New Roman" w:cs="Times New Roman"/>
          <w:sz w:val="24"/>
          <w:szCs w:val="24"/>
          <w:lang w:val="en-US"/>
        </w:rPr>
        <w:t xml:space="preserve"> </w:t>
      </w:r>
      <w:r w:rsidR="00314619" w:rsidRPr="003D32FA">
        <w:rPr>
          <w:rFonts w:ascii="Times New Roman" w:hAnsi="Times New Roman" w:cs="Times New Roman"/>
          <w:sz w:val="24"/>
          <w:szCs w:val="24"/>
        </w:rPr>
        <w:t>(Belleza et al., 2015)</w:t>
      </w:r>
      <w:r w:rsidRPr="003D32FA">
        <w:rPr>
          <w:rFonts w:ascii="Times New Roman" w:hAnsi="Times New Roman" w:cs="Times New Roman"/>
          <w:sz w:val="24"/>
          <w:szCs w:val="24"/>
          <w:lang w:val="en-US"/>
        </w:rPr>
        <w:t xml:space="preserve">. </w:t>
      </w:r>
      <w:r w:rsidR="00314619" w:rsidRPr="003D32FA">
        <w:rPr>
          <w:rFonts w:ascii="Times New Roman" w:hAnsi="Times New Roman" w:cs="Times New Roman"/>
          <w:sz w:val="24"/>
          <w:szCs w:val="24"/>
          <w:lang w:val="en-US"/>
        </w:rPr>
        <w:t xml:space="preserve">However, it has some limitations, </w:t>
      </w:r>
      <w:r w:rsidRPr="003D32FA">
        <w:rPr>
          <w:rFonts w:ascii="Times New Roman" w:hAnsi="Times New Roman" w:cs="Times New Roman"/>
          <w:sz w:val="24"/>
          <w:szCs w:val="24"/>
          <w:lang w:val="en-US"/>
        </w:rPr>
        <w:t xml:space="preserve">including </w:t>
      </w:r>
      <w:r w:rsidR="00314619" w:rsidRPr="003D32FA">
        <w:rPr>
          <w:rFonts w:ascii="Times New Roman" w:hAnsi="Times New Roman" w:cs="Times New Roman"/>
          <w:sz w:val="24"/>
          <w:szCs w:val="24"/>
          <w:lang w:val="en-US"/>
        </w:rPr>
        <w:t xml:space="preserve">the need for </w:t>
      </w:r>
      <w:r w:rsidRPr="003D32FA">
        <w:rPr>
          <w:rFonts w:ascii="Times New Roman" w:hAnsi="Times New Roman" w:cs="Times New Roman"/>
          <w:sz w:val="24"/>
          <w:szCs w:val="24"/>
          <w:lang w:val="en-US"/>
        </w:rPr>
        <w:t>high expertise</w:t>
      </w:r>
      <w:r w:rsidR="00507AD3" w:rsidRPr="003D32FA">
        <w:rPr>
          <w:rFonts w:ascii="Times New Roman" w:hAnsi="Times New Roman" w:cs="Times New Roman"/>
          <w:sz w:val="24"/>
          <w:szCs w:val="24"/>
          <w:lang w:val="en-US"/>
        </w:rPr>
        <w:t xml:space="preserve"> in microscopy</w:t>
      </w:r>
      <w:r w:rsidRPr="003D32FA">
        <w:rPr>
          <w:rFonts w:ascii="Times New Roman" w:hAnsi="Times New Roman" w:cs="Times New Roman"/>
          <w:sz w:val="24"/>
          <w:szCs w:val="24"/>
          <w:lang w:val="en-US"/>
        </w:rPr>
        <w:t xml:space="preserve">, unable to differentiate </w:t>
      </w:r>
      <w:r w:rsidRPr="003D32FA">
        <w:rPr>
          <w:rFonts w:ascii="Times New Roman" w:hAnsi="Times New Roman" w:cs="Times New Roman"/>
          <w:i/>
          <w:iCs/>
          <w:sz w:val="24"/>
          <w:szCs w:val="24"/>
          <w:lang w:val="en-US"/>
        </w:rPr>
        <w:t xml:space="preserve">Blastocystis </w:t>
      </w:r>
      <w:r w:rsidRPr="003D32FA">
        <w:rPr>
          <w:rFonts w:ascii="Times New Roman" w:hAnsi="Times New Roman" w:cs="Times New Roman"/>
          <w:sz w:val="24"/>
          <w:szCs w:val="24"/>
          <w:lang w:val="en-US"/>
        </w:rPr>
        <w:t xml:space="preserve">subtypes, </w:t>
      </w:r>
      <w:r w:rsidR="00314619" w:rsidRPr="003D32FA">
        <w:rPr>
          <w:rFonts w:ascii="Times New Roman" w:hAnsi="Times New Roman" w:cs="Times New Roman"/>
          <w:sz w:val="24"/>
          <w:szCs w:val="24"/>
          <w:lang w:val="en-US"/>
        </w:rPr>
        <w:t xml:space="preserve">and </w:t>
      </w:r>
      <w:r w:rsidRPr="003D32FA">
        <w:rPr>
          <w:rFonts w:ascii="Times New Roman" w:hAnsi="Times New Roman" w:cs="Times New Roman"/>
          <w:sz w:val="24"/>
          <w:szCs w:val="24"/>
          <w:lang w:val="en-US"/>
        </w:rPr>
        <w:t xml:space="preserve">low sensitivity. Thus, molecular techniques with </w:t>
      </w:r>
      <w:r w:rsidR="00507AD3" w:rsidRPr="003D32FA">
        <w:rPr>
          <w:rFonts w:ascii="Times New Roman" w:hAnsi="Times New Roman" w:cs="Times New Roman"/>
          <w:sz w:val="24"/>
          <w:szCs w:val="24"/>
          <w:lang w:val="en-US"/>
        </w:rPr>
        <w:t>advanced</w:t>
      </w:r>
      <w:r w:rsidRPr="003D32FA">
        <w:rPr>
          <w:rFonts w:ascii="Times New Roman" w:hAnsi="Times New Roman" w:cs="Times New Roman"/>
          <w:sz w:val="24"/>
          <w:szCs w:val="24"/>
          <w:lang w:val="en-US"/>
        </w:rPr>
        <w:t xml:space="preserve"> feature</w:t>
      </w:r>
      <w:r w:rsidR="00507AD3" w:rsidRPr="003D32FA">
        <w:rPr>
          <w:rFonts w:ascii="Times New Roman" w:hAnsi="Times New Roman" w:cs="Times New Roman"/>
          <w:sz w:val="24"/>
          <w:szCs w:val="24"/>
          <w:lang w:val="en-US"/>
        </w:rPr>
        <w:t>s</w:t>
      </w:r>
      <w:r w:rsidRPr="003D32FA">
        <w:rPr>
          <w:rFonts w:ascii="Times New Roman" w:hAnsi="Times New Roman" w:cs="Times New Roman"/>
          <w:sz w:val="24"/>
          <w:szCs w:val="24"/>
          <w:lang w:val="en-US"/>
        </w:rPr>
        <w:t>, high specificity</w:t>
      </w:r>
      <w:r w:rsidR="00203188" w:rsidRPr="003D32FA">
        <w:rPr>
          <w:rFonts w:ascii="Times New Roman" w:hAnsi="Times New Roman" w:cs="Times New Roman"/>
          <w:sz w:val="24"/>
          <w:szCs w:val="24"/>
          <w:lang w:val="en-US"/>
        </w:rPr>
        <w:t>,</w:t>
      </w:r>
      <w:r w:rsidRPr="003D32FA">
        <w:rPr>
          <w:rFonts w:ascii="Times New Roman" w:hAnsi="Times New Roman" w:cs="Times New Roman"/>
          <w:sz w:val="24"/>
          <w:szCs w:val="24"/>
          <w:lang w:val="en-US"/>
        </w:rPr>
        <w:t xml:space="preserve"> and </w:t>
      </w:r>
      <w:r w:rsidR="00507AD3" w:rsidRPr="003D32FA">
        <w:rPr>
          <w:rFonts w:ascii="Times New Roman" w:hAnsi="Times New Roman" w:cs="Times New Roman"/>
          <w:sz w:val="24"/>
          <w:szCs w:val="24"/>
          <w:lang w:val="en-US"/>
        </w:rPr>
        <w:t xml:space="preserve">high </w:t>
      </w:r>
      <w:r w:rsidRPr="003D32FA">
        <w:rPr>
          <w:rFonts w:ascii="Times New Roman" w:hAnsi="Times New Roman" w:cs="Times New Roman"/>
          <w:sz w:val="24"/>
          <w:szCs w:val="24"/>
          <w:lang w:val="en-US"/>
        </w:rPr>
        <w:t xml:space="preserve">sensitivity are preferred (Khademvatan et al., 2018). Even though considered as </w:t>
      </w:r>
      <w:r w:rsidR="000C73C7" w:rsidRPr="003D32FA">
        <w:rPr>
          <w:rFonts w:ascii="Times New Roman" w:hAnsi="Times New Roman" w:cs="Times New Roman"/>
          <w:sz w:val="24"/>
          <w:szCs w:val="24"/>
          <w:lang w:val="en-US"/>
        </w:rPr>
        <w:t xml:space="preserve">the </w:t>
      </w:r>
      <w:r w:rsidRPr="003D32FA">
        <w:rPr>
          <w:rFonts w:ascii="Times New Roman" w:hAnsi="Times New Roman" w:cs="Times New Roman"/>
          <w:sz w:val="24"/>
          <w:szCs w:val="24"/>
          <w:lang w:val="en-US"/>
        </w:rPr>
        <w:t xml:space="preserve">gold standard for </w:t>
      </w:r>
      <w:r w:rsidRPr="003D32FA">
        <w:rPr>
          <w:rFonts w:ascii="Times New Roman" w:hAnsi="Times New Roman" w:cs="Times New Roman"/>
          <w:i/>
          <w:iCs/>
          <w:sz w:val="24"/>
          <w:szCs w:val="24"/>
          <w:lang w:val="en-US"/>
        </w:rPr>
        <w:t>Blastocystis</w:t>
      </w:r>
      <w:r w:rsidRPr="003D32FA">
        <w:rPr>
          <w:rFonts w:ascii="Times New Roman" w:hAnsi="Times New Roman" w:cs="Times New Roman"/>
          <w:sz w:val="24"/>
          <w:szCs w:val="24"/>
          <w:lang w:val="en-US"/>
        </w:rPr>
        <w:t xml:space="preserve"> diagnosis</w:t>
      </w:r>
      <w:r w:rsidR="000C73C7" w:rsidRPr="003D32FA">
        <w:rPr>
          <w:rFonts w:ascii="Times New Roman" w:hAnsi="Times New Roman" w:cs="Times New Roman"/>
          <w:sz w:val="24"/>
          <w:szCs w:val="24"/>
          <w:lang w:val="en-US"/>
        </w:rPr>
        <w:t>,</w:t>
      </w:r>
      <w:r w:rsidRPr="003D32FA">
        <w:rPr>
          <w:rFonts w:ascii="Times New Roman" w:hAnsi="Times New Roman" w:cs="Times New Roman"/>
          <w:sz w:val="24"/>
          <w:szCs w:val="24"/>
          <w:lang w:val="en-US"/>
        </w:rPr>
        <w:t xml:space="preserve"> many countries</w:t>
      </w:r>
      <w:r w:rsidR="000C73C7" w:rsidRPr="003D32FA">
        <w:rPr>
          <w:rFonts w:ascii="Times New Roman" w:hAnsi="Times New Roman" w:cs="Times New Roman"/>
          <w:sz w:val="24"/>
          <w:szCs w:val="24"/>
          <w:lang w:val="en-US"/>
        </w:rPr>
        <w:t>, including the Philippines,</w:t>
      </w:r>
      <w:r w:rsidRPr="003D32FA">
        <w:rPr>
          <w:rFonts w:ascii="Times New Roman" w:hAnsi="Times New Roman" w:cs="Times New Roman"/>
          <w:sz w:val="24"/>
          <w:szCs w:val="24"/>
          <w:lang w:val="en-US"/>
        </w:rPr>
        <w:t xml:space="preserve"> have limited access </w:t>
      </w:r>
      <w:r w:rsidR="000C73C7" w:rsidRPr="003D32FA">
        <w:rPr>
          <w:rFonts w:ascii="Times New Roman" w:hAnsi="Times New Roman" w:cs="Times New Roman"/>
          <w:sz w:val="24"/>
          <w:szCs w:val="24"/>
          <w:lang w:val="en-US"/>
        </w:rPr>
        <w:t>to</w:t>
      </w:r>
      <w:r w:rsidRPr="003D32FA">
        <w:rPr>
          <w:rFonts w:ascii="Times New Roman" w:hAnsi="Times New Roman" w:cs="Times New Roman"/>
          <w:sz w:val="24"/>
          <w:szCs w:val="24"/>
          <w:lang w:val="en-US"/>
        </w:rPr>
        <w:t xml:space="preserve"> molecular </w:t>
      </w:r>
      <w:r w:rsidR="000C73C7" w:rsidRPr="003D32FA">
        <w:rPr>
          <w:rFonts w:ascii="Times New Roman" w:hAnsi="Times New Roman" w:cs="Times New Roman"/>
          <w:sz w:val="24"/>
          <w:szCs w:val="24"/>
          <w:lang w:val="en-US"/>
        </w:rPr>
        <w:t>techniques</w:t>
      </w:r>
      <w:r w:rsidRPr="003D32FA">
        <w:rPr>
          <w:rFonts w:ascii="Times New Roman" w:hAnsi="Times New Roman" w:cs="Times New Roman"/>
          <w:sz w:val="24"/>
          <w:szCs w:val="24"/>
          <w:lang w:val="en-US"/>
        </w:rPr>
        <w:t xml:space="preserve"> due to lack of resources and facilities (Rudzińska &amp; Sikorska, 2023</w:t>
      </w:r>
      <w:r w:rsidR="000C73C7" w:rsidRPr="003D32FA">
        <w:rPr>
          <w:rFonts w:ascii="Times New Roman" w:hAnsi="Times New Roman" w:cs="Times New Roman"/>
          <w:sz w:val="24"/>
          <w:szCs w:val="24"/>
          <w:lang w:val="en-US"/>
        </w:rPr>
        <w:t xml:space="preserve">; </w:t>
      </w:r>
      <w:r w:rsidRPr="003D32FA">
        <w:rPr>
          <w:rFonts w:ascii="Times New Roman" w:hAnsi="Times New Roman" w:cs="Times New Roman"/>
          <w:sz w:val="24"/>
          <w:szCs w:val="24"/>
          <w:lang w:val="en-US"/>
        </w:rPr>
        <w:t xml:space="preserve">Tasić et al., 2017). PCR and real-time PCR are highly sensitive methods for the diagnosis of many infectious diseases. However, </w:t>
      </w:r>
      <w:r w:rsidR="004249BF" w:rsidRPr="003D32FA">
        <w:rPr>
          <w:rFonts w:ascii="Times New Roman" w:hAnsi="Times New Roman" w:cs="Times New Roman"/>
          <w:sz w:val="24"/>
          <w:szCs w:val="24"/>
          <w:lang w:val="en-US"/>
        </w:rPr>
        <w:t xml:space="preserve">a </w:t>
      </w:r>
      <w:r w:rsidRPr="003D32FA">
        <w:rPr>
          <w:rFonts w:ascii="Times New Roman" w:hAnsi="Times New Roman" w:cs="Times New Roman"/>
          <w:sz w:val="24"/>
          <w:szCs w:val="24"/>
          <w:lang w:val="en-US"/>
        </w:rPr>
        <w:t>study in Thailand</w:t>
      </w:r>
      <w:r w:rsidR="004249BF" w:rsidRPr="003D32FA">
        <w:rPr>
          <w:rFonts w:ascii="Times New Roman" w:hAnsi="Times New Roman" w:cs="Times New Roman"/>
          <w:sz w:val="24"/>
          <w:szCs w:val="24"/>
          <w:lang w:val="en-US"/>
        </w:rPr>
        <w:t xml:space="preserve"> showed that</w:t>
      </w:r>
      <w:r w:rsidRPr="003D32FA">
        <w:rPr>
          <w:rFonts w:ascii="Times New Roman" w:hAnsi="Times New Roman" w:cs="Times New Roman"/>
          <w:sz w:val="24"/>
          <w:szCs w:val="24"/>
          <w:lang w:val="en-US"/>
        </w:rPr>
        <w:t xml:space="preserve"> they </w:t>
      </w:r>
      <w:r w:rsidR="004249BF" w:rsidRPr="003D32FA">
        <w:rPr>
          <w:rFonts w:ascii="Times New Roman" w:hAnsi="Times New Roman" w:cs="Times New Roman"/>
          <w:sz w:val="24"/>
          <w:szCs w:val="24"/>
          <w:lang w:val="en-US"/>
        </w:rPr>
        <w:t xml:space="preserve">can </w:t>
      </w:r>
      <w:r w:rsidRPr="003D32FA">
        <w:rPr>
          <w:rFonts w:ascii="Times New Roman" w:hAnsi="Times New Roman" w:cs="Times New Roman"/>
          <w:sz w:val="24"/>
          <w:szCs w:val="24"/>
          <w:lang w:val="en-US"/>
        </w:rPr>
        <w:t xml:space="preserve">produce false negative </w:t>
      </w:r>
      <w:r w:rsidR="00F0219F" w:rsidRPr="003D32FA">
        <w:rPr>
          <w:rFonts w:ascii="Times New Roman" w:hAnsi="Times New Roman" w:cs="Times New Roman"/>
          <w:sz w:val="24"/>
          <w:szCs w:val="24"/>
          <w:lang w:val="en-US"/>
        </w:rPr>
        <w:t>results</w:t>
      </w:r>
      <w:r w:rsidRPr="003D32FA">
        <w:rPr>
          <w:rFonts w:ascii="Times New Roman" w:hAnsi="Times New Roman" w:cs="Times New Roman"/>
          <w:sz w:val="24"/>
          <w:szCs w:val="24"/>
          <w:lang w:val="en-US"/>
        </w:rPr>
        <w:t xml:space="preserve"> due to </w:t>
      </w:r>
      <w:r w:rsidR="004249BF" w:rsidRPr="003D32FA">
        <w:rPr>
          <w:rFonts w:ascii="Times New Roman" w:hAnsi="Times New Roman" w:cs="Times New Roman"/>
          <w:sz w:val="24"/>
          <w:szCs w:val="24"/>
          <w:lang w:val="en-US"/>
        </w:rPr>
        <w:t xml:space="preserve">the </w:t>
      </w:r>
      <w:r w:rsidRPr="003D32FA">
        <w:rPr>
          <w:rFonts w:ascii="Times New Roman" w:hAnsi="Times New Roman" w:cs="Times New Roman"/>
          <w:sz w:val="24"/>
          <w:szCs w:val="24"/>
          <w:lang w:val="en-US"/>
        </w:rPr>
        <w:t xml:space="preserve">presence of PCR inhibitors such as bile salts in stool, low parasite </w:t>
      </w:r>
      <w:r w:rsidR="004249BF" w:rsidRPr="003D32FA">
        <w:rPr>
          <w:rFonts w:ascii="Times New Roman" w:hAnsi="Times New Roman" w:cs="Times New Roman"/>
          <w:sz w:val="24"/>
          <w:szCs w:val="24"/>
          <w:lang w:val="en-US"/>
        </w:rPr>
        <w:t>levels,</w:t>
      </w:r>
      <w:r w:rsidRPr="003D32FA">
        <w:rPr>
          <w:rFonts w:ascii="Times New Roman" w:hAnsi="Times New Roman" w:cs="Times New Roman"/>
          <w:sz w:val="24"/>
          <w:szCs w:val="24"/>
          <w:lang w:val="en-US"/>
        </w:rPr>
        <w:t xml:space="preserve"> and </w:t>
      </w:r>
      <w:r w:rsidR="004249BF" w:rsidRPr="003D32FA">
        <w:rPr>
          <w:rFonts w:ascii="Times New Roman" w:hAnsi="Times New Roman" w:cs="Times New Roman"/>
          <w:sz w:val="24"/>
          <w:szCs w:val="24"/>
          <w:lang w:val="en-US"/>
        </w:rPr>
        <w:t>transportation</w:t>
      </w:r>
      <w:r w:rsidRPr="003D32FA">
        <w:rPr>
          <w:rFonts w:ascii="Times New Roman" w:hAnsi="Times New Roman" w:cs="Times New Roman"/>
          <w:sz w:val="24"/>
          <w:szCs w:val="24"/>
          <w:lang w:val="en-US"/>
        </w:rPr>
        <w:t xml:space="preserve"> issues (Srichaipon et al., 2019). PCR using STS</w:t>
      </w:r>
      <w:r w:rsidR="00BB626E" w:rsidRPr="003D32FA">
        <w:rPr>
          <w:rFonts w:ascii="Times New Roman" w:hAnsi="Times New Roman" w:cs="Times New Roman"/>
          <w:sz w:val="24"/>
          <w:szCs w:val="24"/>
          <w:lang w:val="en-US"/>
        </w:rPr>
        <w:t xml:space="preserve"> (sequence-tagged sites)</w:t>
      </w:r>
      <w:r w:rsidRPr="003D32FA">
        <w:rPr>
          <w:rFonts w:ascii="Times New Roman" w:hAnsi="Times New Roman" w:cs="Times New Roman"/>
          <w:sz w:val="24"/>
          <w:szCs w:val="24"/>
          <w:lang w:val="en-US"/>
        </w:rPr>
        <w:t xml:space="preserve"> primers </w:t>
      </w:r>
      <w:r w:rsidR="00F0219F" w:rsidRPr="003D32FA">
        <w:rPr>
          <w:rFonts w:ascii="Times New Roman" w:hAnsi="Times New Roman" w:cs="Times New Roman"/>
          <w:sz w:val="24"/>
          <w:szCs w:val="24"/>
          <w:lang w:val="en-US"/>
        </w:rPr>
        <w:t>is</w:t>
      </w:r>
      <w:r w:rsidRPr="003D32FA">
        <w:rPr>
          <w:rFonts w:ascii="Times New Roman" w:hAnsi="Times New Roman" w:cs="Times New Roman"/>
          <w:sz w:val="24"/>
          <w:szCs w:val="24"/>
          <w:lang w:val="en-US"/>
        </w:rPr>
        <w:t xml:space="preserve"> commonly employed in subtyping</w:t>
      </w:r>
      <w:r w:rsidR="00F0219F" w:rsidRPr="003D32FA">
        <w:rPr>
          <w:rFonts w:ascii="Times New Roman" w:hAnsi="Times New Roman" w:cs="Times New Roman"/>
          <w:sz w:val="24"/>
          <w:szCs w:val="24"/>
          <w:lang w:val="en-US"/>
        </w:rPr>
        <w:t>,</w:t>
      </w:r>
      <w:r w:rsidRPr="003D32FA">
        <w:rPr>
          <w:rFonts w:ascii="Times New Roman" w:hAnsi="Times New Roman" w:cs="Times New Roman"/>
          <w:sz w:val="24"/>
          <w:szCs w:val="24"/>
          <w:lang w:val="en-US"/>
        </w:rPr>
        <w:t xml:space="preserve"> </w:t>
      </w:r>
      <w:r w:rsidR="00F0219F" w:rsidRPr="003D32FA">
        <w:rPr>
          <w:rFonts w:ascii="Times New Roman" w:hAnsi="Times New Roman" w:cs="Times New Roman"/>
          <w:sz w:val="24"/>
          <w:szCs w:val="24"/>
          <w:lang w:val="en-US"/>
        </w:rPr>
        <w:t>which</w:t>
      </w:r>
      <w:r w:rsidRPr="003D32FA">
        <w:rPr>
          <w:rFonts w:ascii="Times New Roman" w:hAnsi="Times New Roman" w:cs="Times New Roman"/>
          <w:sz w:val="24"/>
          <w:szCs w:val="24"/>
          <w:lang w:val="en-US"/>
        </w:rPr>
        <w:t xml:space="preserve"> shows higher sensitivity and </w:t>
      </w:r>
      <w:r w:rsidR="004249BF" w:rsidRPr="003D32FA">
        <w:rPr>
          <w:rFonts w:ascii="Times New Roman" w:hAnsi="Times New Roman" w:cs="Times New Roman"/>
          <w:sz w:val="24"/>
          <w:szCs w:val="24"/>
          <w:lang w:val="en-US"/>
        </w:rPr>
        <w:t>specificity</w:t>
      </w:r>
      <w:r w:rsidRPr="003D32FA">
        <w:rPr>
          <w:rFonts w:ascii="Times New Roman" w:hAnsi="Times New Roman" w:cs="Times New Roman"/>
          <w:sz w:val="24"/>
          <w:szCs w:val="24"/>
          <w:lang w:val="en-US"/>
        </w:rPr>
        <w:t xml:space="preserve"> in analyzing subtype</w:t>
      </w:r>
      <w:r w:rsidR="004249BF" w:rsidRPr="003D32FA">
        <w:rPr>
          <w:rFonts w:ascii="Times New Roman" w:hAnsi="Times New Roman" w:cs="Times New Roman"/>
          <w:sz w:val="24"/>
          <w:szCs w:val="24"/>
          <w:lang w:val="en-US"/>
        </w:rPr>
        <w:t>s</w:t>
      </w:r>
      <w:r w:rsidRPr="003D32FA">
        <w:rPr>
          <w:rFonts w:ascii="Times New Roman" w:hAnsi="Times New Roman" w:cs="Times New Roman"/>
          <w:sz w:val="24"/>
          <w:szCs w:val="24"/>
          <w:lang w:val="en-US"/>
        </w:rPr>
        <w:t xml:space="preserve"> (Khademvatan et al., 2018). </w:t>
      </w:r>
    </w:p>
    <w:p w14:paraId="40D8AA29" w14:textId="0D46C2B5" w:rsidR="00CB7992" w:rsidRPr="003D32FA" w:rsidRDefault="00CB7992" w:rsidP="003D32FA">
      <w:pPr>
        <w:spacing w:line="480" w:lineRule="auto"/>
        <w:ind w:firstLine="720"/>
        <w:jc w:val="both"/>
        <w:rPr>
          <w:rFonts w:ascii="Times New Roman" w:hAnsi="Times New Roman" w:cs="Times New Roman"/>
          <w:sz w:val="24"/>
          <w:szCs w:val="24"/>
          <w:lang w:val="en-US"/>
        </w:rPr>
      </w:pPr>
      <w:r w:rsidRPr="003D32FA">
        <w:rPr>
          <w:rFonts w:ascii="Times New Roman" w:hAnsi="Times New Roman" w:cs="Times New Roman"/>
          <w:sz w:val="24"/>
          <w:szCs w:val="24"/>
          <w:lang w:val="en-US"/>
        </w:rPr>
        <w:t xml:space="preserve">Emerging </w:t>
      </w:r>
      <w:r w:rsidR="00F0219F" w:rsidRPr="003D32FA">
        <w:rPr>
          <w:rFonts w:ascii="Times New Roman" w:hAnsi="Times New Roman" w:cs="Times New Roman"/>
          <w:sz w:val="24"/>
          <w:szCs w:val="24"/>
          <w:lang w:val="en-US"/>
        </w:rPr>
        <w:t>techniques</w:t>
      </w:r>
      <w:r w:rsidRPr="003D32FA">
        <w:rPr>
          <w:rFonts w:ascii="Times New Roman" w:hAnsi="Times New Roman" w:cs="Times New Roman"/>
          <w:sz w:val="24"/>
          <w:szCs w:val="24"/>
          <w:lang w:val="en-US"/>
        </w:rPr>
        <w:t xml:space="preserve"> for</w:t>
      </w:r>
      <w:r w:rsidR="000B5D80" w:rsidRPr="003D32FA">
        <w:rPr>
          <w:rFonts w:ascii="Times New Roman" w:hAnsi="Times New Roman" w:cs="Times New Roman"/>
          <w:sz w:val="24"/>
          <w:szCs w:val="24"/>
          <w:lang w:val="en-US"/>
        </w:rPr>
        <w:t xml:space="preserve"> detection and</w:t>
      </w:r>
      <w:r w:rsidRPr="003D32FA">
        <w:rPr>
          <w:rFonts w:ascii="Times New Roman" w:hAnsi="Times New Roman" w:cs="Times New Roman"/>
          <w:sz w:val="24"/>
          <w:szCs w:val="24"/>
          <w:lang w:val="en-US"/>
        </w:rPr>
        <w:t xml:space="preserve"> subtyping</w:t>
      </w:r>
      <w:r w:rsidR="00F9129B" w:rsidRPr="003D32FA">
        <w:rPr>
          <w:rFonts w:ascii="Times New Roman" w:hAnsi="Times New Roman" w:cs="Times New Roman"/>
          <w:sz w:val="24"/>
          <w:szCs w:val="24"/>
          <w:lang w:val="en-US"/>
        </w:rPr>
        <w:t>,</w:t>
      </w:r>
      <w:r w:rsidRPr="003D32FA">
        <w:rPr>
          <w:rFonts w:ascii="Times New Roman" w:hAnsi="Times New Roman" w:cs="Times New Roman"/>
          <w:sz w:val="24"/>
          <w:szCs w:val="24"/>
          <w:lang w:val="en-US"/>
        </w:rPr>
        <w:t xml:space="preserve"> like PCR-RFLP and HRM (High Resolution Melting Analysis)</w:t>
      </w:r>
      <w:r w:rsidR="0007631B" w:rsidRPr="003D32FA">
        <w:rPr>
          <w:rFonts w:ascii="Times New Roman" w:hAnsi="Times New Roman" w:cs="Times New Roman"/>
          <w:sz w:val="24"/>
          <w:szCs w:val="24"/>
          <w:lang w:val="en-US"/>
        </w:rPr>
        <w:t>,</w:t>
      </w:r>
      <w:r w:rsidRPr="003D32FA">
        <w:rPr>
          <w:rFonts w:ascii="Times New Roman" w:hAnsi="Times New Roman" w:cs="Times New Roman"/>
          <w:sz w:val="24"/>
          <w:szCs w:val="24"/>
          <w:lang w:val="en-US"/>
        </w:rPr>
        <w:t xml:space="preserve"> </w:t>
      </w:r>
      <w:r w:rsidR="00F9129B" w:rsidRPr="003D32FA">
        <w:rPr>
          <w:rFonts w:ascii="Times New Roman" w:hAnsi="Times New Roman" w:cs="Times New Roman"/>
          <w:sz w:val="24"/>
          <w:szCs w:val="24"/>
          <w:lang w:val="en-US"/>
        </w:rPr>
        <w:t>were</w:t>
      </w:r>
      <w:r w:rsidRPr="003D32FA">
        <w:rPr>
          <w:rFonts w:ascii="Times New Roman" w:hAnsi="Times New Roman" w:cs="Times New Roman"/>
          <w:sz w:val="24"/>
          <w:szCs w:val="24"/>
          <w:lang w:val="en-US"/>
        </w:rPr>
        <w:t xml:space="preserve"> </w:t>
      </w:r>
      <w:r w:rsidR="00F9129B" w:rsidRPr="003D32FA">
        <w:rPr>
          <w:rFonts w:ascii="Times New Roman" w:hAnsi="Times New Roman" w:cs="Times New Roman"/>
          <w:sz w:val="24"/>
          <w:szCs w:val="24"/>
          <w:lang w:val="en-US"/>
        </w:rPr>
        <w:t>proven</w:t>
      </w:r>
      <w:r w:rsidRPr="003D32FA">
        <w:rPr>
          <w:rFonts w:ascii="Times New Roman" w:hAnsi="Times New Roman" w:cs="Times New Roman"/>
          <w:sz w:val="24"/>
          <w:szCs w:val="24"/>
          <w:lang w:val="en-US"/>
        </w:rPr>
        <w:t xml:space="preserve"> to be </w:t>
      </w:r>
      <w:r w:rsidR="00F9129B" w:rsidRPr="003D32FA">
        <w:rPr>
          <w:rFonts w:ascii="Times New Roman" w:hAnsi="Times New Roman" w:cs="Times New Roman"/>
          <w:sz w:val="24"/>
          <w:szCs w:val="24"/>
          <w:lang w:val="en-US"/>
        </w:rPr>
        <w:t>cost-effective</w:t>
      </w:r>
      <w:r w:rsidRPr="003D32FA">
        <w:rPr>
          <w:rFonts w:ascii="Times New Roman" w:hAnsi="Times New Roman" w:cs="Times New Roman"/>
          <w:sz w:val="24"/>
          <w:szCs w:val="24"/>
          <w:lang w:val="en-US"/>
        </w:rPr>
        <w:t>, simple</w:t>
      </w:r>
      <w:r w:rsidR="00F0219F" w:rsidRPr="003D32FA">
        <w:rPr>
          <w:rFonts w:ascii="Times New Roman" w:hAnsi="Times New Roman" w:cs="Times New Roman"/>
          <w:sz w:val="24"/>
          <w:szCs w:val="24"/>
          <w:lang w:val="en-US"/>
        </w:rPr>
        <w:t>,</w:t>
      </w:r>
      <w:r w:rsidRPr="003D32FA">
        <w:rPr>
          <w:rFonts w:ascii="Times New Roman" w:hAnsi="Times New Roman" w:cs="Times New Roman"/>
          <w:sz w:val="24"/>
          <w:szCs w:val="24"/>
          <w:lang w:val="en-US"/>
        </w:rPr>
        <w:t xml:space="preserve"> and rapid</w:t>
      </w:r>
      <w:r w:rsidR="00F0219F" w:rsidRPr="003D32FA">
        <w:rPr>
          <w:rFonts w:ascii="Times New Roman" w:hAnsi="Times New Roman" w:cs="Times New Roman"/>
          <w:sz w:val="24"/>
          <w:szCs w:val="24"/>
          <w:lang w:val="en-US"/>
        </w:rPr>
        <w:t>,</w:t>
      </w:r>
      <w:r w:rsidRPr="003D32FA">
        <w:rPr>
          <w:rFonts w:ascii="Times New Roman" w:hAnsi="Times New Roman" w:cs="Times New Roman"/>
          <w:sz w:val="24"/>
          <w:szCs w:val="24"/>
          <w:lang w:val="en-US"/>
        </w:rPr>
        <w:t xml:space="preserve"> suggesting </w:t>
      </w:r>
      <w:r w:rsidR="00655FCC" w:rsidRPr="003D32FA">
        <w:rPr>
          <w:rFonts w:ascii="Times New Roman" w:hAnsi="Times New Roman" w:cs="Times New Roman"/>
          <w:sz w:val="24"/>
          <w:szCs w:val="24"/>
          <w:lang w:val="en-US"/>
        </w:rPr>
        <w:t>their</w:t>
      </w:r>
      <w:r w:rsidRPr="003D32FA">
        <w:rPr>
          <w:rFonts w:ascii="Times New Roman" w:hAnsi="Times New Roman" w:cs="Times New Roman"/>
          <w:sz w:val="24"/>
          <w:szCs w:val="24"/>
          <w:lang w:val="en-US"/>
        </w:rPr>
        <w:t xml:space="preserve"> potential significance in future studies (Srichaipon et al., 2019</w:t>
      </w:r>
      <w:r w:rsidR="0007631B" w:rsidRPr="003D32FA">
        <w:rPr>
          <w:rFonts w:ascii="Times New Roman" w:hAnsi="Times New Roman" w:cs="Times New Roman"/>
          <w:sz w:val="24"/>
          <w:szCs w:val="24"/>
          <w:lang w:val="en-US"/>
        </w:rPr>
        <w:t>;</w:t>
      </w:r>
      <w:r w:rsidRPr="003D32FA">
        <w:rPr>
          <w:rFonts w:ascii="Times New Roman" w:hAnsi="Times New Roman" w:cs="Times New Roman"/>
          <w:sz w:val="24"/>
          <w:szCs w:val="24"/>
          <w:lang w:val="en-US"/>
        </w:rPr>
        <w:t xml:space="preserve"> Salehi Sangani et al., 2025). In cases of mixed </w:t>
      </w:r>
      <w:r w:rsidR="00EA2649" w:rsidRPr="003D32FA">
        <w:rPr>
          <w:rFonts w:ascii="Times New Roman" w:hAnsi="Times New Roman" w:cs="Times New Roman"/>
          <w:sz w:val="24"/>
          <w:szCs w:val="24"/>
          <w:lang w:val="en-US"/>
        </w:rPr>
        <w:t>subtype</w:t>
      </w:r>
      <w:r w:rsidRPr="003D32FA">
        <w:rPr>
          <w:rFonts w:ascii="Times New Roman" w:hAnsi="Times New Roman" w:cs="Times New Roman"/>
          <w:sz w:val="24"/>
          <w:szCs w:val="24"/>
          <w:lang w:val="en-US"/>
        </w:rPr>
        <w:t xml:space="preserve"> infection</w:t>
      </w:r>
      <w:r w:rsidR="00EA2649" w:rsidRPr="003D32FA">
        <w:rPr>
          <w:rFonts w:ascii="Times New Roman" w:hAnsi="Times New Roman" w:cs="Times New Roman"/>
          <w:sz w:val="24"/>
          <w:szCs w:val="24"/>
          <w:lang w:val="en-US"/>
        </w:rPr>
        <w:t>,</w:t>
      </w:r>
      <w:r w:rsidRPr="003D32FA">
        <w:rPr>
          <w:rFonts w:ascii="Times New Roman" w:hAnsi="Times New Roman" w:cs="Times New Roman"/>
          <w:sz w:val="24"/>
          <w:szCs w:val="24"/>
          <w:lang w:val="en-US"/>
        </w:rPr>
        <w:t xml:space="preserve"> PCR coupled with </w:t>
      </w:r>
      <w:r w:rsidR="00EA2649" w:rsidRPr="003D32FA">
        <w:rPr>
          <w:rFonts w:ascii="Times New Roman" w:hAnsi="Times New Roman" w:cs="Times New Roman"/>
          <w:sz w:val="24"/>
          <w:szCs w:val="24"/>
          <w:lang w:val="en-US"/>
        </w:rPr>
        <w:t>Sanger</w:t>
      </w:r>
      <w:r w:rsidRPr="003D32FA">
        <w:rPr>
          <w:rFonts w:ascii="Times New Roman" w:hAnsi="Times New Roman" w:cs="Times New Roman"/>
          <w:sz w:val="24"/>
          <w:szCs w:val="24"/>
          <w:lang w:val="en-US"/>
        </w:rPr>
        <w:t xml:space="preserve"> sequencing could be used</w:t>
      </w:r>
      <w:r w:rsidR="00EA2649" w:rsidRPr="003D32FA">
        <w:rPr>
          <w:rFonts w:ascii="Times New Roman" w:hAnsi="Times New Roman" w:cs="Times New Roman"/>
          <w:sz w:val="24"/>
          <w:szCs w:val="24"/>
          <w:lang w:val="en-US"/>
        </w:rPr>
        <w:t>,</w:t>
      </w:r>
      <w:r w:rsidRPr="003D32FA">
        <w:rPr>
          <w:rFonts w:ascii="Times New Roman" w:hAnsi="Times New Roman" w:cs="Times New Roman"/>
          <w:sz w:val="24"/>
          <w:szCs w:val="24"/>
          <w:lang w:val="en-US"/>
        </w:rPr>
        <w:t xml:space="preserve"> but </w:t>
      </w:r>
      <w:r w:rsidR="002C3412" w:rsidRPr="003D32FA">
        <w:rPr>
          <w:rFonts w:ascii="Times New Roman" w:hAnsi="Times New Roman" w:cs="Times New Roman"/>
          <w:sz w:val="24"/>
          <w:szCs w:val="24"/>
          <w:lang w:val="en-US"/>
        </w:rPr>
        <w:t xml:space="preserve">it </w:t>
      </w:r>
      <w:r w:rsidRPr="003D32FA">
        <w:rPr>
          <w:rFonts w:ascii="Times New Roman" w:hAnsi="Times New Roman" w:cs="Times New Roman"/>
          <w:sz w:val="24"/>
          <w:szCs w:val="24"/>
          <w:lang w:val="en-US"/>
        </w:rPr>
        <w:t xml:space="preserve">requires additional steps and may miss </w:t>
      </w:r>
      <w:r w:rsidR="00EA2649" w:rsidRPr="003D32FA">
        <w:rPr>
          <w:rFonts w:ascii="Times New Roman" w:hAnsi="Times New Roman" w:cs="Times New Roman"/>
          <w:sz w:val="24"/>
          <w:szCs w:val="24"/>
          <w:lang w:val="en-US"/>
        </w:rPr>
        <w:t>low-abundance</w:t>
      </w:r>
      <w:r w:rsidRPr="003D32FA">
        <w:rPr>
          <w:rFonts w:ascii="Times New Roman" w:hAnsi="Times New Roman" w:cs="Times New Roman"/>
          <w:sz w:val="24"/>
          <w:szCs w:val="24"/>
          <w:lang w:val="en-US"/>
        </w:rPr>
        <w:t xml:space="preserve"> subtypes. Next generation amplicon sequencing (NGS) has </w:t>
      </w:r>
      <w:r w:rsidR="009470EF" w:rsidRPr="003D32FA">
        <w:rPr>
          <w:rFonts w:ascii="Times New Roman" w:hAnsi="Times New Roman" w:cs="Times New Roman"/>
          <w:sz w:val="24"/>
          <w:szCs w:val="24"/>
          <w:lang w:val="en-US"/>
        </w:rPr>
        <w:t xml:space="preserve">also </w:t>
      </w:r>
      <w:r w:rsidR="00EA2649" w:rsidRPr="003D32FA">
        <w:rPr>
          <w:rFonts w:ascii="Times New Roman" w:hAnsi="Times New Roman" w:cs="Times New Roman"/>
          <w:sz w:val="24"/>
          <w:szCs w:val="24"/>
          <w:lang w:val="en-US"/>
        </w:rPr>
        <w:t>shown</w:t>
      </w:r>
      <w:r w:rsidRPr="003D32FA">
        <w:rPr>
          <w:rFonts w:ascii="Times New Roman" w:hAnsi="Times New Roman" w:cs="Times New Roman"/>
          <w:sz w:val="24"/>
          <w:szCs w:val="24"/>
          <w:lang w:val="en-US"/>
        </w:rPr>
        <w:t xml:space="preserve"> greater sensitivity in detecting mixed subtype infections of </w:t>
      </w:r>
      <w:r w:rsidRPr="003D32FA">
        <w:rPr>
          <w:rFonts w:ascii="Times New Roman" w:hAnsi="Times New Roman" w:cs="Times New Roman"/>
          <w:i/>
          <w:iCs/>
          <w:sz w:val="24"/>
          <w:szCs w:val="24"/>
          <w:lang w:val="en-US"/>
        </w:rPr>
        <w:t>Blastocystis</w:t>
      </w:r>
      <w:r w:rsidRPr="003D32FA">
        <w:rPr>
          <w:rFonts w:ascii="Times New Roman" w:hAnsi="Times New Roman" w:cs="Times New Roman"/>
          <w:sz w:val="24"/>
          <w:szCs w:val="24"/>
          <w:lang w:val="en-US"/>
        </w:rPr>
        <w:t xml:space="preserve"> in humans and animal studies (Higuera et al., 2021)</w:t>
      </w:r>
      <w:r w:rsidR="00387C99">
        <w:rPr>
          <w:rFonts w:ascii="Times New Roman" w:hAnsi="Times New Roman" w:cs="Times New Roman"/>
          <w:sz w:val="24"/>
          <w:szCs w:val="24"/>
          <w:lang w:val="en-US"/>
        </w:rPr>
        <w:t>.</w:t>
      </w:r>
    </w:p>
    <w:p w14:paraId="66090078" w14:textId="609E7A8B" w:rsidR="00CB7992" w:rsidRPr="003D32FA" w:rsidRDefault="00CB7992" w:rsidP="003D32FA">
      <w:pPr>
        <w:spacing w:line="480" w:lineRule="auto"/>
        <w:ind w:firstLine="720"/>
        <w:jc w:val="both"/>
        <w:rPr>
          <w:rFonts w:ascii="Times New Roman" w:hAnsi="Times New Roman" w:cs="Times New Roman"/>
          <w:sz w:val="24"/>
          <w:szCs w:val="24"/>
          <w:lang w:val="en-US"/>
        </w:rPr>
      </w:pPr>
      <w:r w:rsidRPr="003D32FA">
        <w:rPr>
          <w:rFonts w:ascii="Times New Roman" w:hAnsi="Times New Roman" w:cs="Times New Roman"/>
          <w:sz w:val="24"/>
          <w:szCs w:val="24"/>
          <w:lang w:val="en-US"/>
        </w:rPr>
        <w:t xml:space="preserve">Due to </w:t>
      </w:r>
      <w:r w:rsidR="001C083A" w:rsidRPr="003D32FA">
        <w:rPr>
          <w:rFonts w:ascii="Times New Roman" w:hAnsi="Times New Roman" w:cs="Times New Roman"/>
          <w:sz w:val="24"/>
          <w:szCs w:val="24"/>
          <w:lang w:val="en-US"/>
        </w:rPr>
        <w:t xml:space="preserve">the controversial pathogenicity of </w:t>
      </w:r>
      <w:r w:rsidR="001C083A" w:rsidRPr="003D32FA">
        <w:rPr>
          <w:rFonts w:ascii="Times New Roman" w:hAnsi="Times New Roman" w:cs="Times New Roman"/>
          <w:i/>
          <w:iCs/>
          <w:sz w:val="24"/>
          <w:szCs w:val="24"/>
          <w:lang w:val="en-US"/>
        </w:rPr>
        <w:t>B. hominis</w:t>
      </w:r>
      <w:r w:rsidR="001C083A" w:rsidRPr="003D32FA">
        <w:rPr>
          <w:rFonts w:ascii="Times New Roman" w:hAnsi="Times New Roman" w:cs="Times New Roman"/>
          <w:sz w:val="24"/>
          <w:szCs w:val="24"/>
          <w:lang w:val="en-US"/>
        </w:rPr>
        <w:t>,</w:t>
      </w:r>
      <w:r w:rsidRPr="003D32FA">
        <w:rPr>
          <w:rFonts w:ascii="Times New Roman" w:hAnsi="Times New Roman" w:cs="Times New Roman"/>
          <w:sz w:val="24"/>
          <w:szCs w:val="24"/>
          <w:lang w:val="en-US"/>
        </w:rPr>
        <w:t xml:space="preserve"> </w:t>
      </w:r>
      <w:r w:rsidR="00AA6392" w:rsidRPr="003D32FA">
        <w:rPr>
          <w:rFonts w:ascii="Times New Roman" w:hAnsi="Times New Roman" w:cs="Times New Roman"/>
          <w:sz w:val="24"/>
          <w:szCs w:val="24"/>
          <w:lang w:val="en-US"/>
        </w:rPr>
        <w:t xml:space="preserve">the </w:t>
      </w:r>
      <w:r w:rsidRPr="003D32FA">
        <w:rPr>
          <w:rFonts w:ascii="Times New Roman" w:hAnsi="Times New Roman" w:cs="Times New Roman"/>
          <w:sz w:val="24"/>
          <w:szCs w:val="24"/>
          <w:lang w:val="en-US"/>
        </w:rPr>
        <w:t xml:space="preserve">issue </w:t>
      </w:r>
      <w:r w:rsidR="00AA6392" w:rsidRPr="003D32FA">
        <w:rPr>
          <w:rFonts w:ascii="Times New Roman" w:hAnsi="Times New Roman" w:cs="Times New Roman"/>
          <w:sz w:val="24"/>
          <w:szCs w:val="24"/>
          <w:lang w:val="en-US"/>
        </w:rPr>
        <w:t>of</w:t>
      </w:r>
      <w:r w:rsidRPr="003D32FA">
        <w:rPr>
          <w:rFonts w:ascii="Times New Roman" w:hAnsi="Times New Roman" w:cs="Times New Roman"/>
          <w:sz w:val="24"/>
          <w:szCs w:val="24"/>
          <w:lang w:val="en-US"/>
        </w:rPr>
        <w:t xml:space="preserve"> underdiagnosis has become a growing </w:t>
      </w:r>
      <w:r w:rsidR="0039537F" w:rsidRPr="003D32FA">
        <w:rPr>
          <w:rFonts w:ascii="Times New Roman" w:hAnsi="Times New Roman" w:cs="Times New Roman"/>
          <w:sz w:val="24"/>
          <w:szCs w:val="24"/>
          <w:lang w:val="en-US"/>
        </w:rPr>
        <w:t>concern.</w:t>
      </w:r>
      <w:r w:rsidRPr="003D32FA">
        <w:rPr>
          <w:rFonts w:ascii="Times New Roman" w:hAnsi="Times New Roman" w:cs="Times New Roman"/>
          <w:sz w:val="24"/>
          <w:szCs w:val="24"/>
          <w:lang w:val="en-US"/>
        </w:rPr>
        <w:t xml:space="preserve"> </w:t>
      </w:r>
      <w:r w:rsidR="00AA6392" w:rsidRPr="003D32FA">
        <w:rPr>
          <w:rFonts w:ascii="Times New Roman" w:hAnsi="Times New Roman" w:cs="Times New Roman"/>
          <w:sz w:val="24"/>
          <w:szCs w:val="24"/>
          <w:lang w:val="en-US"/>
        </w:rPr>
        <w:t>Reliance on c</w:t>
      </w:r>
      <w:r w:rsidRPr="003D32FA">
        <w:rPr>
          <w:rFonts w:ascii="Times New Roman" w:hAnsi="Times New Roman" w:cs="Times New Roman"/>
          <w:sz w:val="24"/>
          <w:szCs w:val="24"/>
          <w:lang w:val="en-US"/>
        </w:rPr>
        <w:t>onventional diagnostic technique</w:t>
      </w:r>
      <w:r w:rsidR="0039537F" w:rsidRPr="003D32FA">
        <w:rPr>
          <w:rFonts w:ascii="Times New Roman" w:hAnsi="Times New Roman" w:cs="Times New Roman"/>
          <w:sz w:val="24"/>
          <w:szCs w:val="24"/>
          <w:lang w:val="en-US"/>
        </w:rPr>
        <w:t>s</w:t>
      </w:r>
      <w:r w:rsidRPr="003D32FA">
        <w:rPr>
          <w:rFonts w:ascii="Times New Roman" w:hAnsi="Times New Roman" w:cs="Times New Roman"/>
          <w:sz w:val="24"/>
          <w:szCs w:val="24"/>
          <w:lang w:val="en-US"/>
        </w:rPr>
        <w:t xml:space="preserve"> may also contribute </w:t>
      </w:r>
      <w:r w:rsidR="00AA6392" w:rsidRPr="003D32FA">
        <w:rPr>
          <w:rFonts w:ascii="Times New Roman" w:hAnsi="Times New Roman" w:cs="Times New Roman"/>
          <w:sz w:val="24"/>
          <w:szCs w:val="24"/>
          <w:lang w:val="en-US"/>
        </w:rPr>
        <w:lastRenderedPageBreak/>
        <w:t xml:space="preserve">to </w:t>
      </w:r>
      <w:r w:rsidRPr="003D32FA">
        <w:rPr>
          <w:rFonts w:ascii="Times New Roman" w:hAnsi="Times New Roman" w:cs="Times New Roman"/>
          <w:sz w:val="24"/>
          <w:szCs w:val="24"/>
          <w:lang w:val="en-US"/>
        </w:rPr>
        <w:t>underdiagnosis</w:t>
      </w:r>
      <w:r w:rsidR="00AA6392" w:rsidRPr="003D32FA">
        <w:rPr>
          <w:rFonts w:ascii="Times New Roman" w:hAnsi="Times New Roman" w:cs="Times New Roman"/>
          <w:sz w:val="24"/>
          <w:szCs w:val="24"/>
          <w:lang w:val="en-US"/>
        </w:rPr>
        <w:t>.</w:t>
      </w:r>
      <w:r w:rsidRPr="003D32FA">
        <w:rPr>
          <w:rFonts w:ascii="Times New Roman" w:hAnsi="Times New Roman" w:cs="Times New Roman"/>
          <w:sz w:val="24"/>
          <w:szCs w:val="24"/>
          <w:lang w:val="en-US"/>
        </w:rPr>
        <w:t xml:space="preserve"> </w:t>
      </w:r>
      <w:r w:rsidR="00AA6392" w:rsidRPr="003D32FA">
        <w:rPr>
          <w:rFonts w:ascii="Times New Roman" w:hAnsi="Times New Roman" w:cs="Times New Roman"/>
          <w:sz w:val="24"/>
          <w:szCs w:val="24"/>
          <w:lang w:val="en-US"/>
        </w:rPr>
        <w:t>O</w:t>
      </w:r>
      <w:r w:rsidRPr="003D32FA">
        <w:rPr>
          <w:rFonts w:ascii="Times New Roman" w:hAnsi="Times New Roman" w:cs="Times New Roman"/>
          <w:sz w:val="24"/>
          <w:szCs w:val="24"/>
          <w:lang w:val="en-US"/>
        </w:rPr>
        <w:t xml:space="preserve">ne study in Morocco </w:t>
      </w:r>
      <w:r w:rsidR="00AA6392" w:rsidRPr="003D32FA">
        <w:rPr>
          <w:rFonts w:ascii="Times New Roman" w:hAnsi="Times New Roman" w:cs="Times New Roman"/>
          <w:sz w:val="24"/>
          <w:szCs w:val="24"/>
          <w:lang w:val="en-US"/>
        </w:rPr>
        <w:t>compared</w:t>
      </w:r>
      <w:r w:rsidRPr="003D32FA">
        <w:rPr>
          <w:rFonts w:ascii="Times New Roman" w:hAnsi="Times New Roman" w:cs="Times New Roman"/>
          <w:sz w:val="24"/>
          <w:szCs w:val="24"/>
          <w:lang w:val="en-US"/>
        </w:rPr>
        <w:t xml:space="preserve"> the sensitivity of three diagnostic tool</w:t>
      </w:r>
      <w:r w:rsidR="00525017" w:rsidRPr="003D32FA">
        <w:rPr>
          <w:rFonts w:ascii="Times New Roman" w:hAnsi="Times New Roman" w:cs="Times New Roman"/>
          <w:sz w:val="24"/>
          <w:szCs w:val="24"/>
          <w:lang w:val="en-US"/>
        </w:rPr>
        <w:t>s (PCR, culture in Jones medium, and microscopy) and</w:t>
      </w:r>
      <w:r w:rsidRPr="003D32FA">
        <w:rPr>
          <w:rFonts w:ascii="Times New Roman" w:hAnsi="Times New Roman" w:cs="Times New Roman"/>
          <w:sz w:val="24"/>
          <w:szCs w:val="24"/>
          <w:lang w:val="en-US"/>
        </w:rPr>
        <w:t xml:space="preserve"> show</w:t>
      </w:r>
      <w:r w:rsidR="00525017" w:rsidRPr="003D32FA">
        <w:rPr>
          <w:rFonts w:ascii="Times New Roman" w:hAnsi="Times New Roman" w:cs="Times New Roman"/>
          <w:sz w:val="24"/>
          <w:szCs w:val="24"/>
          <w:lang w:val="en-US"/>
        </w:rPr>
        <w:t>ed</w:t>
      </w:r>
      <w:r w:rsidRPr="003D32FA">
        <w:rPr>
          <w:rFonts w:ascii="Times New Roman" w:hAnsi="Times New Roman" w:cs="Times New Roman"/>
          <w:sz w:val="24"/>
          <w:szCs w:val="24"/>
          <w:lang w:val="en-US"/>
        </w:rPr>
        <w:t xml:space="preserve"> that PCR </w:t>
      </w:r>
      <w:r w:rsidR="00525017" w:rsidRPr="003D32FA">
        <w:rPr>
          <w:rFonts w:ascii="Times New Roman" w:hAnsi="Times New Roman" w:cs="Times New Roman"/>
          <w:sz w:val="24"/>
          <w:szCs w:val="24"/>
          <w:lang w:val="en-US"/>
        </w:rPr>
        <w:t>had</w:t>
      </w:r>
      <w:r w:rsidRPr="003D32FA">
        <w:rPr>
          <w:rFonts w:ascii="Times New Roman" w:hAnsi="Times New Roman" w:cs="Times New Roman"/>
          <w:sz w:val="24"/>
          <w:szCs w:val="24"/>
          <w:lang w:val="en-US"/>
        </w:rPr>
        <w:t xml:space="preserve"> the highest sensitivity</w:t>
      </w:r>
      <w:r w:rsidR="00963EFF" w:rsidRPr="003D32FA">
        <w:rPr>
          <w:rFonts w:ascii="Times New Roman" w:hAnsi="Times New Roman" w:cs="Times New Roman"/>
          <w:sz w:val="24"/>
          <w:szCs w:val="24"/>
          <w:lang w:val="en-US"/>
        </w:rPr>
        <w:t xml:space="preserve">, </w:t>
      </w:r>
      <w:r w:rsidRPr="003D32FA">
        <w:rPr>
          <w:rFonts w:ascii="Times New Roman" w:hAnsi="Times New Roman" w:cs="Times New Roman"/>
          <w:sz w:val="24"/>
          <w:szCs w:val="24"/>
          <w:lang w:val="en-US"/>
        </w:rPr>
        <w:t>impl</w:t>
      </w:r>
      <w:r w:rsidR="00963EFF" w:rsidRPr="003D32FA">
        <w:rPr>
          <w:rFonts w:ascii="Times New Roman" w:hAnsi="Times New Roman" w:cs="Times New Roman"/>
          <w:sz w:val="24"/>
          <w:szCs w:val="24"/>
          <w:lang w:val="en-US"/>
        </w:rPr>
        <w:t>ying</w:t>
      </w:r>
      <w:r w:rsidRPr="003D32FA">
        <w:rPr>
          <w:rFonts w:ascii="Times New Roman" w:hAnsi="Times New Roman" w:cs="Times New Roman"/>
          <w:sz w:val="24"/>
          <w:szCs w:val="24"/>
          <w:lang w:val="en-US"/>
        </w:rPr>
        <w:t xml:space="preserve"> that accessible conventional technique</w:t>
      </w:r>
      <w:r w:rsidR="00D1498A" w:rsidRPr="003D32FA">
        <w:rPr>
          <w:rFonts w:ascii="Times New Roman" w:hAnsi="Times New Roman" w:cs="Times New Roman"/>
          <w:sz w:val="24"/>
          <w:szCs w:val="24"/>
          <w:lang w:val="en-US"/>
        </w:rPr>
        <w:t>s</w:t>
      </w:r>
      <w:r w:rsidRPr="003D32FA">
        <w:rPr>
          <w:rFonts w:ascii="Times New Roman" w:hAnsi="Times New Roman" w:cs="Times New Roman"/>
          <w:sz w:val="24"/>
          <w:szCs w:val="24"/>
          <w:lang w:val="en-US"/>
        </w:rPr>
        <w:t xml:space="preserve"> ha</w:t>
      </w:r>
      <w:r w:rsidR="00D1498A" w:rsidRPr="003D32FA">
        <w:rPr>
          <w:rFonts w:ascii="Times New Roman" w:hAnsi="Times New Roman" w:cs="Times New Roman"/>
          <w:sz w:val="24"/>
          <w:szCs w:val="24"/>
          <w:lang w:val="en-US"/>
        </w:rPr>
        <w:t>ve</w:t>
      </w:r>
      <w:r w:rsidRPr="003D32FA">
        <w:rPr>
          <w:rFonts w:ascii="Times New Roman" w:hAnsi="Times New Roman" w:cs="Times New Roman"/>
          <w:sz w:val="24"/>
          <w:szCs w:val="24"/>
          <w:lang w:val="en-US"/>
        </w:rPr>
        <w:t xml:space="preserve"> a higher </w:t>
      </w:r>
      <w:r w:rsidR="00AA1115" w:rsidRPr="003D32FA">
        <w:rPr>
          <w:rFonts w:ascii="Times New Roman" w:hAnsi="Times New Roman" w:cs="Times New Roman"/>
          <w:sz w:val="24"/>
          <w:szCs w:val="24"/>
          <w:lang w:val="en-US"/>
        </w:rPr>
        <w:t xml:space="preserve">chance of not detecting true positive individuals for </w:t>
      </w:r>
      <w:r w:rsidR="00AA1115" w:rsidRPr="003D32FA">
        <w:rPr>
          <w:rFonts w:ascii="Times New Roman" w:hAnsi="Times New Roman" w:cs="Times New Roman"/>
          <w:i/>
          <w:iCs/>
          <w:sz w:val="24"/>
          <w:szCs w:val="24"/>
          <w:lang w:val="en-US"/>
        </w:rPr>
        <w:t>B. hominis</w:t>
      </w:r>
      <w:r w:rsidR="00AA1115" w:rsidRPr="003D32FA">
        <w:rPr>
          <w:rFonts w:ascii="Times New Roman" w:hAnsi="Times New Roman" w:cs="Times New Roman"/>
          <w:sz w:val="24"/>
          <w:szCs w:val="24"/>
          <w:lang w:val="en-US"/>
        </w:rPr>
        <w:t xml:space="preserve"> </w:t>
      </w:r>
      <w:r w:rsidRPr="003D32FA">
        <w:rPr>
          <w:rFonts w:ascii="Times New Roman" w:hAnsi="Times New Roman" w:cs="Times New Roman"/>
          <w:sz w:val="24"/>
          <w:szCs w:val="24"/>
          <w:lang w:val="en-US"/>
        </w:rPr>
        <w:t>(Boutahar et al., 2023)</w:t>
      </w:r>
      <w:r w:rsidR="00AA1115" w:rsidRPr="003D32FA">
        <w:rPr>
          <w:rFonts w:ascii="Times New Roman" w:hAnsi="Times New Roman" w:cs="Times New Roman"/>
          <w:sz w:val="24"/>
          <w:szCs w:val="24"/>
          <w:lang w:val="en-US"/>
        </w:rPr>
        <w:t>. Furthermore, because</w:t>
      </w:r>
      <w:r w:rsidRPr="003D32FA">
        <w:rPr>
          <w:rFonts w:ascii="Times New Roman" w:hAnsi="Times New Roman" w:cs="Times New Roman"/>
          <w:sz w:val="24"/>
          <w:szCs w:val="24"/>
          <w:lang w:val="en-US"/>
        </w:rPr>
        <w:t xml:space="preserve"> of </w:t>
      </w:r>
      <w:r w:rsidR="00AA1115" w:rsidRPr="003D32FA">
        <w:rPr>
          <w:rFonts w:ascii="Times New Roman" w:hAnsi="Times New Roman" w:cs="Times New Roman"/>
          <w:i/>
          <w:iCs/>
          <w:sz w:val="24"/>
          <w:szCs w:val="24"/>
          <w:lang w:val="en-US"/>
        </w:rPr>
        <w:t>Blastocystis</w:t>
      </w:r>
      <w:r w:rsidR="00AA1115" w:rsidRPr="003D32FA">
        <w:rPr>
          <w:rFonts w:ascii="Times New Roman" w:hAnsi="Times New Roman" w:cs="Times New Roman"/>
          <w:sz w:val="24"/>
          <w:szCs w:val="24"/>
          <w:lang w:val="en-US"/>
        </w:rPr>
        <w:t>'</w:t>
      </w:r>
      <w:r w:rsidRPr="003D32FA">
        <w:rPr>
          <w:rFonts w:ascii="Times New Roman" w:hAnsi="Times New Roman" w:cs="Times New Roman"/>
          <w:sz w:val="24"/>
          <w:szCs w:val="24"/>
          <w:lang w:val="en-US"/>
        </w:rPr>
        <w:t xml:space="preserve"> polymorphic </w:t>
      </w:r>
      <w:r w:rsidR="007B33A9" w:rsidRPr="003D32FA">
        <w:rPr>
          <w:rFonts w:ascii="Times New Roman" w:hAnsi="Times New Roman" w:cs="Times New Roman"/>
          <w:sz w:val="24"/>
          <w:szCs w:val="24"/>
          <w:lang w:val="en-US"/>
        </w:rPr>
        <w:t>structure, issues</w:t>
      </w:r>
      <w:r w:rsidRPr="003D32FA">
        <w:rPr>
          <w:rFonts w:ascii="Times New Roman" w:hAnsi="Times New Roman" w:cs="Times New Roman"/>
          <w:sz w:val="24"/>
          <w:szCs w:val="24"/>
          <w:lang w:val="en-US"/>
        </w:rPr>
        <w:t xml:space="preserve"> with misdiagnosis </w:t>
      </w:r>
      <w:r w:rsidR="00AA1115" w:rsidRPr="003D32FA">
        <w:rPr>
          <w:rFonts w:ascii="Times New Roman" w:hAnsi="Times New Roman" w:cs="Times New Roman"/>
          <w:sz w:val="24"/>
          <w:szCs w:val="24"/>
          <w:lang w:val="en-US"/>
        </w:rPr>
        <w:t>have</w:t>
      </w:r>
      <w:r w:rsidRPr="003D32FA">
        <w:rPr>
          <w:rFonts w:ascii="Times New Roman" w:hAnsi="Times New Roman" w:cs="Times New Roman"/>
          <w:sz w:val="24"/>
          <w:szCs w:val="24"/>
          <w:lang w:val="en-US"/>
        </w:rPr>
        <w:t xml:space="preserve"> been a great </w:t>
      </w:r>
      <w:r w:rsidR="00AA1115" w:rsidRPr="003D32FA">
        <w:rPr>
          <w:rFonts w:ascii="Times New Roman" w:hAnsi="Times New Roman" w:cs="Times New Roman"/>
          <w:sz w:val="24"/>
          <w:szCs w:val="24"/>
          <w:lang w:val="en-US"/>
        </w:rPr>
        <w:t>concern</w:t>
      </w:r>
      <w:r w:rsidRPr="003D32FA">
        <w:rPr>
          <w:rFonts w:ascii="Times New Roman" w:hAnsi="Times New Roman" w:cs="Times New Roman"/>
          <w:sz w:val="24"/>
          <w:szCs w:val="24"/>
          <w:lang w:val="en-US"/>
        </w:rPr>
        <w:t xml:space="preserve"> in native preparation for microscopy</w:t>
      </w:r>
      <w:r w:rsidR="00674C2C" w:rsidRPr="003D32FA">
        <w:rPr>
          <w:rFonts w:ascii="Times New Roman" w:hAnsi="Times New Roman" w:cs="Times New Roman"/>
          <w:sz w:val="24"/>
          <w:szCs w:val="24"/>
          <w:lang w:val="en-US"/>
        </w:rPr>
        <w:t>,</w:t>
      </w:r>
      <w:r w:rsidRPr="003D32FA">
        <w:rPr>
          <w:rFonts w:ascii="Times New Roman" w:hAnsi="Times New Roman" w:cs="Times New Roman"/>
          <w:sz w:val="24"/>
          <w:szCs w:val="24"/>
          <w:lang w:val="en-US"/>
        </w:rPr>
        <w:t xml:space="preserve"> </w:t>
      </w:r>
      <w:r w:rsidR="00AA1115" w:rsidRPr="003D32FA">
        <w:rPr>
          <w:rFonts w:ascii="Times New Roman" w:hAnsi="Times New Roman" w:cs="Times New Roman"/>
          <w:sz w:val="24"/>
          <w:szCs w:val="24"/>
          <w:lang w:val="en-US"/>
        </w:rPr>
        <w:t xml:space="preserve">as </w:t>
      </w:r>
      <w:r w:rsidRPr="003D32FA">
        <w:rPr>
          <w:rFonts w:ascii="Times New Roman" w:hAnsi="Times New Roman" w:cs="Times New Roman"/>
          <w:sz w:val="24"/>
          <w:szCs w:val="24"/>
          <w:lang w:val="en-US"/>
        </w:rPr>
        <w:t>they have been commonly misidentified as fungi</w:t>
      </w:r>
      <w:r w:rsidR="00674C2C" w:rsidRPr="003D32FA">
        <w:rPr>
          <w:rFonts w:ascii="Times New Roman" w:hAnsi="Times New Roman" w:cs="Times New Roman"/>
          <w:sz w:val="24"/>
          <w:szCs w:val="24"/>
          <w:lang w:val="en-US"/>
        </w:rPr>
        <w:t xml:space="preserve">, </w:t>
      </w:r>
      <w:r w:rsidRPr="003D32FA">
        <w:rPr>
          <w:rFonts w:ascii="Times New Roman" w:hAnsi="Times New Roman" w:cs="Times New Roman"/>
          <w:i/>
          <w:iCs/>
          <w:sz w:val="24"/>
          <w:szCs w:val="24"/>
          <w:lang w:val="en-US"/>
        </w:rPr>
        <w:t xml:space="preserve">Cyclospora </w:t>
      </w:r>
      <w:r w:rsidR="00674C2C" w:rsidRPr="003D5B6F">
        <w:rPr>
          <w:rFonts w:ascii="Times New Roman" w:hAnsi="Times New Roman" w:cs="Times New Roman"/>
          <w:sz w:val="24"/>
          <w:szCs w:val="24"/>
          <w:lang w:val="en-US"/>
        </w:rPr>
        <w:t>spp</w:t>
      </w:r>
      <w:r w:rsidR="00674C2C" w:rsidRPr="003D32FA">
        <w:rPr>
          <w:rFonts w:ascii="Times New Roman" w:hAnsi="Times New Roman" w:cs="Times New Roman"/>
          <w:sz w:val="24"/>
          <w:szCs w:val="24"/>
          <w:lang w:val="en-US"/>
        </w:rPr>
        <w:t>.</w:t>
      </w:r>
      <w:r w:rsidRPr="003D32FA">
        <w:rPr>
          <w:rFonts w:ascii="Times New Roman" w:hAnsi="Times New Roman" w:cs="Times New Roman"/>
          <w:sz w:val="24"/>
          <w:szCs w:val="24"/>
          <w:lang w:val="en-US"/>
        </w:rPr>
        <w:t xml:space="preserve">, fat droplets, </w:t>
      </w:r>
      <w:r w:rsidRPr="003D32FA">
        <w:rPr>
          <w:rFonts w:ascii="Times New Roman" w:hAnsi="Times New Roman" w:cs="Times New Roman"/>
          <w:i/>
          <w:iCs/>
          <w:sz w:val="24"/>
          <w:szCs w:val="24"/>
          <w:lang w:val="en-US"/>
        </w:rPr>
        <w:t>D</w:t>
      </w:r>
      <w:r w:rsidR="00674C2C" w:rsidRPr="003D32FA">
        <w:rPr>
          <w:rFonts w:ascii="Times New Roman" w:hAnsi="Times New Roman" w:cs="Times New Roman"/>
          <w:i/>
          <w:iCs/>
          <w:sz w:val="24"/>
          <w:szCs w:val="24"/>
          <w:lang w:val="en-US"/>
        </w:rPr>
        <w:t>.</w:t>
      </w:r>
      <w:r w:rsidRPr="003D32FA">
        <w:rPr>
          <w:rFonts w:ascii="Times New Roman" w:hAnsi="Times New Roman" w:cs="Times New Roman"/>
          <w:i/>
          <w:iCs/>
          <w:sz w:val="24"/>
          <w:szCs w:val="24"/>
          <w:lang w:val="en-US"/>
        </w:rPr>
        <w:t xml:space="preserve"> fragilis</w:t>
      </w:r>
      <w:r w:rsidR="00674C2C" w:rsidRPr="003D32FA">
        <w:rPr>
          <w:rFonts w:ascii="Times New Roman" w:hAnsi="Times New Roman" w:cs="Times New Roman"/>
          <w:i/>
          <w:iCs/>
          <w:sz w:val="24"/>
          <w:szCs w:val="24"/>
          <w:lang w:val="en-US"/>
        </w:rPr>
        <w:t>,</w:t>
      </w:r>
      <w:r w:rsidRPr="003D32FA">
        <w:rPr>
          <w:rFonts w:ascii="Times New Roman" w:hAnsi="Times New Roman" w:cs="Times New Roman"/>
          <w:sz w:val="24"/>
          <w:szCs w:val="24"/>
          <w:lang w:val="en-US"/>
        </w:rPr>
        <w:t xml:space="preserve"> and yeast. </w:t>
      </w:r>
      <w:r w:rsidR="00674C2C" w:rsidRPr="003D32FA">
        <w:rPr>
          <w:rFonts w:ascii="Times New Roman" w:hAnsi="Times New Roman" w:cs="Times New Roman"/>
          <w:sz w:val="24"/>
          <w:szCs w:val="24"/>
          <w:lang w:val="en-US"/>
        </w:rPr>
        <w:t>It was also</w:t>
      </w:r>
      <w:r w:rsidRPr="003D32FA">
        <w:rPr>
          <w:rFonts w:ascii="Times New Roman" w:hAnsi="Times New Roman" w:cs="Times New Roman"/>
          <w:sz w:val="24"/>
          <w:szCs w:val="24"/>
          <w:lang w:val="en-US"/>
        </w:rPr>
        <w:t xml:space="preserve"> suggested that </w:t>
      </w:r>
      <w:r w:rsidR="00AB537E" w:rsidRPr="003D32FA">
        <w:rPr>
          <w:rFonts w:ascii="Times New Roman" w:hAnsi="Times New Roman" w:cs="Times New Roman"/>
          <w:sz w:val="24"/>
          <w:szCs w:val="24"/>
          <w:lang w:val="en-US"/>
        </w:rPr>
        <w:t xml:space="preserve">a </w:t>
      </w:r>
      <w:r w:rsidRPr="003D32FA">
        <w:rPr>
          <w:rFonts w:ascii="Times New Roman" w:hAnsi="Times New Roman" w:cs="Times New Roman"/>
          <w:sz w:val="24"/>
          <w:szCs w:val="24"/>
          <w:lang w:val="en-US"/>
        </w:rPr>
        <w:t xml:space="preserve">combination of different diagnostic </w:t>
      </w:r>
      <w:r w:rsidR="00674C2C" w:rsidRPr="003D32FA">
        <w:rPr>
          <w:rFonts w:ascii="Times New Roman" w:hAnsi="Times New Roman" w:cs="Times New Roman"/>
          <w:sz w:val="24"/>
          <w:szCs w:val="24"/>
          <w:lang w:val="en-US"/>
        </w:rPr>
        <w:t>techniques</w:t>
      </w:r>
      <w:r w:rsidR="00DF1176" w:rsidRPr="003D32FA">
        <w:rPr>
          <w:rFonts w:ascii="Times New Roman" w:hAnsi="Times New Roman" w:cs="Times New Roman"/>
          <w:sz w:val="24"/>
          <w:szCs w:val="24"/>
          <w:lang w:val="en-US"/>
        </w:rPr>
        <w:t xml:space="preserve"> must be employed,</w:t>
      </w:r>
      <w:r w:rsidRPr="003D32FA">
        <w:rPr>
          <w:rFonts w:ascii="Times New Roman" w:hAnsi="Times New Roman" w:cs="Times New Roman"/>
          <w:sz w:val="24"/>
          <w:szCs w:val="24"/>
          <w:lang w:val="en-US"/>
        </w:rPr>
        <w:t xml:space="preserve"> such as culture</w:t>
      </w:r>
      <w:r w:rsidR="00DF1176" w:rsidRPr="003D32FA">
        <w:rPr>
          <w:rFonts w:ascii="Times New Roman" w:hAnsi="Times New Roman" w:cs="Times New Roman"/>
          <w:sz w:val="24"/>
          <w:szCs w:val="24"/>
          <w:lang w:val="en-US"/>
        </w:rPr>
        <w:t>,</w:t>
      </w:r>
      <w:r w:rsidRPr="003D32FA">
        <w:rPr>
          <w:rFonts w:ascii="Times New Roman" w:hAnsi="Times New Roman" w:cs="Times New Roman"/>
          <w:sz w:val="24"/>
          <w:szCs w:val="24"/>
          <w:lang w:val="en-US"/>
        </w:rPr>
        <w:t xml:space="preserve"> if PCR is not available (Roberts et al., 2011</w:t>
      </w:r>
      <w:r w:rsidR="00387C99">
        <w:rPr>
          <w:rFonts w:ascii="Times New Roman" w:hAnsi="Times New Roman" w:cs="Times New Roman"/>
          <w:sz w:val="24"/>
          <w:szCs w:val="24"/>
          <w:lang w:val="en-US"/>
        </w:rPr>
        <w:t xml:space="preserve">; </w:t>
      </w:r>
      <w:r w:rsidRPr="003D32FA">
        <w:rPr>
          <w:rFonts w:ascii="Times New Roman" w:hAnsi="Times New Roman" w:cs="Times New Roman"/>
          <w:sz w:val="24"/>
          <w:szCs w:val="24"/>
          <w:lang w:val="en-US"/>
        </w:rPr>
        <w:t>Tasić et al., 2017).</w:t>
      </w:r>
    </w:p>
    <w:p w14:paraId="5596C6CF" w14:textId="0BBA839F" w:rsidR="00D86625" w:rsidRPr="003D32FA" w:rsidRDefault="007A3A0E" w:rsidP="003D32FA">
      <w:pPr>
        <w:spacing w:line="480" w:lineRule="auto"/>
        <w:ind w:firstLine="720"/>
        <w:jc w:val="both"/>
        <w:rPr>
          <w:rFonts w:ascii="Times New Roman" w:hAnsi="Times New Roman" w:cs="Times New Roman"/>
          <w:sz w:val="24"/>
          <w:szCs w:val="24"/>
          <w:lang w:val="en-US"/>
        </w:rPr>
      </w:pPr>
      <w:r w:rsidRPr="003D32FA">
        <w:rPr>
          <w:rFonts w:ascii="Times New Roman" w:hAnsi="Times New Roman" w:cs="Times New Roman"/>
          <w:sz w:val="24"/>
          <w:szCs w:val="24"/>
          <w:lang w:val="en-US"/>
        </w:rPr>
        <w:t>In the Philippines, because</w:t>
      </w:r>
      <w:r w:rsidR="00091673" w:rsidRPr="003D32FA">
        <w:rPr>
          <w:rFonts w:ascii="Times New Roman" w:hAnsi="Times New Roman" w:cs="Times New Roman"/>
          <w:sz w:val="24"/>
          <w:szCs w:val="24"/>
          <w:lang w:val="en-US"/>
        </w:rPr>
        <w:t xml:space="preserve"> of limited access to </w:t>
      </w:r>
      <w:r w:rsidRPr="003D32FA">
        <w:rPr>
          <w:rFonts w:ascii="Times New Roman" w:hAnsi="Times New Roman" w:cs="Times New Roman"/>
          <w:sz w:val="24"/>
          <w:szCs w:val="24"/>
          <w:lang w:val="en-US"/>
        </w:rPr>
        <w:t>advanced</w:t>
      </w:r>
      <w:r w:rsidR="00091673" w:rsidRPr="003D32FA">
        <w:rPr>
          <w:rFonts w:ascii="Times New Roman" w:hAnsi="Times New Roman" w:cs="Times New Roman"/>
          <w:sz w:val="24"/>
          <w:szCs w:val="24"/>
          <w:lang w:val="en-US"/>
        </w:rPr>
        <w:t xml:space="preserve"> diagnostic tool</w:t>
      </w:r>
      <w:r w:rsidR="00F8660B" w:rsidRPr="003D32FA">
        <w:rPr>
          <w:rFonts w:ascii="Times New Roman" w:hAnsi="Times New Roman" w:cs="Times New Roman"/>
          <w:sz w:val="24"/>
          <w:szCs w:val="24"/>
          <w:lang w:val="en-US"/>
        </w:rPr>
        <w:t>s</w:t>
      </w:r>
      <w:r w:rsidR="000A127D" w:rsidRPr="003D32FA">
        <w:rPr>
          <w:rFonts w:ascii="Times New Roman" w:hAnsi="Times New Roman" w:cs="Times New Roman"/>
          <w:sz w:val="24"/>
          <w:szCs w:val="24"/>
          <w:lang w:val="en-US"/>
        </w:rPr>
        <w:t>, low laboratory capacity,</w:t>
      </w:r>
      <w:r w:rsidR="00091673" w:rsidRPr="003D32FA">
        <w:rPr>
          <w:rFonts w:ascii="Times New Roman" w:hAnsi="Times New Roman" w:cs="Times New Roman"/>
          <w:sz w:val="24"/>
          <w:szCs w:val="24"/>
          <w:lang w:val="en-US"/>
        </w:rPr>
        <w:t xml:space="preserve"> and </w:t>
      </w:r>
      <w:r w:rsidRPr="003D32FA">
        <w:rPr>
          <w:rFonts w:ascii="Times New Roman" w:hAnsi="Times New Roman" w:cs="Times New Roman"/>
          <w:sz w:val="24"/>
          <w:szCs w:val="24"/>
          <w:lang w:val="en-US"/>
        </w:rPr>
        <w:t xml:space="preserve">high </w:t>
      </w:r>
      <w:r w:rsidR="00091673" w:rsidRPr="003D32FA">
        <w:rPr>
          <w:rFonts w:ascii="Times New Roman" w:hAnsi="Times New Roman" w:cs="Times New Roman"/>
          <w:sz w:val="24"/>
          <w:szCs w:val="24"/>
          <w:lang w:val="en-US"/>
        </w:rPr>
        <w:t>cost</w:t>
      </w:r>
      <w:r w:rsidR="00F8660B" w:rsidRPr="003D32FA">
        <w:rPr>
          <w:rFonts w:ascii="Times New Roman" w:hAnsi="Times New Roman" w:cs="Times New Roman"/>
          <w:sz w:val="24"/>
          <w:szCs w:val="24"/>
          <w:lang w:val="en-US"/>
        </w:rPr>
        <w:t>s,</w:t>
      </w:r>
      <w:r w:rsidR="00091673" w:rsidRPr="003D32FA">
        <w:rPr>
          <w:rFonts w:ascii="Times New Roman" w:hAnsi="Times New Roman" w:cs="Times New Roman"/>
          <w:sz w:val="24"/>
          <w:szCs w:val="24"/>
          <w:lang w:val="en-US"/>
        </w:rPr>
        <w:t xml:space="preserve"> </w:t>
      </w:r>
      <w:r w:rsidR="00F8660B" w:rsidRPr="003D32FA">
        <w:rPr>
          <w:rFonts w:ascii="Times New Roman" w:hAnsi="Times New Roman" w:cs="Times New Roman"/>
          <w:sz w:val="24"/>
          <w:szCs w:val="24"/>
          <w:lang w:val="en-US"/>
        </w:rPr>
        <w:t xml:space="preserve">molecular methods are not used </w:t>
      </w:r>
      <w:r w:rsidR="00091673" w:rsidRPr="003D32FA">
        <w:rPr>
          <w:rFonts w:ascii="Times New Roman" w:hAnsi="Times New Roman" w:cs="Times New Roman"/>
          <w:sz w:val="24"/>
          <w:szCs w:val="24"/>
          <w:lang w:val="en-US"/>
        </w:rPr>
        <w:t xml:space="preserve">as a routine tool for diagnosing </w:t>
      </w:r>
      <w:r w:rsidR="00EF5C52" w:rsidRPr="003D32FA">
        <w:rPr>
          <w:rFonts w:ascii="Times New Roman" w:hAnsi="Times New Roman" w:cs="Times New Roman"/>
          <w:i/>
          <w:iCs/>
          <w:sz w:val="24"/>
          <w:szCs w:val="24"/>
          <w:lang w:val="en-US"/>
        </w:rPr>
        <w:t>B. hominis</w:t>
      </w:r>
      <w:r w:rsidR="00EF5C52" w:rsidRPr="003D32FA">
        <w:rPr>
          <w:rFonts w:ascii="Times New Roman" w:hAnsi="Times New Roman" w:cs="Times New Roman"/>
          <w:sz w:val="24"/>
          <w:szCs w:val="24"/>
          <w:lang w:val="en-US"/>
        </w:rPr>
        <w:t>.</w:t>
      </w:r>
      <w:r w:rsidR="00091673" w:rsidRPr="003D32FA">
        <w:rPr>
          <w:rFonts w:ascii="Times New Roman" w:hAnsi="Times New Roman" w:cs="Times New Roman"/>
          <w:sz w:val="24"/>
          <w:szCs w:val="24"/>
          <w:lang w:val="en-US"/>
        </w:rPr>
        <w:t xml:space="preserve"> </w:t>
      </w:r>
      <w:r w:rsidR="00BE3D45" w:rsidRPr="00BE3D45">
        <w:rPr>
          <w:rFonts w:ascii="Times New Roman" w:hAnsi="Times New Roman" w:cs="Times New Roman"/>
          <w:sz w:val="24"/>
          <w:szCs w:val="24"/>
        </w:rPr>
        <w:t xml:space="preserve">In fact, it is primarily used for research purposes, as seen in the studies by Adao et al. (2016) and Belleza et al. (2016), which performed subtyping analyses in an urban Philippine community. At present, there remains no standardized diagnostic procedure for </w:t>
      </w:r>
      <w:r w:rsidR="00BE3D45" w:rsidRPr="00BE3D45">
        <w:rPr>
          <w:rFonts w:ascii="Times New Roman" w:hAnsi="Times New Roman" w:cs="Times New Roman"/>
          <w:i/>
          <w:iCs/>
          <w:sz w:val="24"/>
          <w:szCs w:val="24"/>
        </w:rPr>
        <w:t>B. hominis</w:t>
      </w:r>
      <w:r w:rsidR="00BE3D45" w:rsidRPr="00BE3D45">
        <w:rPr>
          <w:rFonts w:ascii="Times New Roman" w:hAnsi="Times New Roman" w:cs="Times New Roman"/>
          <w:sz w:val="24"/>
          <w:szCs w:val="24"/>
        </w:rPr>
        <w:t xml:space="preserve"> in the Philippines, with conventional microscopy still being the main method employed.</w:t>
      </w:r>
      <w:r w:rsidR="00BE3D45">
        <w:rPr>
          <w:rFonts w:ascii="Times New Roman" w:hAnsi="Times New Roman" w:cs="Times New Roman"/>
          <w:sz w:val="24"/>
          <w:szCs w:val="24"/>
        </w:rPr>
        <w:t xml:space="preserve"> </w:t>
      </w:r>
      <w:r w:rsidR="001A15F1" w:rsidRPr="003D32FA">
        <w:rPr>
          <w:rFonts w:ascii="Times New Roman" w:hAnsi="Times New Roman" w:cs="Times New Roman"/>
          <w:sz w:val="24"/>
          <w:szCs w:val="24"/>
          <w:lang w:val="en-US"/>
        </w:rPr>
        <w:t>D</w:t>
      </w:r>
      <w:r w:rsidR="00CB7992" w:rsidRPr="003D32FA">
        <w:rPr>
          <w:rFonts w:ascii="Times New Roman" w:hAnsi="Times New Roman" w:cs="Times New Roman"/>
          <w:sz w:val="24"/>
          <w:szCs w:val="24"/>
          <w:lang w:val="en-US"/>
        </w:rPr>
        <w:t>ue to many concerning issue</w:t>
      </w:r>
      <w:r w:rsidR="001A15F1" w:rsidRPr="003D32FA">
        <w:rPr>
          <w:rFonts w:ascii="Times New Roman" w:hAnsi="Times New Roman" w:cs="Times New Roman"/>
          <w:sz w:val="24"/>
          <w:szCs w:val="24"/>
          <w:lang w:val="en-US"/>
        </w:rPr>
        <w:t xml:space="preserve">s and challenges </w:t>
      </w:r>
      <w:r w:rsidR="00A0180B" w:rsidRPr="003D32FA">
        <w:rPr>
          <w:rFonts w:ascii="Times New Roman" w:hAnsi="Times New Roman" w:cs="Times New Roman"/>
          <w:sz w:val="24"/>
          <w:szCs w:val="24"/>
          <w:lang w:val="en-US"/>
        </w:rPr>
        <w:t>in</w:t>
      </w:r>
      <w:r w:rsidR="001A15F1" w:rsidRPr="003D32FA">
        <w:rPr>
          <w:rFonts w:ascii="Times New Roman" w:hAnsi="Times New Roman" w:cs="Times New Roman"/>
          <w:sz w:val="24"/>
          <w:szCs w:val="24"/>
          <w:lang w:val="en-US"/>
        </w:rPr>
        <w:t xml:space="preserve"> </w:t>
      </w:r>
      <w:r w:rsidR="00A0180B" w:rsidRPr="003D32FA">
        <w:rPr>
          <w:rFonts w:ascii="Times New Roman" w:hAnsi="Times New Roman" w:cs="Times New Roman"/>
          <w:sz w:val="24"/>
          <w:szCs w:val="24"/>
          <w:lang w:val="en-US"/>
        </w:rPr>
        <w:t xml:space="preserve">diagnosing </w:t>
      </w:r>
      <w:r w:rsidR="00A0180B" w:rsidRPr="003D32FA">
        <w:rPr>
          <w:rFonts w:ascii="Times New Roman" w:hAnsi="Times New Roman" w:cs="Times New Roman"/>
          <w:i/>
          <w:iCs/>
          <w:sz w:val="24"/>
          <w:szCs w:val="24"/>
          <w:lang w:val="en-US"/>
        </w:rPr>
        <w:t>B. hominis</w:t>
      </w:r>
      <w:r w:rsidR="00A0180B" w:rsidRPr="003D32FA">
        <w:rPr>
          <w:rFonts w:ascii="Times New Roman" w:hAnsi="Times New Roman" w:cs="Times New Roman"/>
          <w:sz w:val="24"/>
          <w:szCs w:val="24"/>
          <w:lang w:val="en-US"/>
        </w:rPr>
        <w:t xml:space="preserve"> in the Philippines,</w:t>
      </w:r>
      <w:r w:rsidR="00CB7992" w:rsidRPr="003D32FA">
        <w:rPr>
          <w:rFonts w:ascii="Times New Roman" w:hAnsi="Times New Roman" w:cs="Times New Roman"/>
          <w:sz w:val="24"/>
          <w:szCs w:val="24"/>
          <w:lang w:val="en-US"/>
        </w:rPr>
        <w:t xml:space="preserve"> </w:t>
      </w:r>
      <w:r w:rsidR="00AE49B7" w:rsidRPr="003D32FA">
        <w:rPr>
          <w:rFonts w:ascii="Times New Roman" w:hAnsi="Times New Roman" w:cs="Times New Roman"/>
          <w:sz w:val="24"/>
          <w:szCs w:val="24"/>
          <w:lang w:val="en-US"/>
        </w:rPr>
        <w:t xml:space="preserve">the </w:t>
      </w:r>
      <w:r w:rsidR="00A0180B" w:rsidRPr="003D32FA">
        <w:rPr>
          <w:rFonts w:ascii="Times New Roman" w:hAnsi="Times New Roman" w:cs="Times New Roman"/>
          <w:sz w:val="24"/>
          <w:szCs w:val="24"/>
          <w:lang w:val="en-US"/>
        </w:rPr>
        <w:t>incorporation</w:t>
      </w:r>
      <w:r w:rsidR="00CB7992" w:rsidRPr="003D32FA">
        <w:rPr>
          <w:rFonts w:ascii="Times New Roman" w:hAnsi="Times New Roman" w:cs="Times New Roman"/>
          <w:sz w:val="24"/>
          <w:szCs w:val="24"/>
          <w:lang w:val="en-US"/>
        </w:rPr>
        <w:t xml:space="preserve"> of molecular diagnosis</w:t>
      </w:r>
      <w:r w:rsidR="00AE49B7" w:rsidRPr="003D32FA">
        <w:rPr>
          <w:rFonts w:ascii="Times New Roman" w:hAnsi="Times New Roman" w:cs="Times New Roman"/>
          <w:sz w:val="24"/>
          <w:szCs w:val="24"/>
          <w:lang w:val="en-US"/>
        </w:rPr>
        <w:t>,</w:t>
      </w:r>
      <w:r w:rsidR="00CB7992" w:rsidRPr="003D32FA">
        <w:rPr>
          <w:rFonts w:ascii="Times New Roman" w:hAnsi="Times New Roman" w:cs="Times New Roman"/>
          <w:sz w:val="24"/>
          <w:szCs w:val="24"/>
          <w:lang w:val="en-US"/>
        </w:rPr>
        <w:t xml:space="preserve"> such as PCR</w:t>
      </w:r>
      <w:r w:rsidR="00AE49B7" w:rsidRPr="003D32FA">
        <w:rPr>
          <w:rFonts w:ascii="Times New Roman" w:hAnsi="Times New Roman" w:cs="Times New Roman"/>
          <w:sz w:val="24"/>
          <w:szCs w:val="24"/>
          <w:lang w:val="en-US"/>
        </w:rPr>
        <w:t>,</w:t>
      </w:r>
      <w:r w:rsidR="00CB7992" w:rsidRPr="003D32FA">
        <w:rPr>
          <w:rFonts w:ascii="Times New Roman" w:hAnsi="Times New Roman" w:cs="Times New Roman"/>
          <w:sz w:val="24"/>
          <w:szCs w:val="24"/>
          <w:lang w:val="en-US"/>
        </w:rPr>
        <w:t xml:space="preserve"> in </w:t>
      </w:r>
      <w:r w:rsidR="00A0180B" w:rsidRPr="003D32FA">
        <w:rPr>
          <w:rFonts w:ascii="Times New Roman" w:hAnsi="Times New Roman" w:cs="Times New Roman"/>
          <w:sz w:val="24"/>
          <w:szCs w:val="24"/>
          <w:lang w:val="en-US"/>
        </w:rPr>
        <w:t xml:space="preserve">the </w:t>
      </w:r>
      <w:r w:rsidR="00CB7992" w:rsidRPr="003D32FA">
        <w:rPr>
          <w:rFonts w:ascii="Times New Roman" w:hAnsi="Times New Roman" w:cs="Times New Roman"/>
          <w:sz w:val="24"/>
          <w:szCs w:val="24"/>
          <w:lang w:val="en-US"/>
        </w:rPr>
        <w:t>clinical setting has been highly recommended (Boutahar et al., 2023</w:t>
      </w:r>
      <w:r w:rsidR="00A0180B" w:rsidRPr="003D32FA">
        <w:rPr>
          <w:rFonts w:ascii="Times New Roman" w:hAnsi="Times New Roman" w:cs="Times New Roman"/>
          <w:sz w:val="24"/>
          <w:szCs w:val="24"/>
          <w:lang w:val="en-US"/>
        </w:rPr>
        <w:t xml:space="preserve">; </w:t>
      </w:r>
      <w:r w:rsidR="00CB7992" w:rsidRPr="003D32FA">
        <w:rPr>
          <w:rFonts w:ascii="Times New Roman" w:hAnsi="Times New Roman" w:cs="Times New Roman"/>
          <w:sz w:val="24"/>
          <w:szCs w:val="24"/>
          <w:lang w:val="en-US"/>
        </w:rPr>
        <w:t xml:space="preserve">Rudzińska &amp; Sikorska, 2023). </w:t>
      </w:r>
      <w:r w:rsidR="00CF130D" w:rsidRPr="003D32FA">
        <w:rPr>
          <w:rFonts w:ascii="Times New Roman" w:hAnsi="Times New Roman" w:cs="Times New Roman"/>
          <w:sz w:val="24"/>
          <w:szCs w:val="24"/>
          <w:lang w:val="en-US"/>
        </w:rPr>
        <w:t>Furthermore, e</w:t>
      </w:r>
      <w:r w:rsidR="00CB7992" w:rsidRPr="003D32FA">
        <w:rPr>
          <w:rFonts w:ascii="Times New Roman" w:hAnsi="Times New Roman" w:cs="Times New Roman"/>
          <w:sz w:val="24"/>
          <w:szCs w:val="24"/>
          <w:lang w:val="en-US"/>
        </w:rPr>
        <w:t xml:space="preserve">mploying </w:t>
      </w:r>
      <w:r w:rsidR="00CF130D" w:rsidRPr="003D32FA">
        <w:rPr>
          <w:rFonts w:ascii="Times New Roman" w:hAnsi="Times New Roman" w:cs="Times New Roman"/>
          <w:sz w:val="24"/>
          <w:szCs w:val="24"/>
          <w:lang w:val="en-US"/>
        </w:rPr>
        <w:t>subtype-specific</w:t>
      </w:r>
      <w:r w:rsidR="00CB7992" w:rsidRPr="003D32FA">
        <w:rPr>
          <w:rFonts w:ascii="Times New Roman" w:hAnsi="Times New Roman" w:cs="Times New Roman"/>
          <w:sz w:val="24"/>
          <w:szCs w:val="24"/>
          <w:lang w:val="en-US"/>
        </w:rPr>
        <w:t xml:space="preserve"> studies in </w:t>
      </w:r>
      <w:r w:rsidR="00A54348" w:rsidRPr="003D32FA">
        <w:rPr>
          <w:rFonts w:ascii="Times New Roman" w:hAnsi="Times New Roman" w:cs="Times New Roman"/>
          <w:sz w:val="24"/>
          <w:szCs w:val="24"/>
          <w:lang w:val="en-US"/>
        </w:rPr>
        <w:t>more local</w:t>
      </w:r>
      <w:r w:rsidR="00CD2155" w:rsidRPr="003D32FA">
        <w:rPr>
          <w:rFonts w:ascii="Times New Roman" w:hAnsi="Times New Roman" w:cs="Times New Roman"/>
          <w:sz w:val="24"/>
          <w:szCs w:val="24"/>
          <w:lang w:val="en-US"/>
        </w:rPr>
        <w:t xml:space="preserve"> settings in the Philippines is necessary</w:t>
      </w:r>
      <w:r w:rsidR="002D07A1" w:rsidRPr="003D32FA">
        <w:rPr>
          <w:rFonts w:ascii="Times New Roman" w:hAnsi="Times New Roman" w:cs="Times New Roman"/>
          <w:sz w:val="24"/>
          <w:szCs w:val="24"/>
          <w:lang w:val="en-US"/>
        </w:rPr>
        <w:t>,</w:t>
      </w:r>
      <w:r w:rsidR="00CD2155" w:rsidRPr="003D32FA">
        <w:rPr>
          <w:rFonts w:ascii="Times New Roman" w:hAnsi="Times New Roman" w:cs="Times New Roman"/>
          <w:sz w:val="24"/>
          <w:szCs w:val="24"/>
          <w:lang w:val="en-US"/>
        </w:rPr>
        <w:t xml:space="preserve"> </w:t>
      </w:r>
      <w:r w:rsidR="00E95904" w:rsidRPr="003D32FA">
        <w:rPr>
          <w:rFonts w:ascii="Times New Roman" w:hAnsi="Times New Roman" w:cs="Times New Roman"/>
          <w:sz w:val="24"/>
          <w:szCs w:val="24"/>
          <w:lang w:val="en-US"/>
        </w:rPr>
        <w:t xml:space="preserve">as subtype </w:t>
      </w:r>
      <w:r w:rsidR="004127B9" w:rsidRPr="003D32FA">
        <w:rPr>
          <w:rFonts w:ascii="Times New Roman" w:hAnsi="Times New Roman" w:cs="Times New Roman"/>
          <w:sz w:val="24"/>
          <w:szCs w:val="24"/>
          <w:lang w:val="en-US"/>
        </w:rPr>
        <w:t xml:space="preserve">distribution may vary geographically, affecting </w:t>
      </w:r>
      <w:r w:rsidR="002D07A1" w:rsidRPr="003D32FA">
        <w:rPr>
          <w:rFonts w:ascii="Times New Roman" w:hAnsi="Times New Roman" w:cs="Times New Roman"/>
          <w:sz w:val="24"/>
          <w:szCs w:val="24"/>
          <w:lang w:val="en-US"/>
        </w:rPr>
        <w:t>detection accuracy and pathogenicity</w:t>
      </w:r>
      <w:r w:rsidR="00AF0AF4" w:rsidRPr="003D32FA">
        <w:rPr>
          <w:rFonts w:ascii="Times New Roman" w:hAnsi="Times New Roman" w:cs="Times New Roman"/>
          <w:sz w:val="24"/>
          <w:szCs w:val="24"/>
          <w:lang w:val="en-US"/>
        </w:rPr>
        <w:t xml:space="preserve"> </w:t>
      </w:r>
      <w:r w:rsidR="00AF0AF4" w:rsidRPr="003D32FA">
        <w:rPr>
          <w:rFonts w:ascii="Times New Roman" w:hAnsi="Times New Roman" w:cs="Times New Roman"/>
          <w:sz w:val="24"/>
          <w:szCs w:val="24"/>
        </w:rPr>
        <w:t>(Adao et al., 2016)</w:t>
      </w:r>
      <w:r w:rsidR="002D07A1" w:rsidRPr="003D32FA">
        <w:rPr>
          <w:rFonts w:ascii="Times New Roman" w:hAnsi="Times New Roman" w:cs="Times New Roman"/>
          <w:sz w:val="24"/>
          <w:szCs w:val="24"/>
          <w:lang w:val="en-US"/>
        </w:rPr>
        <w:t xml:space="preserve">. </w:t>
      </w:r>
      <w:r w:rsidR="00CB7992" w:rsidRPr="003D32FA">
        <w:rPr>
          <w:rFonts w:ascii="Times New Roman" w:hAnsi="Times New Roman" w:cs="Times New Roman"/>
          <w:sz w:val="24"/>
          <w:szCs w:val="24"/>
          <w:lang w:val="en-US"/>
        </w:rPr>
        <w:t xml:space="preserve"> </w:t>
      </w:r>
    </w:p>
    <w:p w14:paraId="68BA36B3" w14:textId="0CAC5710" w:rsidR="00C74B07" w:rsidRPr="003D32FA" w:rsidRDefault="00D86625" w:rsidP="003D32FA">
      <w:pPr>
        <w:spacing w:line="480" w:lineRule="auto"/>
        <w:ind w:firstLine="720"/>
        <w:jc w:val="both"/>
        <w:rPr>
          <w:rFonts w:ascii="Times New Roman" w:hAnsi="Times New Roman" w:cs="Times New Roman"/>
          <w:sz w:val="24"/>
          <w:szCs w:val="24"/>
          <w:lang w:val="en-US"/>
        </w:rPr>
      </w:pPr>
      <w:r w:rsidRPr="003D32FA">
        <w:rPr>
          <w:rFonts w:ascii="Times New Roman" w:hAnsi="Times New Roman" w:cs="Times New Roman"/>
          <w:sz w:val="24"/>
          <w:szCs w:val="24"/>
          <w:lang w:val="en-US"/>
        </w:rPr>
        <w:t xml:space="preserve">A summary of the various methods used for detecting </w:t>
      </w:r>
      <w:r w:rsidRPr="003D32FA">
        <w:rPr>
          <w:rFonts w:ascii="Times New Roman" w:hAnsi="Times New Roman" w:cs="Times New Roman"/>
          <w:i/>
          <w:iCs/>
          <w:sz w:val="24"/>
          <w:szCs w:val="24"/>
          <w:lang w:val="en-US"/>
        </w:rPr>
        <w:t>B. hominis</w:t>
      </w:r>
      <w:r w:rsidRPr="003D32FA">
        <w:rPr>
          <w:rFonts w:ascii="Times New Roman" w:hAnsi="Times New Roman" w:cs="Times New Roman"/>
          <w:sz w:val="24"/>
          <w:szCs w:val="24"/>
          <w:lang w:val="en-US"/>
        </w:rPr>
        <w:t xml:space="preserve"> is presented in Table 2,</w:t>
      </w:r>
      <w:r w:rsidR="00542A80" w:rsidRPr="003D32FA">
        <w:rPr>
          <w:rFonts w:ascii="Times New Roman" w:hAnsi="Times New Roman" w:cs="Times New Roman"/>
          <w:sz w:val="24"/>
          <w:szCs w:val="24"/>
          <w:lang w:val="en-US"/>
        </w:rPr>
        <w:t xml:space="preserve"> emphasizing the need to assess</w:t>
      </w:r>
      <w:r w:rsidR="003D6453" w:rsidRPr="003D32FA">
        <w:rPr>
          <w:rFonts w:ascii="Times New Roman" w:hAnsi="Times New Roman" w:cs="Times New Roman"/>
          <w:sz w:val="24"/>
          <w:szCs w:val="24"/>
          <w:lang w:val="en-US"/>
        </w:rPr>
        <w:t xml:space="preserve"> the strengths, limitations, and suitability of </w:t>
      </w:r>
      <w:r w:rsidR="00CF35BE" w:rsidRPr="003D32FA">
        <w:rPr>
          <w:rFonts w:ascii="Times New Roman" w:hAnsi="Times New Roman" w:cs="Times New Roman"/>
          <w:sz w:val="24"/>
          <w:szCs w:val="24"/>
          <w:lang w:val="en-US"/>
        </w:rPr>
        <w:t xml:space="preserve">each method depending on the available resources of a certain area. </w:t>
      </w:r>
      <w:r w:rsidR="008604E3" w:rsidRPr="003D32FA">
        <w:rPr>
          <w:rFonts w:ascii="Times New Roman" w:hAnsi="Times New Roman" w:cs="Times New Roman"/>
          <w:sz w:val="24"/>
          <w:szCs w:val="24"/>
          <w:lang w:val="en-US"/>
        </w:rPr>
        <w:t xml:space="preserve">This information will help </w:t>
      </w:r>
      <w:r w:rsidR="0098608B" w:rsidRPr="003D32FA">
        <w:rPr>
          <w:rFonts w:ascii="Times New Roman" w:hAnsi="Times New Roman" w:cs="Times New Roman"/>
          <w:sz w:val="24"/>
          <w:szCs w:val="24"/>
          <w:lang w:val="en-US"/>
        </w:rPr>
        <w:t xml:space="preserve">in choosing the most appropriate diagnostic approach to ensure </w:t>
      </w:r>
      <w:r w:rsidR="00EE2357" w:rsidRPr="003D32FA">
        <w:rPr>
          <w:rFonts w:ascii="Times New Roman" w:hAnsi="Times New Roman" w:cs="Times New Roman"/>
          <w:sz w:val="24"/>
          <w:szCs w:val="24"/>
          <w:lang w:val="en-US"/>
        </w:rPr>
        <w:t xml:space="preserve">accuracy </w:t>
      </w:r>
      <w:r w:rsidR="00C74B07" w:rsidRPr="003D32FA">
        <w:rPr>
          <w:rFonts w:ascii="Times New Roman" w:hAnsi="Times New Roman" w:cs="Times New Roman"/>
          <w:sz w:val="24"/>
          <w:szCs w:val="24"/>
          <w:lang w:val="en-US"/>
        </w:rPr>
        <w:t xml:space="preserve">in detecting </w:t>
      </w:r>
      <w:r w:rsidR="00C74B07" w:rsidRPr="00BE3D45">
        <w:rPr>
          <w:rFonts w:ascii="Times New Roman" w:hAnsi="Times New Roman" w:cs="Times New Roman"/>
          <w:i/>
          <w:iCs/>
          <w:sz w:val="24"/>
          <w:szCs w:val="24"/>
          <w:lang w:val="en-US"/>
        </w:rPr>
        <w:t>B. hominis</w:t>
      </w:r>
      <w:r w:rsidR="00C74B07" w:rsidRPr="003D32FA">
        <w:rPr>
          <w:rFonts w:ascii="Times New Roman" w:hAnsi="Times New Roman" w:cs="Times New Roman"/>
          <w:sz w:val="24"/>
          <w:szCs w:val="24"/>
          <w:lang w:val="en-US"/>
        </w:rPr>
        <w:t xml:space="preserve">. </w:t>
      </w:r>
    </w:p>
    <w:p w14:paraId="68443D55" w14:textId="5EEE58AA" w:rsidR="00D0089F" w:rsidRPr="00BE3D45" w:rsidRDefault="00D0089F" w:rsidP="00D0089F">
      <w:pPr>
        <w:spacing w:line="480" w:lineRule="auto"/>
        <w:rPr>
          <w:rFonts w:ascii="Times New Roman" w:hAnsi="Times New Roman" w:cs="Times New Roman"/>
          <w:sz w:val="24"/>
          <w:szCs w:val="24"/>
        </w:rPr>
      </w:pPr>
      <w:r w:rsidRPr="00BE3D45">
        <w:rPr>
          <w:rFonts w:ascii="Times New Roman" w:hAnsi="Times New Roman" w:cs="Times New Roman"/>
          <w:b/>
          <w:bCs/>
          <w:sz w:val="24"/>
          <w:szCs w:val="24"/>
        </w:rPr>
        <w:lastRenderedPageBreak/>
        <w:t>Table 2.</w:t>
      </w:r>
      <w:r w:rsidRPr="00BE3D45">
        <w:rPr>
          <w:rFonts w:ascii="Times New Roman" w:hAnsi="Times New Roman" w:cs="Times New Roman"/>
          <w:sz w:val="24"/>
          <w:szCs w:val="24"/>
        </w:rPr>
        <w:t xml:space="preserve"> </w:t>
      </w:r>
      <w:r w:rsidR="00BE3D45" w:rsidRPr="00BE3D45">
        <w:rPr>
          <w:rFonts w:ascii="Times New Roman" w:hAnsi="Times New Roman" w:cs="Times New Roman"/>
          <w:sz w:val="24"/>
          <w:szCs w:val="24"/>
        </w:rPr>
        <w:t xml:space="preserve">Comparative analysis of current diagnostic methods for detecting </w:t>
      </w:r>
      <w:r w:rsidR="00BE3D45" w:rsidRPr="00BE3D45">
        <w:rPr>
          <w:rFonts w:ascii="Times New Roman" w:hAnsi="Times New Roman" w:cs="Times New Roman"/>
          <w:i/>
          <w:iCs/>
          <w:sz w:val="24"/>
          <w:szCs w:val="24"/>
          <w:lang w:val="en-US"/>
        </w:rPr>
        <w:t>Blastocystis</w:t>
      </w:r>
      <w:r w:rsidR="00BE3D45" w:rsidRPr="00BE3D45">
        <w:rPr>
          <w:rFonts w:ascii="Times New Roman" w:hAnsi="Times New Roman" w:cs="Times New Roman"/>
          <w:i/>
          <w:iCs/>
          <w:sz w:val="24"/>
          <w:szCs w:val="24"/>
        </w:rPr>
        <w:t xml:space="preserve"> hominis</w:t>
      </w:r>
      <w:r w:rsidR="00BE3D45" w:rsidRPr="00BE3D45">
        <w:rPr>
          <w:rFonts w:ascii="Times New Roman" w:hAnsi="Times New Roman" w:cs="Times New Roman"/>
          <w:sz w:val="24"/>
          <w:szCs w:val="24"/>
        </w:rPr>
        <w:t xml:space="preserve"> and their respective limitations.</w:t>
      </w:r>
    </w:p>
    <w:tbl>
      <w:tblPr>
        <w:tblStyle w:val="TableGrid"/>
        <w:tblW w:w="10490" w:type="dxa"/>
        <w:tblInd w:w="-572" w:type="dxa"/>
        <w:tblLook w:val="04A0" w:firstRow="1" w:lastRow="0" w:firstColumn="1" w:lastColumn="0" w:noHBand="0" w:noVBand="1"/>
      </w:tblPr>
      <w:tblGrid>
        <w:gridCol w:w="2850"/>
        <w:gridCol w:w="2679"/>
        <w:gridCol w:w="2976"/>
        <w:gridCol w:w="1985"/>
      </w:tblGrid>
      <w:tr w:rsidR="00765D03" w:rsidRPr="00D0089F" w14:paraId="4AF921F7" w14:textId="77777777" w:rsidTr="00765D03">
        <w:tc>
          <w:tcPr>
            <w:tcW w:w="2850" w:type="dxa"/>
            <w:hideMark/>
          </w:tcPr>
          <w:p w14:paraId="34473CFE" w14:textId="77777777" w:rsidR="00D94ED0" w:rsidRPr="00D0089F" w:rsidRDefault="00D94ED0" w:rsidP="00D0089F">
            <w:pPr>
              <w:spacing w:after="160"/>
              <w:jc w:val="both"/>
              <w:rPr>
                <w:rFonts w:ascii="Times New Roman" w:hAnsi="Times New Roman" w:cs="Times New Roman"/>
                <w:b/>
                <w:bCs/>
                <w:lang w:val="en-US"/>
              </w:rPr>
            </w:pPr>
            <w:r w:rsidRPr="00D0089F">
              <w:rPr>
                <w:rFonts w:ascii="Times New Roman" w:hAnsi="Times New Roman" w:cs="Times New Roman"/>
                <w:b/>
                <w:bCs/>
                <w:lang w:val="en-US"/>
              </w:rPr>
              <w:t>Diagnostic Methods</w:t>
            </w:r>
          </w:p>
        </w:tc>
        <w:tc>
          <w:tcPr>
            <w:tcW w:w="2679" w:type="dxa"/>
            <w:hideMark/>
          </w:tcPr>
          <w:p w14:paraId="2BFBB60A" w14:textId="73116380" w:rsidR="00D94ED0" w:rsidRPr="00D0089F" w:rsidRDefault="00D94ED0" w:rsidP="00D0089F">
            <w:pPr>
              <w:spacing w:after="160"/>
              <w:jc w:val="both"/>
              <w:rPr>
                <w:rFonts w:ascii="Times New Roman" w:hAnsi="Times New Roman" w:cs="Times New Roman"/>
                <w:b/>
                <w:bCs/>
                <w:lang w:val="en-US"/>
              </w:rPr>
            </w:pPr>
            <w:r w:rsidRPr="00D0089F">
              <w:rPr>
                <w:rFonts w:ascii="Times New Roman" w:hAnsi="Times New Roman" w:cs="Times New Roman"/>
                <w:b/>
                <w:bCs/>
                <w:lang w:val="en-US"/>
              </w:rPr>
              <w:t>Purpose</w:t>
            </w:r>
          </w:p>
        </w:tc>
        <w:tc>
          <w:tcPr>
            <w:tcW w:w="2976" w:type="dxa"/>
            <w:hideMark/>
          </w:tcPr>
          <w:p w14:paraId="72836855" w14:textId="1B1EE8F2" w:rsidR="00D94ED0" w:rsidRPr="00D0089F" w:rsidRDefault="00D94ED0" w:rsidP="00D0089F">
            <w:pPr>
              <w:spacing w:after="160"/>
              <w:jc w:val="both"/>
              <w:rPr>
                <w:rFonts w:ascii="Times New Roman" w:hAnsi="Times New Roman" w:cs="Times New Roman"/>
                <w:b/>
                <w:bCs/>
                <w:lang w:val="en-US"/>
              </w:rPr>
            </w:pPr>
            <w:r w:rsidRPr="00D0089F">
              <w:rPr>
                <w:rFonts w:ascii="Times New Roman" w:hAnsi="Times New Roman" w:cs="Times New Roman"/>
                <w:b/>
                <w:bCs/>
                <w:lang w:val="en-US"/>
              </w:rPr>
              <w:t>Limitations</w:t>
            </w:r>
          </w:p>
        </w:tc>
        <w:tc>
          <w:tcPr>
            <w:tcW w:w="1985" w:type="dxa"/>
            <w:hideMark/>
          </w:tcPr>
          <w:p w14:paraId="364688C1" w14:textId="77777777" w:rsidR="00D94ED0" w:rsidRPr="00D0089F" w:rsidRDefault="00D94ED0" w:rsidP="00D0089F">
            <w:pPr>
              <w:spacing w:after="160"/>
              <w:jc w:val="both"/>
              <w:rPr>
                <w:rFonts w:ascii="Times New Roman" w:hAnsi="Times New Roman" w:cs="Times New Roman"/>
                <w:b/>
                <w:bCs/>
                <w:lang w:val="en-US"/>
              </w:rPr>
            </w:pPr>
            <w:r w:rsidRPr="00D0089F">
              <w:rPr>
                <w:rFonts w:ascii="Times New Roman" w:hAnsi="Times New Roman" w:cs="Times New Roman"/>
                <w:b/>
                <w:bCs/>
                <w:lang w:val="en-US"/>
              </w:rPr>
              <w:t>Reference</w:t>
            </w:r>
          </w:p>
        </w:tc>
      </w:tr>
      <w:tr w:rsidR="00765D03" w:rsidRPr="00D0089F" w14:paraId="09C32ABB" w14:textId="77777777" w:rsidTr="00765D03">
        <w:tc>
          <w:tcPr>
            <w:tcW w:w="2850" w:type="dxa"/>
            <w:hideMark/>
          </w:tcPr>
          <w:p w14:paraId="4B7096F2" w14:textId="40D9497A" w:rsidR="00D94ED0" w:rsidRPr="00D0089F" w:rsidRDefault="00D94ED0" w:rsidP="00F56512">
            <w:pPr>
              <w:spacing w:after="160"/>
              <w:rPr>
                <w:rFonts w:ascii="Times New Roman" w:hAnsi="Times New Roman" w:cs="Times New Roman"/>
                <w:lang w:val="en-US"/>
              </w:rPr>
            </w:pPr>
            <w:r w:rsidRPr="00D0089F">
              <w:rPr>
                <w:rFonts w:ascii="Times New Roman" w:hAnsi="Times New Roman" w:cs="Times New Roman"/>
                <w:lang w:val="en-US"/>
              </w:rPr>
              <w:t>Conventional Microscopy</w:t>
            </w:r>
            <w:r w:rsidR="00F56512">
              <w:rPr>
                <w:rFonts w:ascii="Times New Roman" w:hAnsi="Times New Roman" w:cs="Times New Roman"/>
                <w:lang w:val="en-US"/>
              </w:rPr>
              <w:t xml:space="preserve"> </w:t>
            </w:r>
            <w:r w:rsidRPr="00D0089F">
              <w:rPr>
                <w:rFonts w:ascii="Times New Roman" w:hAnsi="Times New Roman" w:cs="Times New Roman"/>
                <w:lang w:val="en-US"/>
              </w:rPr>
              <w:t>(Direct Wet Mount)</w:t>
            </w:r>
          </w:p>
        </w:tc>
        <w:tc>
          <w:tcPr>
            <w:tcW w:w="2679" w:type="dxa"/>
            <w:hideMark/>
          </w:tcPr>
          <w:p w14:paraId="395BA0ED" w14:textId="5D88384F"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Use</w:t>
            </w:r>
            <w:r w:rsidR="006019AA" w:rsidRPr="00D0089F">
              <w:rPr>
                <w:rFonts w:ascii="Times New Roman" w:hAnsi="Times New Roman" w:cs="Times New Roman"/>
                <w:lang w:val="en-US"/>
              </w:rPr>
              <w:t>d</w:t>
            </w:r>
            <w:r w:rsidRPr="00D0089F">
              <w:rPr>
                <w:rFonts w:ascii="Times New Roman" w:hAnsi="Times New Roman" w:cs="Times New Roman"/>
                <w:lang w:val="en-US"/>
              </w:rPr>
              <w:t xml:space="preserve"> for routine diagnosis of </w:t>
            </w:r>
            <w:r w:rsidRPr="00BE3D45">
              <w:rPr>
                <w:rFonts w:ascii="Times New Roman" w:hAnsi="Times New Roman" w:cs="Times New Roman"/>
                <w:i/>
                <w:iCs/>
                <w:lang w:val="en-US"/>
              </w:rPr>
              <w:t>B</w:t>
            </w:r>
            <w:r w:rsidR="00BE3D45">
              <w:rPr>
                <w:rFonts w:ascii="Times New Roman" w:hAnsi="Times New Roman" w:cs="Times New Roman"/>
                <w:i/>
                <w:iCs/>
                <w:lang w:val="en-US"/>
              </w:rPr>
              <w:t>.</w:t>
            </w:r>
            <w:r w:rsidRPr="00BE3D45">
              <w:rPr>
                <w:rFonts w:ascii="Times New Roman" w:hAnsi="Times New Roman" w:cs="Times New Roman"/>
                <w:i/>
                <w:iCs/>
                <w:lang w:val="en-US"/>
              </w:rPr>
              <w:t xml:space="preserve"> hominis</w:t>
            </w:r>
            <w:r w:rsidR="006019AA" w:rsidRPr="00BE3D45">
              <w:rPr>
                <w:rFonts w:ascii="Times New Roman" w:hAnsi="Times New Roman" w:cs="Times New Roman"/>
                <w:i/>
                <w:iCs/>
                <w:lang w:val="en-US"/>
              </w:rPr>
              <w:t>.</w:t>
            </w:r>
          </w:p>
        </w:tc>
        <w:tc>
          <w:tcPr>
            <w:tcW w:w="2976" w:type="dxa"/>
            <w:hideMark/>
          </w:tcPr>
          <w:p w14:paraId="0B3963DD" w14:textId="6C8D0106"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 xml:space="preserve">High expertise, unable to differentiate </w:t>
            </w:r>
            <w:r w:rsidRPr="00D0089F">
              <w:rPr>
                <w:rFonts w:ascii="Times New Roman" w:hAnsi="Times New Roman" w:cs="Times New Roman"/>
                <w:i/>
                <w:iCs/>
                <w:lang w:val="en-US"/>
              </w:rPr>
              <w:t>Blastocystis</w:t>
            </w:r>
            <w:r w:rsidRPr="00D0089F">
              <w:rPr>
                <w:rFonts w:ascii="Times New Roman" w:hAnsi="Times New Roman" w:cs="Times New Roman"/>
                <w:lang w:val="en-US"/>
              </w:rPr>
              <w:t xml:space="preserve"> subtypes, low sensitivity</w:t>
            </w:r>
            <w:r w:rsidR="009B1500" w:rsidRPr="00D0089F">
              <w:rPr>
                <w:rFonts w:ascii="Times New Roman" w:hAnsi="Times New Roman" w:cs="Times New Roman"/>
                <w:lang w:val="en-US"/>
              </w:rPr>
              <w:t xml:space="preserve"> </w:t>
            </w:r>
            <w:r w:rsidRPr="00D0089F">
              <w:rPr>
                <w:rFonts w:ascii="Times New Roman" w:hAnsi="Times New Roman" w:cs="Times New Roman"/>
                <w:lang w:val="en-US"/>
              </w:rPr>
              <w:t>(38%), issues in underdiagnosis and misdiagnosis</w:t>
            </w:r>
            <w:r w:rsidR="00AE35DA">
              <w:rPr>
                <w:rFonts w:ascii="Times New Roman" w:hAnsi="Times New Roman" w:cs="Times New Roman"/>
                <w:lang w:val="en-US"/>
              </w:rPr>
              <w:t>.</w:t>
            </w:r>
          </w:p>
        </w:tc>
        <w:tc>
          <w:tcPr>
            <w:tcW w:w="1985" w:type="dxa"/>
            <w:hideMark/>
          </w:tcPr>
          <w:p w14:paraId="33B8DEDE" w14:textId="096AC509"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Khademva</w:t>
            </w:r>
            <w:r w:rsidR="00065785">
              <w:rPr>
                <w:rFonts w:ascii="Times New Roman" w:hAnsi="Times New Roman" w:cs="Times New Roman"/>
                <w:lang w:val="en-US"/>
              </w:rPr>
              <w:t>ta</w:t>
            </w:r>
            <w:r w:rsidRPr="00D0089F">
              <w:rPr>
                <w:rFonts w:ascii="Times New Roman" w:hAnsi="Times New Roman" w:cs="Times New Roman"/>
                <w:lang w:val="en-US"/>
              </w:rPr>
              <w:t>n et al., 2018</w:t>
            </w:r>
          </w:p>
          <w:p w14:paraId="564AAC5C" w14:textId="3A6F7F63"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Barua et al., 2015</w:t>
            </w:r>
          </w:p>
        </w:tc>
      </w:tr>
      <w:tr w:rsidR="00765D03" w:rsidRPr="00D0089F" w14:paraId="399D16B8" w14:textId="77777777" w:rsidTr="00765D03">
        <w:tc>
          <w:tcPr>
            <w:tcW w:w="2850" w:type="dxa"/>
            <w:hideMark/>
          </w:tcPr>
          <w:p w14:paraId="1F4AEB3A" w14:textId="0081F2DE" w:rsidR="00D94ED0" w:rsidRPr="00BE3D45" w:rsidRDefault="00BE3D45" w:rsidP="00BE3D45">
            <w:pPr>
              <w:spacing w:after="160"/>
              <w:rPr>
                <w:rFonts w:ascii="Times New Roman" w:hAnsi="Times New Roman" w:cs="Times New Roman"/>
                <w:lang w:val="en-US"/>
              </w:rPr>
            </w:pPr>
            <w:r w:rsidRPr="00BE3D45">
              <w:rPr>
                <w:rFonts w:ascii="Times New Roman" w:hAnsi="Times New Roman" w:cs="Times New Roman"/>
              </w:rPr>
              <w:t>Formalin-Ether Concentration Technique.</w:t>
            </w:r>
            <w:r w:rsidRPr="00BE3D45">
              <w:rPr>
                <w:rFonts w:ascii="Times New Roman" w:hAnsi="Times New Roman" w:cs="Times New Roman"/>
                <w:lang w:val="en-US"/>
              </w:rPr>
              <w:t xml:space="preserve"> </w:t>
            </w:r>
            <w:r>
              <w:rPr>
                <w:rFonts w:ascii="Times New Roman" w:hAnsi="Times New Roman" w:cs="Times New Roman"/>
                <w:lang w:val="en-US"/>
              </w:rPr>
              <w:t>(</w:t>
            </w:r>
            <w:r w:rsidR="00D94ED0" w:rsidRPr="00BE3D45">
              <w:rPr>
                <w:rFonts w:ascii="Times New Roman" w:hAnsi="Times New Roman" w:cs="Times New Roman"/>
                <w:lang w:val="en-US"/>
              </w:rPr>
              <w:t>FECT</w:t>
            </w:r>
            <w:r>
              <w:rPr>
                <w:rFonts w:ascii="Times New Roman" w:hAnsi="Times New Roman" w:cs="Times New Roman"/>
                <w:lang w:val="en-US"/>
              </w:rPr>
              <w:t>)</w:t>
            </w:r>
          </w:p>
        </w:tc>
        <w:tc>
          <w:tcPr>
            <w:tcW w:w="2679" w:type="dxa"/>
            <w:hideMark/>
          </w:tcPr>
          <w:p w14:paraId="182ED8C1" w14:textId="29F12B27" w:rsidR="00D94ED0" w:rsidRPr="00D0089F" w:rsidRDefault="00FD0FAA" w:rsidP="00D0089F">
            <w:pPr>
              <w:spacing w:after="160"/>
              <w:rPr>
                <w:rFonts w:ascii="Times New Roman" w:hAnsi="Times New Roman" w:cs="Times New Roman"/>
                <w:lang w:val="en-US"/>
              </w:rPr>
            </w:pPr>
            <w:r w:rsidRPr="00FD0FAA">
              <w:rPr>
                <w:rFonts w:ascii="Times New Roman" w:hAnsi="Times New Roman" w:cs="Times New Roman"/>
                <w:color w:val="EE0000"/>
              </w:rPr>
              <w:t>Moderately increased sensitivity compared to traditional microscopy</w:t>
            </w:r>
            <w:r w:rsidR="00AE35DA">
              <w:rPr>
                <w:rFonts w:ascii="Times New Roman" w:hAnsi="Times New Roman" w:cs="Times New Roman"/>
                <w:color w:val="EE0000"/>
              </w:rPr>
              <w:t>.</w:t>
            </w:r>
          </w:p>
        </w:tc>
        <w:tc>
          <w:tcPr>
            <w:tcW w:w="2976" w:type="dxa"/>
            <w:hideMark/>
          </w:tcPr>
          <w:p w14:paraId="583E1EEE" w14:textId="24113729" w:rsidR="00FD0FAA"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Produce</w:t>
            </w:r>
            <w:r w:rsidR="006019AA" w:rsidRPr="00D0089F">
              <w:rPr>
                <w:rFonts w:ascii="Times New Roman" w:hAnsi="Times New Roman" w:cs="Times New Roman"/>
                <w:lang w:val="en-US"/>
              </w:rPr>
              <w:t>s</w:t>
            </w:r>
            <w:r w:rsidRPr="00D0089F">
              <w:rPr>
                <w:rFonts w:ascii="Times New Roman" w:hAnsi="Times New Roman" w:cs="Times New Roman"/>
                <w:lang w:val="en-US"/>
              </w:rPr>
              <w:t xml:space="preserve"> false </w:t>
            </w:r>
            <w:r w:rsidR="00CD234E" w:rsidRPr="00D0089F">
              <w:rPr>
                <w:rFonts w:ascii="Times New Roman" w:hAnsi="Times New Roman" w:cs="Times New Roman"/>
                <w:lang w:val="en-US"/>
              </w:rPr>
              <w:t>negatives</w:t>
            </w:r>
            <w:r w:rsidRPr="00D0089F">
              <w:rPr>
                <w:rFonts w:ascii="Times New Roman" w:hAnsi="Times New Roman" w:cs="Times New Roman"/>
                <w:lang w:val="en-US"/>
              </w:rPr>
              <w:t xml:space="preserve"> due to </w:t>
            </w:r>
            <w:r w:rsidR="006019AA" w:rsidRPr="00D0089F">
              <w:rPr>
                <w:rFonts w:ascii="Times New Roman" w:hAnsi="Times New Roman" w:cs="Times New Roman"/>
                <w:lang w:val="en-US"/>
              </w:rPr>
              <w:t>p</w:t>
            </w:r>
            <w:r w:rsidRPr="00D0089F">
              <w:rPr>
                <w:rFonts w:ascii="Times New Roman" w:hAnsi="Times New Roman" w:cs="Times New Roman"/>
                <w:lang w:val="en-US"/>
              </w:rPr>
              <w:t>arasite disturbance</w:t>
            </w:r>
            <w:r w:rsidR="00AE35DA">
              <w:rPr>
                <w:rFonts w:ascii="Times New Roman" w:hAnsi="Times New Roman" w:cs="Times New Roman"/>
                <w:lang w:val="en-US"/>
              </w:rPr>
              <w:t>.</w:t>
            </w:r>
          </w:p>
        </w:tc>
        <w:tc>
          <w:tcPr>
            <w:tcW w:w="1985" w:type="dxa"/>
            <w:hideMark/>
          </w:tcPr>
          <w:p w14:paraId="623580DA" w14:textId="5075A208"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Elg</w:t>
            </w:r>
            <w:r w:rsidR="00065785">
              <w:rPr>
                <w:rFonts w:ascii="Times New Roman" w:hAnsi="Times New Roman" w:cs="Times New Roman"/>
                <w:lang w:val="en-US"/>
              </w:rPr>
              <w:t>ha</w:t>
            </w:r>
            <w:r w:rsidRPr="00D0089F">
              <w:rPr>
                <w:rFonts w:ascii="Times New Roman" w:hAnsi="Times New Roman" w:cs="Times New Roman"/>
                <w:lang w:val="en-US"/>
              </w:rPr>
              <w:t xml:space="preserve">reeb et </w:t>
            </w:r>
            <w:r w:rsidRPr="002E11C0">
              <w:rPr>
                <w:rFonts w:ascii="Times New Roman" w:hAnsi="Times New Roman" w:cs="Times New Roman"/>
                <w:color w:val="EE0000"/>
                <w:lang w:val="en-US"/>
              </w:rPr>
              <w:t>al</w:t>
            </w:r>
            <w:r w:rsidR="002E11C0" w:rsidRPr="002E11C0">
              <w:rPr>
                <w:rFonts w:ascii="Times New Roman" w:hAnsi="Times New Roman" w:cs="Times New Roman"/>
                <w:color w:val="EE0000"/>
                <w:lang w:val="en-US"/>
              </w:rPr>
              <w:t>.,</w:t>
            </w:r>
            <w:r w:rsidRPr="002E11C0">
              <w:rPr>
                <w:rFonts w:ascii="Times New Roman" w:hAnsi="Times New Roman" w:cs="Times New Roman"/>
                <w:color w:val="EE0000"/>
                <w:lang w:val="en-US"/>
              </w:rPr>
              <w:t xml:space="preserve"> </w:t>
            </w:r>
            <w:r w:rsidRPr="00D0089F">
              <w:rPr>
                <w:rFonts w:ascii="Times New Roman" w:hAnsi="Times New Roman" w:cs="Times New Roman"/>
                <w:lang w:val="en-US"/>
              </w:rPr>
              <w:t>2015</w:t>
            </w:r>
          </w:p>
        </w:tc>
      </w:tr>
      <w:tr w:rsidR="00765D03" w:rsidRPr="00D0089F" w14:paraId="210DFABA" w14:textId="77777777" w:rsidTr="00765D03">
        <w:tc>
          <w:tcPr>
            <w:tcW w:w="2850" w:type="dxa"/>
            <w:hideMark/>
          </w:tcPr>
          <w:p w14:paraId="5A7D5D6B" w14:textId="77777777" w:rsidR="00D94ED0" w:rsidRPr="00D0089F" w:rsidRDefault="00D94ED0" w:rsidP="00D0089F">
            <w:pPr>
              <w:spacing w:after="160"/>
              <w:jc w:val="both"/>
              <w:rPr>
                <w:rFonts w:ascii="Times New Roman" w:hAnsi="Times New Roman" w:cs="Times New Roman"/>
                <w:lang w:val="en-US"/>
              </w:rPr>
            </w:pPr>
            <w:r w:rsidRPr="00D0089F">
              <w:rPr>
                <w:rFonts w:ascii="Times New Roman" w:hAnsi="Times New Roman" w:cs="Times New Roman"/>
                <w:lang w:val="en-US"/>
              </w:rPr>
              <w:t xml:space="preserve">Trichome staining </w:t>
            </w:r>
          </w:p>
        </w:tc>
        <w:tc>
          <w:tcPr>
            <w:tcW w:w="2679" w:type="dxa"/>
            <w:hideMark/>
          </w:tcPr>
          <w:p w14:paraId="1675C424" w14:textId="5759C541"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 xml:space="preserve">Considered as the most sensitive staining technique for </w:t>
            </w:r>
            <w:r w:rsidRPr="00D0089F">
              <w:rPr>
                <w:rFonts w:ascii="Times New Roman" w:hAnsi="Times New Roman" w:cs="Times New Roman"/>
                <w:i/>
                <w:iCs/>
                <w:lang w:val="en-US"/>
              </w:rPr>
              <w:t>Blastocystis</w:t>
            </w:r>
            <w:r w:rsidR="00AE35DA">
              <w:rPr>
                <w:rFonts w:ascii="Times New Roman" w:hAnsi="Times New Roman" w:cs="Times New Roman"/>
                <w:i/>
                <w:iCs/>
                <w:lang w:val="en-US"/>
              </w:rPr>
              <w:t>.</w:t>
            </w:r>
          </w:p>
        </w:tc>
        <w:tc>
          <w:tcPr>
            <w:tcW w:w="2976" w:type="dxa"/>
            <w:hideMark/>
          </w:tcPr>
          <w:p w14:paraId="3EF24CA1" w14:textId="7F4D6648"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Time consuming</w:t>
            </w:r>
            <w:r w:rsidR="006019AA" w:rsidRPr="00D0089F">
              <w:rPr>
                <w:rFonts w:ascii="Times New Roman" w:hAnsi="Times New Roman" w:cs="Times New Roman"/>
                <w:lang w:val="en-US"/>
              </w:rPr>
              <w:t xml:space="preserve"> and</w:t>
            </w:r>
            <w:r w:rsidRPr="00D0089F">
              <w:rPr>
                <w:rFonts w:ascii="Times New Roman" w:hAnsi="Times New Roman" w:cs="Times New Roman"/>
                <w:lang w:val="en-US"/>
              </w:rPr>
              <w:t xml:space="preserve"> </w:t>
            </w:r>
            <w:r w:rsidR="006019AA" w:rsidRPr="00D0089F">
              <w:rPr>
                <w:rFonts w:ascii="Times New Roman" w:hAnsi="Times New Roman" w:cs="Times New Roman"/>
                <w:lang w:val="en-US"/>
              </w:rPr>
              <w:t>h</w:t>
            </w:r>
            <w:r w:rsidRPr="00D0089F">
              <w:rPr>
                <w:rFonts w:ascii="Times New Roman" w:hAnsi="Times New Roman" w:cs="Times New Roman"/>
                <w:lang w:val="en-US"/>
              </w:rPr>
              <w:t>armful threat of fixatives (PVA and Schaudinn)</w:t>
            </w:r>
            <w:r w:rsidR="00AE35DA">
              <w:rPr>
                <w:rFonts w:ascii="Times New Roman" w:hAnsi="Times New Roman" w:cs="Times New Roman"/>
                <w:lang w:val="en-US"/>
              </w:rPr>
              <w:t>.</w:t>
            </w:r>
          </w:p>
        </w:tc>
        <w:tc>
          <w:tcPr>
            <w:tcW w:w="1985" w:type="dxa"/>
            <w:hideMark/>
          </w:tcPr>
          <w:p w14:paraId="70729520" w14:textId="430ABD7D"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Elg</w:t>
            </w:r>
            <w:r w:rsidR="00065785">
              <w:rPr>
                <w:rFonts w:ascii="Times New Roman" w:hAnsi="Times New Roman" w:cs="Times New Roman"/>
                <w:lang w:val="en-US"/>
              </w:rPr>
              <w:t>har</w:t>
            </w:r>
            <w:r w:rsidRPr="00D0089F">
              <w:rPr>
                <w:rFonts w:ascii="Times New Roman" w:hAnsi="Times New Roman" w:cs="Times New Roman"/>
                <w:lang w:val="en-US"/>
              </w:rPr>
              <w:t>eeb et al., 2015</w:t>
            </w:r>
          </w:p>
          <w:p w14:paraId="76CFE841" w14:textId="209E55DA"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Zhang et al.,2012</w:t>
            </w:r>
          </w:p>
        </w:tc>
      </w:tr>
      <w:tr w:rsidR="00765D03" w:rsidRPr="00D0089F" w14:paraId="742CFCB5" w14:textId="77777777" w:rsidTr="00765D03">
        <w:tc>
          <w:tcPr>
            <w:tcW w:w="2850" w:type="dxa"/>
            <w:hideMark/>
          </w:tcPr>
          <w:p w14:paraId="305887D0" w14:textId="414FCA28" w:rsidR="00D94ED0" w:rsidRPr="00FD0FAA" w:rsidRDefault="00FD0FAA" w:rsidP="00FD0FAA">
            <w:pPr>
              <w:spacing w:after="160"/>
              <w:rPr>
                <w:rFonts w:ascii="Times New Roman" w:hAnsi="Times New Roman" w:cs="Times New Roman"/>
                <w:color w:val="EE0000"/>
                <w:lang w:val="en-US"/>
              </w:rPr>
            </w:pPr>
            <w:r w:rsidRPr="00FD0FAA">
              <w:rPr>
                <w:rFonts w:ascii="Times New Roman" w:hAnsi="Times New Roman" w:cs="Times New Roman"/>
                <w:color w:val="EE0000"/>
              </w:rPr>
              <w:t xml:space="preserve">Indirect Fluorescent Antibody </w:t>
            </w:r>
            <w:r w:rsidRPr="00FD0FAA">
              <w:rPr>
                <w:rFonts w:ascii="Times New Roman" w:hAnsi="Times New Roman" w:cs="Times New Roman"/>
                <w:color w:val="EE0000"/>
              </w:rPr>
              <w:t>(</w:t>
            </w:r>
            <w:r w:rsidR="00D94ED0" w:rsidRPr="00FD0FAA">
              <w:rPr>
                <w:rFonts w:ascii="Times New Roman" w:hAnsi="Times New Roman" w:cs="Times New Roman"/>
                <w:color w:val="EE0000"/>
                <w:lang w:val="en-US"/>
              </w:rPr>
              <w:t>IFA</w:t>
            </w:r>
            <w:r w:rsidRPr="00FD0FAA">
              <w:rPr>
                <w:rFonts w:ascii="Times New Roman" w:hAnsi="Times New Roman" w:cs="Times New Roman"/>
                <w:color w:val="EE0000"/>
                <w:lang w:val="en-US"/>
              </w:rPr>
              <w:t>)-based</w:t>
            </w:r>
            <w:r w:rsidR="00D94ED0" w:rsidRPr="00FD0FAA">
              <w:rPr>
                <w:rFonts w:ascii="Times New Roman" w:hAnsi="Times New Roman" w:cs="Times New Roman"/>
                <w:color w:val="EE0000"/>
                <w:lang w:val="en-US"/>
              </w:rPr>
              <w:t xml:space="preserve"> staining</w:t>
            </w:r>
          </w:p>
        </w:tc>
        <w:tc>
          <w:tcPr>
            <w:tcW w:w="2679" w:type="dxa"/>
            <w:hideMark/>
          </w:tcPr>
          <w:p w14:paraId="4F5F1306" w14:textId="2F524C72" w:rsidR="00D94ED0" w:rsidRPr="00D0089F" w:rsidRDefault="00FD0FAA" w:rsidP="00D0089F">
            <w:pPr>
              <w:spacing w:after="160"/>
              <w:rPr>
                <w:rFonts w:ascii="Times New Roman" w:hAnsi="Times New Roman" w:cs="Times New Roman"/>
                <w:lang w:val="en-US"/>
              </w:rPr>
            </w:pPr>
            <w:r w:rsidRPr="00FD0FAA">
              <w:rPr>
                <w:rFonts w:ascii="Times New Roman" w:hAnsi="Times New Roman" w:cs="Times New Roman"/>
                <w:color w:val="EE0000"/>
              </w:rPr>
              <w:t>Demonstrates high sensitivity (73.3%) relative to MZN, Iodine, and SMB staining methods</w:t>
            </w:r>
            <w:r w:rsidR="00AE35DA">
              <w:rPr>
                <w:rFonts w:ascii="Times New Roman" w:hAnsi="Times New Roman" w:cs="Times New Roman"/>
                <w:color w:val="EE0000"/>
              </w:rPr>
              <w:t>.</w:t>
            </w:r>
          </w:p>
        </w:tc>
        <w:tc>
          <w:tcPr>
            <w:tcW w:w="2976" w:type="dxa"/>
            <w:hideMark/>
          </w:tcPr>
          <w:p w14:paraId="0D69AC91" w14:textId="034B6AD0"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Only suitable in large hospitals or public health laboratories due to its high cost</w:t>
            </w:r>
            <w:r w:rsidR="00AE35DA">
              <w:rPr>
                <w:rFonts w:ascii="Times New Roman" w:hAnsi="Times New Roman" w:cs="Times New Roman"/>
                <w:lang w:val="en-US"/>
              </w:rPr>
              <w:t>.</w:t>
            </w:r>
          </w:p>
        </w:tc>
        <w:tc>
          <w:tcPr>
            <w:tcW w:w="1985" w:type="dxa"/>
            <w:hideMark/>
          </w:tcPr>
          <w:p w14:paraId="2A0DF2EB" w14:textId="5A031777"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EL-Marhoumy et al., 2015</w:t>
            </w:r>
          </w:p>
        </w:tc>
      </w:tr>
      <w:tr w:rsidR="00765D03" w:rsidRPr="00D0089F" w14:paraId="050C726D" w14:textId="77777777" w:rsidTr="00765D03">
        <w:tc>
          <w:tcPr>
            <w:tcW w:w="2850" w:type="dxa"/>
            <w:hideMark/>
          </w:tcPr>
          <w:p w14:paraId="7CE795B3" w14:textId="77777777" w:rsidR="00D94ED0" w:rsidRPr="00D0089F" w:rsidRDefault="00D94ED0" w:rsidP="007877AB">
            <w:pPr>
              <w:spacing w:after="160"/>
              <w:rPr>
                <w:rFonts w:ascii="Times New Roman" w:hAnsi="Times New Roman" w:cs="Times New Roman"/>
                <w:lang w:val="en-US"/>
              </w:rPr>
            </w:pPr>
            <w:r w:rsidRPr="00D0089F">
              <w:rPr>
                <w:rFonts w:ascii="Times New Roman" w:hAnsi="Times New Roman" w:cs="Times New Roman"/>
                <w:lang w:val="en-US"/>
              </w:rPr>
              <w:t>In vitro culture method (RPMI 1640, 190, and DMEM)</w:t>
            </w:r>
          </w:p>
        </w:tc>
        <w:tc>
          <w:tcPr>
            <w:tcW w:w="2679" w:type="dxa"/>
            <w:hideMark/>
          </w:tcPr>
          <w:p w14:paraId="5B66EE3C" w14:textId="2FC2859C" w:rsidR="00D94ED0" w:rsidRPr="00D0089F" w:rsidRDefault="00FD0FAA" w:rsidP="00D0089F">
            <w:pPr>
              <w:spacing w:after="160"/>
              <w:rPr>
                <w:rFonts w:ascii="Times New Roman" w:hAnsi="Times New Roman" w:cs="Times New Roman"/>
                <w:lang w:val="en-US"/>
              </w:rPr>
            </w:pPr>
            <w:r w:rsidRPr="00FD0FAA">
              <w:rPr>
                <w:rFonts w:ascii="Times New Roman" w:hAnsi="Times New Roman" w:cs="Times New Roman"/>
              </w:rPr>
              <w:t>Environmentally safe, easy to prepare and store, effective in distinguishing morphological features, and excellent in terms of sensitivity and specificity</w:t>
            </w:r>
            <w:r w:rsidR="00AE35DA">
              <w:rPr>
                <w:rFonts w:ascii="Times New Roman" w:hAnsi="Times New Roman" w:cs="Times New Roman"/>
              </w:rPr>
              <w:t>.</w:t>
            </w:r>
          </w:p>
        </w:tc>
        <w:tc>
          <w:tcPr>
            <w:tcW w:w="2976" w:type="dxa"/>
            <w:hideMark/>
          </w:tcPr>
          <w:p w14:paraId="16CE5787" w14:textId="548C8EE2" w:rsidR="00D94ED0" w:rsidRPr="00D0089F" w:rsidRDefault="00F73F8C" w:rsidP="00D0089F">
            <w:pPr>
              <w:spacing w:after="160"/>
              <w:rPr>
                <w:rFonts w:ascii="Times New Roman" w:hAnsi="Times New Roman" w:cs="Times New Roman"/>
                <w:lang w:val="en-US"/>
              </w:rPr>
            </w:pPr>
            <w:r w:rsidRPr="00D0089F">
              <w:rPr>
                <w:rFonts w:ascii="Times New Roman" w:hAnsi="Times New Roman" w:cs="Times New Roman"/>
                <w:lang w:val="en-US"/>
              </w:rPr>
              <w:t>Time-consuming</w:t>
            </w:r>
            <w:r w:rsidR="00D94ED0" w:rsidRPr="00D0089F">
              <w:rPr>
                <w:rFonts w:ascii="Times New Roman" w:hAnsi="Times New Roman" w:cs="Times New Roman"/>
                <w:lang w:val="en-US"/>
              </w:rPr>
              <w:t xml:space="preserve"> </w:t>
            </w:r>
            <w:r w:rsidR="006B0E10" w:rsidRPr="00D0089F">
              <w:rPr>
                <w:rFonts w:ascii="Times New Roman" w:hAnsi="Times New Roman" w:cs="Times New Roman"/>
                <w:lang w:val="en-US"/>
              </w:rPr>
              <w:t xml:space="preserve">and </w:t>
            </w:r>
            <w:r w:rsidR="00D94ED0" w:rsidRPr="00D0089F">
              <w:rPr>
                <w:rFonts w:ascii="Times New Roman" w:hAnsi="Times New Roman" w:cs="Times New Roman"/>
                <w:lang w:val="en-US"/>
              </w:rPr>
              <w:t xml:space="preserve">cannot be used in emergency cases and field </w:t>
            </w:r>
            <w:r w:rsidRPr="00D0089F">
              <w:rPr>
                <w:rFonts w:ascii="Times New Roman" w:hAnsi="Times New Roman" w:cs="Times New Roman"/>
                <w:lang w:val="en-US"/>
              </w:rPr>
              <w:t>studies</w:t>
            </w:r>
            <w:r w:rsidR="00AE35DA">
              <w:rPr>
                <w:rFonts w:ascii="Times New Roman" w:hAnsi="Times New Roman" w:cs="Times New Roman"/>
                <w:lang w:val="en-US"/>
              </w:rPr>
              <w:t>.</w:t>
            </w:r>
          </w:p>
        </w:tc>
        <w:tc>
          <w:tcPr>
            <w:tcW w:w="1985" w:type="dxa"/>
            <w:hideMark/>
          </w:tcPr>
          <w:p w14:paraId="0500A6D2" w14:textId="32F2FF7F"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Zhang et al., 2012</w:t>
            </w:r>
          </w:p>
        </w:tc>
      </w:tr>
      <w:tr w:rsidR="00765D03" w:rsidRPr="00D0089F" w14:paraId="7E6C50E6" w14:textId="77777777" w:rsidTr="00765D03">
        <w:tc>
          <w:tcPr>
            <w:tcW w:w="2850" w:type="dxa"/>
            <w:hideMark/>
          </w:tcPr>
          <w:p w14:paraId="498E728C" w14:textId="77777777" w:rsidR="00D94ED0" w:rsidRPr="00D0089F" w:rsidRDefault="00D94ED0" w:rsidP="007877AB">
            <w:pPr>
              <w:spacing w:after="160"/>
              <w:rPr>
                <w:rFonts w:ascii="Times New Roman" w:hAnsi="Times New Roman" w:cs="Times New Roman"/>
                <w:lang w:val="en-US"/>
              </w:rPr>
            </w:pPr>
            <w:r w:rsidRPr="00D0089F">
              <w:rPr>
                <w:rFonts w:ascii="Times New Roman" w:hAnsi="Times New Roman" w:cs="Times New Roman"/>
                <w:lang w:val="en-US"/>
              </w:rPr>
              <w:t>In vitro culture using Jones Medium</w:t>
            </w:r>
          </w:p>
        </w:tc>
        <w:tc>
          <w:tcPr>
            <w:tcW w:w="2679" w:type="dxa"/>
            <w:hideMark/>
          </w:tcPr>
          <w:p w14:paraId="78CD527A" w14:textId="2586644C" w:rsidR="00D94ED0" w:rsidRPr="00FD0FAA" w:rsidRDefault="00FD0FAA" w:rsidP="00D0089F">
            <w:pPr>
              <w:spacing w:after="160"/>
              <w:rPr>
                <w:rFonts w:ascii="Times New Roman" w:hAnsi="Times New Roman" w:cs="Times New Roman"/>
              </w:rPr>
            </w:pPr>
            <w:r w:rsidRPr="00FD0FAA">
              <w:rPr>
                <w:rFonts w:ascii="Times New Roman" w:hAnsi="Times New Roman" w:cs="Times New Roman"/>
                <w:color w:val="EE0000"/>
              </w:rPr>
              <w:t>Greater sensitivity than conventional microscopy, FECT, and trichrome staining. In some studies, culture methods are regarded as the gold standard</w:t>
            </w:r>
            <w:r w:rsidR="00AE35DA">
              <w:rPr>
                <w:rFonts w:ascii="Times New Roman" w:hAnsi="Times New Roman" w:cs="Times New Roman"/>
                <w:color w:val="EE0000"/>
              </w:rPr>
              <w:t>.</w:t>
            </w:r>
          </w:p>
        </w:tc>
        <w:tc>
          <w:tcPr>
            <w:tcW w:w="2976" w:type="dxa"/>
            <w:hideMark/>
          </w:tcPr>
          <w:p w14:paraId="77E2088E" w14:textId="656721D1" w:rsidR="00D94ED0" w:rsidRPr="00D0089F" w:rsidRDefault="00F56512" w:rsidP="00D0089F">
            <w:pPr>
              <w:spacing w:after="160"/>
              <w:rPr>
                <w:rFonts w:ascii="Times New Roman" w:hAnsi="Times New Roman" w:cs="Times New Roman"/>
                <w:lang w:val="en-US"/>
              </w:rPr>
            </w:pPr>
            <w:r w:rsidRPr="00F56512">
              <w:rPr>
                <w:rFonts w:ascii="Times New Roman" w:hAnsi="Times New Roman" w:cs="Times New Roman"/>
              </w:rPr>
              <w:t>Time-consuming, variable sensitivity, may miss low-level infections, cannot identify subtypes, and requires technical skill and lab facilities.</w:t>
            </w:r>
          </w:p>
        </w:tc>
        <w:tc>
          <w:tcPr>
            <w:tcW w:w="1985" w:type="dxa"/>
            <w:hideMark/>
          </w:tcPr>
          <w:p w14:paraId="356F21B4" w14:textId="38A822A6"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Elg</w:t>
            </w:r>
            <w:r w:rsidR="00065785">
              <w:rPr>
                <w:rFonts w:ascii="Times New Roman" w:hAnsi="Times New Roman" w:cs="Times New Roman"/>
                <w:lang w:val="en-US"/>
              </w:rPr>
              <w:t>ha</w:t>
            </w:r>
            <w:r w:rsidRPr="00D0089F">
              <w:rPr>
                <w:rFonts w:ascii="Times New Roman" w:hAnsi="Times New Roman" w:cs="Times New Roman"/>
                <w:lang w:val="en-US"/>
              </w:rPr>
              <w:t>reeb et al.,2015</w:t>
            </w:r>
          </w:p>
          <w:p w14:paraId="036CC272" w14:textId="7CD08D66"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 xml:space="preserve">Santos </w:t>
            </w:r>
            <w:r w:rsidR="00065785">
              <w:rPr>
                <w:rFonts w:ascii="Times New Roman" w:hAnsi="Times New Roman" w:cs="Times New Roman"/>
                <w:lang w:val="en-US"/>
              </w:rPr>
              <w:t>&amp;</w:t>
            </w:r>
            <w:r w:rsidRPr="00D0089F">
              <w:rPr>
                <w:rFonts w:ascii="Times New Roman" w:hAnsi="Times New Roman" w:cs="Times New Roman"/>
                <w:lang w:val="en-US"/>
              </w:rPr>
              <w:t xml:space="preserve"> Rivera</w:t>
            </w:r>
            <w:r w:rsidR="002E11C0">
              <w:rPr>
                <w:rFonts w:ascii="Times New Roman" w:hAnsi="Times New Roman" w:cs="Times New Roman"/>
                <w:lang w:val="en-US"/>
              </w:rPr>
              <w:t>,</w:t>
            </w:r>
            <w:r w:rsidRPr="00D0089F">
              <w:rPr>
                <w:rFonts w:ascii="Times New Roman" w:hAnsi="Times New Roman" w:cs="Times New Roman"/>
                <w:lang w:val="en-US"/>
              </w:rPr>
              <w:t xml:space="preserve"> 2013</w:t>
            </w:r>
          </w:p>
        </w:tc>
      </w:tr>
      <w:tr w:rsidR="00765D03" w:rsidRPr="00D0089F" w14:paraId="29AC81CB" w14:textId="77777777" w:rsidTr="00765D03">
        <w:tc>
          <w:tcPr>
            <w:tcW w:w="2850" w:type="dxa"/>
            <w:hideMark/>
          </w:tcPr>
          <w:p w14:paraId="1C687E52" w14:textId="09291A08" w:rsidR="00D94ED0" w:rsidRPr="00D0089F" w:rsidRDefault="00316EF6" w:rsidP="00316EF6">
            <w:pPr>
              <w:spacing w:after="160"/>
              <w:rPr>
                <w:rFonts w:ascii="Times New Roman" w:hAnsi="Times New Roman" w:cs="Times New Roman"/>
                <w:lang w:val="en-US"/>
              </w:rPr>
            </w:pPr>
            <w:r w:rsidRPr="00316EF6">
              <w:rPr>
                <w:rFonts w:ascii="Times New Roman" w:hAnsi="Times New Roman" w:cs="Times New Roman"/>
              </w:rPr>
              <w:t>Enzyme-Linked Immunosorbent Assay (ELISA)</w:t>
            </w:r>
          </w:p>
        </w:tc>
        <w:tc>
          <w:tcPr>
            <w:tcW w:w="2679" w:type="dxa"/>
            <w:hideMark/>
          </w:tcPr>
          <w:p w14:paraId="6FC2BF84" w14:textId="5CA7B911" w:rsidR="00D94ED0" w:rsidRPr="00D0089F" w:rsidRDefault="00316EF6" w:rsidP="00D0089F">
            <w:pPr>
              <w:spacing w:after="160"/>
              <w:rPr>
                <w:rFonts w:ascii="Times New Roman" w:hAnsi="Times New Roman" w:cs="Times New Roman"/>
                <w:lang w:val="en-US"/>
              </w:rPr>
            </w:pPr>
            <w:r>
              <w:rPr>
                <w:rFonts w:ascii="Times New Roman" w:hAnsi="Times New Roman" w:cs="Times New Roman"/>
              </w:rPr>
              <w:t>U</w:t>
            </w:r>
            <w:r w:rsidRPr="00316EF6">
              <w:rPr>
                <w:rFonts w:ascii="Times New Roman" w:hAnsi="Times New Roman" w:cs="Times New Roman"/>
              </w:rPr>
              <w:t>seful for detecting low parasite levels in individuals and can identify subtypes 1, 2, 3, and 5</w:t>
            </w:r>
            <w:r w:rsidR="00AE35DA">
              <w:rPr>
                <w:rFonts w:ascii="Times New Roman" w:hAnsi="Times New Roman" w:cs="Times New Roman"/>
              </w:rPr>
              <w:t>.</w:t>
            </w:r>
          </w:p>
        </w:tc>
        <w:tc>
          <w:tcPr>
            <w:tcW w:w="2976" w:type="dxa"/>
            <w:hideMark/>
          </w:tcPr>
          <w:p w14:paraId="1D3A1FD8" w14:textId="47D5092F" w:rsidR="00D94ED0" w:rsidRPr="00D0089F" w:rsidRDefault="00F56512" w:rsidP="00D0089F">
            <w:pPr>
              <w:spacing w:after="160"/>
              <w:rPr>
                <w:rFonts w:ascii="Times New Roman" w:hAnsi="Times New Roman" w:cs="Times New Roman"/>
                <w:lang w:val="en-US"/>
              </w:rPr>
            </w:pPr>
            <w:r w:rsidRPr="00F56512">
              <w:rPr>
                <w:rFonts w:ascii="Times New Roman" w:hAnsi="Times New Roman" w:cs="Times New Roman"/>
              </w:rPr>
              <w:t>May yield false positives, cannot differentiate subtypes, less sensitive to low parasite loads, and limited validated kits and performance data.</w:t>
            </w:r>
          </w:p>
        </w:tc>
        <w:tc>
          <w:tcPr>
            <w:tcW w:w="1985" w:type="dxa"/>
            <w:hideMark/>
          </w:tcPr>
          <w:p w14:paraId="59E462BB" w14:textId="3C965176"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Dogruman-Al et al., 2015</w:t>
            </w:r>
          </w:p>
        </w:tc>
      </w:tr>
      <w:tr w:rsidR="00765D03" w:rsidRPr="00D0089F" w14:paraId="68C81072" w14:textId="77777777" w:rsidTr="00765D03">
        <w:tc>
          <w:tcPr>
            <w:tcW w:w="2850" w:type="dxa"/>
            <w:hideMark/>
          </w:tcPr>
          <w:p w14:paraId="59FC04C3" w14:textId="033FF2AC" w:rsidR="00D94ED0" w:rsidRPr="00D0089F" w:rsidRDefault="00316EF6" w:rsidP="00D0089F">
            <w:pPr>
              <w:spacing w:after="160"/>
              <w:jc w:val="both"/>
              <w:rPr>
                <w:rFonts w:ascii="Times New Roman" w:hAnsi="Times New Roman" w:cs="Times New Roman"/>
                <w:lang w:val="en-US"/>
              </w:rPr>
            </w:pPr>
            <w:r w:rsidRPr="00316EF6">
              <w:rPr>
                <w:rFonts w:ascii="Times New Roman" w:hAnsi="Times New Roman" w:cs="Times New Roman"/>
              </w:rPr>
              <w:t>Polymerase Chain Reaction</w:t>
            </w:r>
            <w:r w:rsidRPr="00D0089F">
              <w:rPr>
                <w:rFonts w:ascii="Times New Roman" w:hAnsi="Times New Roman" w:cs="Times New Roman"/>
                <w:lang w:val="en-US"/>
              </w:rPr>
              <w:t xml:space="preserve"> </w:t>
            </w:r>
            <w:r>
              <w:rPr>
                <w:rFonts w:ascii="Times New Roman" w:hAnsi="Times New Roman" w:cs="Times New Roman"/>
                <w:lang w:val="en-US"/>
              </w:rPr>
              <w:t>(</w:t>
            </w:r>
            <w:r w:rsidR="00D94ED0" w:rsidRPr="00D0089F">
              <w:rPr>
                <w:rFonts w:ascii="Times New Roman" w:hAnsi="Times New Roman" w:cs="Times New Roman"/>
                <w:lang w:val="en-US"/>
              </w:rPr>
              <w:t>PCR</w:t>
            </w:r>
            <w:r>
              <w:rPr>
                <w:rFonts w:ascii="Times New Roman" w:hAnsi="Times New Roman" w:cs="Times New Roman"/>
                <w:lang w:val="en-US"/>
              </w:rPr>
              <w:t>)</w:t>
            </w:r>
            <w:r w:rsidR="00D94ED0" w:rsidRPr="00D0089F">
              <w:rPr>
                <w:rFonts w:ascii="Times New Roman" w:hAnsi="Times New Roman" w:cs="Times New Roman"/>
                <w:lang w:val="en-US"/>
              </w:rPr>
              <w:t xml:space="preserve"> and real time PCR</w:t>
            </w:r>
          </w:p>
        </w:tc>
        <w:tc>
          <w:tcPr>
            <w:tcW w:w="2679" w:type="dxa"/>
            <w:hideMark/>
          </w:tcPr>
          <w:p w14:paraId="344F99A3" w14:textId="22C43811" w:rsidR="00D94ED0" w:rsidRPr="00D0089F" w:rsidRDefault="00316EF6" w:rsidP="00D0089F">
            <w:pPr>
              <w:spacing w:after="160"/>
              <w:rPr>
                <w:rFonts w:ascii="Times New Roman" w:hAnsi="Times New Roman" w:cs="Times New Roman"/>
                <w:lang w:val="en-US"/>
              </w:rPr>
            </w:pPr>
            <w:r w:rsidRPr="00316EF6">
              <w:rPr>
                <w:rFonts w:ascii="Times New Roman" w:hAnsi="Times New Roman" w:cs="Times New Roman"/>
              </w:rPr>
              <w:t xml:space="preserve">Regarded as the gold standard for diagnosing </w:t>
            </w:r>
            <w:r w:rsidRPr="00316EF6">
              <w:rPr>
                <w:rFonts w:ascii="Times New Roman" w:hAnsi="Times New Roman" w:cs="Times New Roman"/>
                <w:i/>
                <w:iCs/>
              </w:rPr>
              <w:t>B</w:t>
            </w:r>
            <w:r>
              <w:rPr>
                <w:rFonts w:ascii="Times New Roman" w:hAnsi="Times New Roman" w:cs="Times New Roman"/>
                <w:i/>
                <w:iCs/>
              </w:rPr>
              <w:t>.</w:t>
            </w:r>
            <w:r w:rsidRPr="00316EF6">
              <w:rPr>
                <w:rFonts w:ascii="Times New Roman" w:hAnsi="Times New Roman" w:cs="Times New Roman"/>
                <w:i/>
                <w:iCs/>
              </w:rPr>
              <w:t xml:space="preserve"> hominis</w:t>
            </w:r>
            <w:r w:rsidRPr="00316EF6">
              <w:rPr>
                <w:rFonts w:ascii="Times New Roman" w:hAnsi="Times New Roman" w:cs="Times New Roman"/>
              </w:rPr>
              <w:t xml:space="preserve"> due to its excellent sensitivity and specificity</w:t>
            </w:r>
            <w:r w:rsidR="00AE35DA">
              <w:rPr>
                <w:rFonts w:ascii="Times New Roman" w:hAnsi="Times New Roman" w:cs="Times New Roman"/>
              </w:rPr>
              <w:t>.</w:t>
            </w:r>
          </w:p>
        </w:tc>
        <w:tc>
          <w:tcPr>
            <w:tcW w:w="2976" w:type="dxa"/>
            <w:hideMark/>
          </w:tcPr>
          <w:p w14:paraId="6CC5D229" w14:textId="5D1DB2C7" w:rsidR="00D94ED0" w:rsidRPr="00D0089F" w:rsidRDefault="00316EF6" w:rsidP="00D0089F">
            <w:pPr>
              <w:spacing w:after="160"/>
              <w:rPr>
                <w:rFonts w:ascii="Times New Roman" w:hAnsi="Times New Roman" w:cs="Times New Roman"/>
                <w:lang w:val="en-US"/>
              </w:rPr>
            </w:pPr>
            <w:r w:rsidRPr="00316EF6">
              <w:rPr>
                <w:rFonts w:ascii="Times New Roman" w:hAnsi="Times New Roman" w:cs="Times New Roman"/>
              </w:rPr>
              <w:t xml:space="preserve">Costly and often unavailable in underdeveloped countries. A study in Thailand using PCR targeting SSU rDNA reported false-negative results, attributed to high levels of PCR inhibitors in stool </w:t>
            </w:r>
            <w:r w:rsidRPr="00316EF6">
              <w:rPr>
                <w:rFonts w:ascii="Times New Roman" w:hAnsi="Times New Roman" w:cs="Times New Roman"/>
              </w:rPr>
              <w:lastRenderedPageBreak/>
              <w:t>samples, low parasite load, and transportation-related issues.</w:t>
            </w:r>
          </w:p>
        </w:tc>
        <w:tc>
          <w:tcPr>
            <w:tcW w:w="1985" w:type="dxa"/>
            <w:hideMark/>
          </w:tcPr>
          <w:p w14:paraId="7C1C67D3" w14:textId="3A28DC6E" w:rsidR="00D94ED0" w:rsidRPr="00D0089F" w:rsidRDefault="00065785" w:rsidP="00D0089F">
            <w:pPr>
              <w:spacing w:after="160"/>
              <w:rPr>
                <w:rFonts w:ascii="Times New Roman" w:hAnsi="Times New Roman" w:cs="Times New Roman"/>
                <w:lang w:val="en-US"/>
              </w:rPr>
            </w:pPr>
            <w:r w:rsidRPr="00065785">
              <w:rPr>
                <w:rFonts w:ascii="Times New Roman" w:hAnsi="Times New Roman" w:cs="Times New Roman"/>
              </w:rPr>
              <w:lastRenderedPageBreak/>
              <w:t xml:space="preserve">Srichaipon </w:t>
            </w:r>
            <w:r w:rsidR="00D94ED0" w:rsidRPr="00D0089F">
              <w:rPr>
                <w:rFonts w:ascii="Times New Roman" w:hAnsi="Times New Roman" w:cs="Times New Roman"/>
                <w:lang w:val="en-US"/>
              </w:rPr>
              <w:t>et., 2019</w:t>
            </w:r>
          </w:p>
        </w:tc>
      </w:tr>
      <w:tr w:rsidR="00765D03" w:rsidRPr="00D0089F" w14:paraId="7D6BBFE2" w14:textId="77777777" w:rsidTr="00765D03">
        <w:tc>
          <w:tcPr>
            <w:tcW w:w="2850" w:type="dxa"/>
            <w:hideMark/>
          </w:tcPr>
          <w:p w14:paraId="5E2BDCEC" w14:textId="5B847C8D" w:rsidR="00D94ED0" w:rsidRPr="00D0089F" w:rsidRDefault="00316EF6" w:rsidP="00D0089F">
            <w:pPr>
              <w:spacing w:after="160"/>
              <w:jc w:val="both"/>
              <w:rPr>
                <w:rFonts w:ascii="Times New Roman" w:hAnsi="Times New Roman" w:cs="Times New Roman"/>
                <w:lang w:val="en-US"/>
              </w:rPr>
            </w:pPr>
            <w:r w:rsidRPr="00316EF6">
              <w:rPr>
                <w:rFonts w:ascii="Times New Roman" w:hAnsi="Times New Roman" w:cs="Times New Roman"/>
              </w:rPr>
              <w:t>Polymerase Chain Reaction–Restriction Fragment Length Polymorphism</w:t>
            </w:r>
            <w:r w:rsidRPr="00316EF6">
              <w:rPr>
                <w:rFonts w:ascii="Times New Roman" w:hAnsi="Times New Roman" w:cs="Times New Roman"/>
                <w:lang w:val="en-US"/>
              </w:rPr>
              <w:t xml:space="preserve"> </w:t>
            </w:r>
            <w:r>
              <w:rPr>
                <w:rFonts w:ascii="Times New Roman" w:hAnsi="Times New Roman" w:cs="Times New Roman"/>
                <w:lang w:val="en-US"/>
              </w:rPr>
              <w:t>(</w:t>
            </w:r>
            <w:r w:rsidR="00D94ED0" w:rsidRPr="00D0089F">
              <w:rPr>
                <w:rFonts w:ascii="Times New Roman" w:hAnsi="Times New Roman" w:cs="Times New Roman"/>
                <w:lang w:val="en-US"/>
              </w:rPr>
              <w:t>PCR-RFLP</w:t>
            </w:r>
            <w:r>
              <w:rPr>
                <w:rFonts w:ascii="Times New Roman" w:hAnsi="Times New Roman" w:cs="Times New Roman"/>
                <w:lang w:val="en-US"/>
              </w:rPr>
              <w:t>)</w:t>
            </w:r>
          </w:p>
        </w:tc>
        <w:tc>
          <w:tcPr>
            <w:tcW w:w="2679" w:type="dxa"/>
            <w:hideMark/>
          </w:tcPr>
          <w:p w14:paraId="53C73F12" w14:textId="71EB1E77" w:rsidR="00D94ED0" w:rsidRPr="00D0089F" w:rsidRDefault="00316EF6" w:rsidP="00D0089F">
            <w:pPr>
              <w:spacing w:after="160"/>
              <w:rPr>
                <w:rFonts w:ascii="Times New Roman" w:hAnsi="Times New Roman" w:cs="Times New Roman"/>
                <w:lang w:val="en-US"/>
              </w:rPr>
            </w:pPr>
            <w:r w:rsidRPr="00316EF6">
              <w:rPr>
                <w:rFonts w:ascii="Times New Roman" w:hAnsi="Times New Roman" w:cs="Times New Roman"/>
              </w:rPr>
              <w:t xml:space="preserve">A straightforward, fast, and cost-efficient technique for subtyping </w:t>
            </w:r>
            <w:r w:rsidRPr="00316EF6">
              <w:rPr>
                <w:rFonts w:ascii="Times New Roman" w:hAnsi="Times New Roman" w:cs="Times New Roman"/>
                <w:i/>
                <w:iCs/>
              </w:rPr>
              <w:t>B. hominis</w:t>
            </w:r>
            <w:r w:rsidRPr="00316EF6">
              <w:rPr>
                <w:rFonts w:ascii="Times New Roman" w:hAnsi="Times New Roman" w:cs="Times New Roman"/>
              </w:rPr>
              <w:t>, capable of distinguishing human subtypes 1 to 9</w:t>
            </w:r>
            <w:r>
              <w:rPr>
                <w:rFonts w:ascii="Times New Roman" w:hAnsi="Times New Roman" w:cs="Times New Roman"/>
              </w:rPr>
              <w:t>.</w:t>
            </w:r>
          </w:p>
        </w:tc>
        <w:tc>
          <w:tcPr>
            <w:tcW w:w="2976" w:type="dxa"/>
            <w:hideMark/>
          </w:tcPr>
          <w:p w14:paraId="1DCB809D" w14:textId="1C4981DC"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 xml:space="preserve"> </w:t>
            </w:r>
            <w:r w:rsidR="00F56512" w:rsidRPr="00F56512">
              <w:rPr>
                <w:rFonts w:ascii="Times New Roman" w:hAnsi="Times New Roman" w:cs="Times New Roman"/>
              </w:rPr>
              <w:t>Limited resolution, may miss mixed or closely related subtypes, depends on specific enzymes and DNA quality, and results can be ambiguous or labor-intensive.</w:t>
            </w:r>
          </w:p>
        </w:tc>
        <w:tc>
          <w:tcPr>
            <w:tcW w:w="1985" w:type="dxa"/>
            <w:hideMark/>
          </w:tcPr>
          <w:p w14:paraId="2311D02B" w14:textId="05D70937" w:rsidR="00D94ED0" w:rsidRPr="00D0089F" w:rsidRDefault="00065785" w:rsidP="00D0089F">
            <w:pPr>
              <w:spacing w:after="160"/>
              <w:rPr>
                <w:rFonts w:ascii="Times New Roman" w:hAnsi="Times New Roman" w:cs="Times New Roman"/>
                <w:lang w:val="en-US"/>
              </w:rPr>
            </w:pPr>
            <w:r w:rsidRPr="00065785">
              <w:rPr>
                <w:rFonts w:ascii="Times New Roman" w:hAnsi="Times New Roman" w:cs="Times New Roman"/>
              </w:rPr>
              <w:t xml:space="preserve">Srichaipon </w:t>
            </w:r>
            <w:r w:rsidR="00D94ED0" w:rsidRPr="00D0089F">
              <w:rPr>
                <w:rFonts w:ascii="Times New Roman" w:hAnsi="Times New Roman" w:cs="Times New Roman"/>
                <w:lang w:val="en-US"/>
              </w:rPr>
              <w:t>et al., 2019</w:t>
            </w:r>
          </w:p>
        </w:tc>
      </w:tr>
      <w:tr w:rsidR="00765D03" w:rsidRPr="00D0089F" w14:paraId="4332FBD3" w14:textId="77777777" w:rsidTr="00765D03">
        <w:tc>
          <w:tcPr>
            <w:tcW w:w="2850" w:type="dxa"/>
            <w:hideMark/>
          </w:tcPr>
          <w:p w14:paraId="29AD3F22" w14:textId="24F004FB" w:rsidR="00D94ED0" w:rsidRPr="00D0089F" w:rsidRDefault="00D94ED0" w:rsidP="00316EF6">
            <w:pPr>
              <w:spacing w:after="160"/>
              <w:rPr>
                <w:rFonts w:ascii="Times New Roman" w:hAnsi="Times New Roman" w:cs="Times New Roman"/>
                <w:lang w:val="en-US"/>
              </w:rPr>
            </w:pPr>
            <w:r w:rsidRPr="00D0089F">
              <w:rPr>
                <w:rFonts w:ascii="Times New Roman" w:hAnsi="Times New Roman" w:cs="Times New Roman"/>
                <w:lang w:val="en-US"/>
              </w:rPr>
              <w:t>High Resolution Melting Analysis</w:t>
            </w:r>
            <w:r w:rsidR="00316EF6">
              <w:rPr>
                <w:rFonts w:ascii="Times New Roman" w:hAnsi="Times New Roman" w:cs="Times New Roman"/>
                <w:lang w:val="en-US"/>
              </w:rPr>
              <w:t xml:space="preserve"> (HRMA)</w:t>
            </w:r>
          </w:p>
        </w:tc>
        <w:tc>
          <w:tcPr>
            <w:tcW w:w="2679" w:type="dxa"/>
            <w:hideMark/>
          </w:tcPr>
          <w:p w14:paraId="082760E5" w14:textId="77777777" w:rsidR="004B0698"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 xml:space="preserve">Efficient and cost effective, </w:t>
            </w:r>
            <w:r w:rsidR="00014830" w:rsidRPr="00D0089F">
              <w:rPr>
                <w:rFonts w:ascii="Times New Roman" w:hAnsi="Times New Roman" w:cs="Times New Roman"/>
                <w:lang w:val="en-US"/>
              </w:rPr>
              <w:t>provides</w:t>
            </w:r>
            <w:r w:rsidRPr="00D0089F">
              <w:rPr>
                <w:rFonts w:ascii="Times New Roman" w:hAnsi="Times New Roman" w:cs="Times New Roman"/>
                <w:lang w:val="en-US"/>
              </w:rPr>
              <w:t xml:space="preserve"> </w:t>
            </w:r>
            <w:r w:rsidR="00014830" w:rsidRPr="00D0089F">
              <w:rPr>
                <w:rFonts w:ascii="Times New Roman" w:hAnsi="Times New Roman" w:cs="Times New Roman"/>
                <w:lang w:val="en-US"/>
              </w:rPr>
              <w:t xml:space="preserve">a </w:t>
            </w:r>
            <w:r w:rsidRPr="00D0089F">
              <w:rPr>
                <w:rFonts w:ascii="Times New Roman" w:hAnsi="Times New Roman" w:cs="Times New Roman"/>
                <w:lang w:val="en-US"/>
              </w:rPr>
              <w:t xml:space="preserve">rapid and accurate method for </w:t>
            </w:r>
            <w:r w:rsidRPr="00D0089F">
              <w:rPr>
                <w:rFonts w:ascii="Times New Roman" w:hAnsi="Times New Roman" w:cs="Times New Roman"/>
                <w:i/>
                <w:iCs/>
                <w:lang w:val="en-US"/>
              </w:rPr>
              <w:t xml:space="preserve">Blastocystis </w:t>
            </w:r>
            <w:r w:rsidRPr="00D0089F">
              <w:rPr>
                <w:rFonts w:ascii="Times New Roman" w:hAnsi="Times New Roman" w:cs="Times New Roman"/>
                <w:lang w:val="en-US"/>
              </w:rPr>
              <w:t xml:space="preserve">subtype in developing countries, </w:t>
            </w:r>
            <w:r w:rsidR="004B0698" w:rsidRPr="00D0089F">
              <w:rPr>
                <w:rFonts w:ascii="Times New Roman" w:hAnsi="Times New Roman" w:cs="Times New Roman"/>
                <w:lang w:val="en-US"/>
              </w:rPr>
              <w:t xml:space="preserve">and </w:t>
            </w:r>
            <w:r w:rsidRPr="00D0089F">
              <w:rPr>
                <w:rFonts w:ascii="Times New Roman" w:hAnsi="Times New Roman" w:cs="Times New Roman"/>
                <w:lang w:val="en-US"/>
              </w:rPr>
              <w:t xml:space="preserve">can reduce the need for sequencing. </w:t>
            </w:r>
          </w:p>
          <w:p w14:paraId="765BC2E8" w14:textId="71168634"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Potential significance in epidemiological surveillance and understanding cross species transmission.</w:t>
            </w:r>
          </w:p>
        </w:tc>
        <w:tc>
          <w:tcPr>
            <w:tcW w:w="2976" w:type="dxa"/>
            <w:hideMark/>
          </w:tcPr>
          <w:p w14:paraId="39512A07" w14:textId="6F693F63" w:rsidR="00D94ED0" w:rsidRPr="00D0089F" w:rsidRDefault="00F56512" w:rsidP="00D0089F">
            <w:pPr>
              <w:spacing w:after="160"/>
              <w:rPr>
                <w:rFonts w:ascii="Times New Roman" w:hAnsi="Times New Roman" w:cs="Times New Roman"/>
                <w:lang w:val="en-US"/>
              </w:rPr>
            </w:pPr>
            <w:r w:rsidRPr="00F56512">
              <w:rPr>
                <w:rFonts w:ascii="Times New Roman" w:hAnsi="Times New Roman" w:cs="Times New Roman"/>
              </w:rPr>
              <w:t>Requires specialized equipment and expertise, needs high-quality DNA, and has lower accuracy for mixed infections or novel variants.</w:t>
            </w:r>
          </w:p>
        </w:tc>
        <w:tc>
          <w:tcPr>
            <w:tcW w:w="1985" w:type="dxa"/>
            <w:hideMark/>
          </w:tcPr>
          <w:p w14:paraId="79C6302C" w14:textId="28FFB14C"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Salehi Sangani et al., 2025</w:t>
            </w:r>
          </w:p>
        </w:tc>
      </w:tr>
      <w:tr w:rsidR="00765D03" w:rsidRPr="00D0089F" w14:paraId="3196589E" w14:textId="77777777" w:rsidTr="00765D03">
        <w:tc>
          <w:tcPr>
            <w:tcW w:w="2850" w:type="dxa"/>
            <w:hideMark/>
          </w:tcPr>
          <w:p w14:paraId="15F3A09A" w14:textId="77777777" w:rsidR="00D94ED0" w:rsidRPr="00D0089F" w:rsidRDefault="00D94ED0" w:rsidP="00D0089F">
            <w:pPr>
              <w:spacing w:after="160"/>
              <w:jc w:val="both"/>
              <w:rPr>
                <w:rFonts w:ascii="Times New Roman" w:hAnsi="Times New Roman" w:cs="Times New Roman"/>
                <w:lang w:val="en-US"/>
              </w:rPr>
            </w:pPr>
            <w:r w:rsidRPr="00D0089F">
              <w:rPr>
                <w:rFonts w:ascii="Times New Roman" w:hAnsi="Times New Roman" w:cs="Times New Roman"/>
                <w:lang w:val="en-US"/>
              </w:rPr>
              <w:t>PCR coupled with Sanger Sequencing</w:t>
            </w:r>
          </w:p>
        </w:tc>
        <w:tc>
          <w:tcPr>
            <w:tcW w:w="2679" w:type="dxa"/>
            <w:hideMark/>
          </w:tcPr>
          <w:p w14:paraId="3E64EA58" w14:textId="6BF308CD" w:rsidR="00D94ED0" w:rsidRPr="00D0089F" w:rsidRDefault="00850C52" w:rsidP="00D0089F">
            <w:pPr>
              <w:spacing w:after="160"/>
              <w:rPr>
                <w:rFonts w:ascii="Times New Roman" w:hAnsi="Times New Roman" w:cs="Times New Roman"/>
                <w:lang w:val="en-US"/>
              </w:rPr>
            </w:pPr>
            <w:r>
              <w:rPr>
                <w:rFonts w:ascii="Times New Roman" w:hAnsi="Times New Roman" w:cs="Times New Roman"/>
              </w:rPr>
              <w:t>U</w:t>
            </w:r>
            <w:r w:rsidRPr="00850C52">
              <w:rPr>
                <w:rFonts w:ascii="Times New Roman" w:hAnsi="Times New Roman" w:cs="Times New Roman"/>
              </w:rPr>
              <w:t xml:space="preserve">sed for accurate identification and confirmation of </w:t>
            </w:r>
            <w:r w:rsidRPr="00850C52">
              <w:rPr>
                <w:rFonts w:ascii="Times New Roman" w:hAnsi="Times New Roman" w:cs="Times New Roman"/>
                <w:i/>
                <w:iCs/>
              </w:rPr>
              <w:t>Blastocystis</w:t>
            </w:r>
            <w:r w:rsidRPr="00850C52">
              <w:rPr>
                <w:rFonts w:ascii="Times New Roman" w:hAnsi="Times New Roman" w:cs="Times New Roman"/>
              </w:rPr>
              <w:t xml:space="preserve"> subtypes by amplifying target genes (such as SSU rDNA) through PCR, followed by sequencing. It provides reliable subtype characterization and is particularly useful for validating results from other subtyping techniques.</w:t>
            </w:r>
          </w:p>
        </w:tc>
        <w:tc>
          <w:tcPr>
            <w:tcW w:w="2976" w:type="dxa"/>
            <w:hideMark/>
          </w:tcPr>
          <w:p w14:paraId="407F06DD" w14:textId="25806877" w:rsidR="00D94ED0" w:rsidRPr="00D0089F" w:rsidRDefault="00850C52" w:rsidP="00D0089F">
            <w:pPr>
              <w:spacing w:after="160"/>
              <w:rPr>
                <w:rFonts w:ascii="Times New Roman" w:hAnsi="Times New Roman" w:cs="Times New Roman"/>
                <w:lang w:val="en-US"/>
              </w:rPr>
            </w:pPr>
            <w:r w:rsidRPr="00850C52">
              <w:rPr>
                <w:rFonts w:ascii="Times New Roman" w:hAnsi="Times New Roman" w:cs="Times New Roman"/>
              </w:rPr>
              <w:t>It may not effectively detect mixed subtype infections due to its lower sensitivity in resolving multiple overlapping sequences. Additionally, the method can be time-consuming, costly, and requires well-equipped laboratories and skilled personnel.</w:t>
            </w:r>
          </w:p>
        </w:tc>
        <w:tc>
          <w:tcPr>
            <w:tcW w:w="1985" w:type="dxa"/>
            <w:hideMark/>
          </w:tcPr>
          <w:p w14:paraId="64371E68" w14:textId="3CEF673E"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Higuera et al., 2021</w:t>
            </w:r>
          </w:p>
        </w:tc>
      </w:tr>
      <w:tr w:rsidR="00765D03" w:rsidRPr="00D0089F" w14:paraId="7BBFBB38" w14:textId="77777777" w:rsidTr="00765D03">
        <w:tc>
          <w:tcPr>
            <w:tcW w:w="2850" w:type="dxa"/>
            <w:hideMark/>
          </w:tcPr>
          <w:p w14:paraId="6FD28142" w14:textId="56F2B74D" w:rsidR="00D94ED0" w:rsidRPr="00D0089F" w:rsidRDefault="00D94ED0" w:rsidP="00D0089F">
            <w:pPr>
              <w:spacing w:after="160"/>
              <w:jc w:val="both"/>
              <w:rPr>
                <w:rFonts w:ascii="Times New Roman" w:hAnsi="Times New Roman" w:cs="Times New Roman"/>
                <w:lang w:val="en-US"/>
              </w:rPr>
            </w:pPr>
            <w:r w:rsidRPr="00D0089F">
              <w:rPr>
                <w:rFonts w:ascii="Times New Roman" w:hAnsi="Times New Roman" w:cs="Times New Roman"/>
                <w:lang w:val="en-US"/>
              </w:rPr>
              <w:t>Next Generat</w:t>
            </w:r>
            <w:r w:rsidR="00FD1329" w:rsidRPr="00D0089F">
              <w:rPr>
                <w:rFonts w:ascii="Times New Roman" w:hAnsi="Times New Roman" w:cs="Times New Roman"/>
                <w:lang w:val="en-US"/>
              </w:rPr>
              <w:t>ion</w:t>
            </w:r>
            <w:r w:rsidRPr="00D0089F">
              <w:rPr>
                <w:rFonts w:ascii="Times New Roman" w:hAnsi="Times New Roman" w:cs="Times New Roman"/>
                <w:lang w:val="en-US"/>
              </w:rPr>
              <w:t xml:space="preserve"> Sequencing</w:t>
            </w:r>
            <w:r w:rsidR="00316EF6">
              <w:rPr>
                <w:rFonts w:ascii="Times New Roman" w:hAnsi="Times New Roman" w:cs="Times New Roman"/>
                <w:lang w:val="en-US"/>
              </w:rPr>
              <w:t xml:space="preserve"> (NGS)</w:t>
            </w:r>
          </w:p>
        </w:tc>
        <w:tc>
          <w:tcPr>
            <w:tcW w:w="2679" w:type="dxa"/>
            <w:hideMark/>
          </w:tcPr>
          <w:p w14:paraId="79B5B556" w14:textId="7691F614" w:rsidR="00D94ED0" w:rsidRPr="00D0089F" w:rsidRDefault="00316EF6" w:rsidP="00D0089F">
            <w:pPr>
              <w:spacing w:after="160"/>
              <w:rPr>
                <w:rFonts w:ascii="Times New Roman" w:hAnsi="Times New Roman" w:cs="Times New Roman"/>
                <w:lang w:val="en-US"/>
              </w:rPr>
            </w:pPr>
            <w:r>
              <w:rPr>
                <w:rFonts w:ascii="Times New Roman" w:hAnsi="Times New Roman" w:cs="Times New Roman"/>
              </w:rPr>
              <w:t>U</w:t>
            </w:r>
            <w:r w:rsidRPr="00316EF6">
              <w:rPr>
                <w:rFonts w:ascii="Times New Roman" w:hAnsi="Times New Roman" w:cs="Times New Roman"/>
              </w:rPr>
              <w:t xml:space="preserve">sed for comprehensive and high-throughput analysis of </w:t>
            </w:r>
            <w:r w:rsidRPr="00316EF6">
              <w:rPr>
                <w:rFonts w:ascii="Times New Roman" w:hAnsi="Times New Roman" w:cs="Times New Roman"/>
                <w:i/>
                <w:iCs/>
              </w:rPr>
              <w:t>Blastocystis</w:t>
            </w:r>
            <w:r w:rsidRPr="00316EF6">
              <w:rPr>
                <w:rFonts w:ascii="Times New Roman" w:hAnsi="Times New Roman" w:cs="Times New Roman"/>
              </w:rPr>
              <w:t xml:space="preserve"> genetic material, allowing for precise identification of subtypes, discovery of novel variants, and deeper insights into genetic diversity. It is especially valuable for mixed infections and complex samples where conventional subtyping methods may be limited.</w:t>
            </w:r>
          </w:p>
        </w:tc>
        <w:tc>
          <w:tcPr>
            <w:tcW w:w="2976" w:type="dxa"/>
            <w:hideMark/>
          </w:tcPr>
          <w:p w14:paraId="4AFAA7E4" w14:textId="6142C059" w:rsidR="00D94ED0" w:rsidRPr="00850C52" w:rsidRDefault="00F56512" w:rsidP="00850C52">
            <w:pPr>
              <w:spacing w:after="160"/>
              <w:rPr>
                <w:rFonts w:ascii="Times New Roman" w:hAnsi="Times New Roman" w:cs="Times New Roman"/>
              </w:rPr>
            </w:pPr>
            <w:r w:rsidRPr="00F56512">
              <w:rPr>
                <w:rFonts w:ascii="Times New Roman" w:hAnsi="Times New Roman" w:cs="Times New Roman"/>
              </w:rPr>
              <w:t>High cost, technically complex, requires bioinformatics tools and advanced lab facilities, limiting use in routine or resource-poor settings.</w:t>
            </w:r>
          </w:p>
        </w:tc>
        <w:tc>
          <w:tcPr>
            <w:tcW w:w="1985" w:type="dxa"/>
            <w:hideMark/>
          </w:tcPr>
          <w:p w14:paraId="0D07B537" w14:textId="421A4B06"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Higuera et., 2021</w:t>
            </w:r>
          </w:p>
        </w:tc>
      </w:tr>
    </w:tbl>
    <w:p w14:paraId="1E4A29DE" w14:textId="77777777" w:rsidR="000E5C7F" w:rsidRPr="003D32FA" w:rsidRDefault="000E5C7F" w:rsidP="003D32FA">
      <w:pPr>
        <w:spacing w:line="480" w:lineRule="auto"/>
        <w:jc w:val="both"/>
        <w:rPr>
          <w:rFonts w:ascii="Times New Roman" w:hAnsi="Times New Roman" w:cs="Times New Roman"/>
          <w:sz w:val="24"/>
          <w:szCs w:val="24"/>
          <w:lang w:val="en-US"/>
        </w:rPr>
      </w:pPr>
    </w:p>
    <w:p w14:paraId="0FC6B868" w14:textId="7A6B08FC" w:rsidR="00E26B04" w:rsidRPr="003D32FA" w:rsidRDefault="00D0089F" w:rsidP="003D32FA">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VI</w:t>
      </w:r>
      <w:r w:rsidR="00E26B04" w:rsidRPr="003D32FA">
        <w:rPr>
          <w:rFonts w:ascii="Times New Roman" w:hAnsi="Times New Roman" w:cs="Times New Roman"/>
          <w:b/>
          <w:bCs/>
          <w:sz w:val="24"/>
          <w:szCs w:val="24"/>
          <w:lang w:val="en-US"/>
        </w:rPr>
        <w:t>. CURRENT CONTROL AND PREVENTION STRATEGIES</w:t>
      </w:r>
    </w:p>
    <w:p w14:paraId="4A01DC92" w14:textId="6E1BD006" w:rsidR="00B60928" w:rsidRPr="003D32FA" w:rsidRDefault="00B60928"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Despite its high prevalence and potential clinical significance,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is not currently included in any dedicated parasite control programs in the Philippines. Existing national efforts continue to focus primarily on soil-transmitted helminths, particularly in response to their burden in tropical and subtropical regions of the country (Belizario et al., 2016). Nevertheless, research initiatives have been undertaken to investigate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subtypes, especially within urban populations (Adao et al., 2016). Notably, viable </w:t>
      </w:r>
      <w:r w:rsidRPr="003D32FA">
        <w:rPr>
          <w:rFonts w:ascii="Times New Roman" w:hAnsi="Times New Roman" w:cs="Times New Roman"/>
          <w:i/>
          <w:iCs/>
          <w:sz w:val="24"/>
          <w:szCs w:val="24"/>
        </w:rPr>
        <w:t>Blastocystis</w:t>
      </w:r>
      <w:r w:rsidRPr="003D32FA">
        <w:rPr>
          <w:rFonts w:ascii="Times New Roman" w:hAnsi="Times New Roman" w:cs="Times New Roman"/>
          <w:sz w:val="24"/>
          <w:szCs w:val="24"/>
        </w:rPr>
        <w:t xml:space="preserve"> cysts have been detected in Philippine wastewater both before and after treatment, indicating the organism’s resistance to conventional wastewater processing methods. These findings raise significant public health concerns regarding environmental persistence and potential transmission, particularly in urban areas where wastewater reuse is common (Banaticla &amp; Rivera, 2011).</w:t>
      </w:r>
    </w:p>
    <w:p w14:paraId="4477A1EF" w14:textId="77777777" w:rsidR="00B60928" w:rsidRPr="003D32FA" w:rsidRDefault="00B60928"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Poor access to water, sanitation, and hygiene (WASH) remains a pressing issue in the Philippines, with an estimated 86% of diarrhea-related deaths in 2019 attributed to inadequate WASH services (Ulep et al., 2024). Although the transmission dynamics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are not fully elucidated, evidence supports multiple routes including fecal–oral (via contaminated water and food), anthroponotic, and zoonotic pathways. Preventive strategies anchored in WASH interventions are therefore likely to play a crucial role in reducing transmission (Heydarian et al., 2024). In rural and mountainous regions, higher prevalence rates have been linked to unfiltered water sources, close contact with livestock, and poor hygiene practices, emphasizing the need for clean water access, proper animal management, and improved sanitation infrastructure (Asfaram et al., 2019).</w:t>
      </w:r>
    </w:p>
    <w:p w14:paraId="3C8C1FF2" w14:textId="77777777" w:rsidR="00B60928" w:rsidRPr="003D32FA" w:rsidRDefault="00B60928"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As an emerging and controversial protozoan, the pathogenicity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—particularly its association with specific subtypes and potential zoonotic transmission—remains a topic of ongoing debate. Public health education and awareness campaigns, core elements of the World </w:t>
      </w:r>
      <w:r w:rsidRPr="003D32FA">
        <w:rPr>
          <w:rFonts w:ascii="Times New Roman" w:hAnsi="Times New Roman" w:cs="Times New Roman"/>
          <w:sz w:val="24"/>
          <w:szCs w:val="24"/>
        </w:rPr>
        <w:lastRenderedPageBreak/>
        <w:t xml:space="preserve">Health Organization’s primary health care strategies for intestinal parasite control, are currently insufficient in the Philippines, contributing to limited awareness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among both health professionals and the public (Belleza et al., 2016; Tasić et al., 2017). Furthermore, recent local studies have shown that dog ownership may be significantly associated with human infection, reinforcing the importance of integrating a One Health perspective into surveillance and prevention strategies (Belleza et al., 2016).</w:t>
      </w:r>
    </w:p>
    <w:p w14:paraId="66B263C0" w14:textId="77777777" w:rsidR="00B60928" w:rsidRPr="003D32FA" w:rsidRDefault="00B60928"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In terms of treatment, metronidazole is commonly used as the first-line therapy; however, its effectiveness is variable and may be influenced by the </w:t>
      </w:r>
      <w:r w:rsidRPr="003D32FA">
        <w:rPr>
          <w:rFonts w:ascii="Times New Roman" w:hAnsi="Times New Roman" w:cs="Times New Roman"/>
          <w:i/>
          <w:iCs/>
          <w:sz w:val="24"/>
          <w:szCs w:val="24"/>
        </w:rPr>
        <w:t>Blastocystis</w:t>
      </w:r>
      <w:r w:rsidRPr="003D32FA">
        <w:rPr>
          <w:rFonts w:ascii="Times New Roman" w:hAnsi="Times New Roman" w:cs="Times New Roman"/>
          <w:sz w:val="24"/>
          <w:szCs w:val="24"/>
        </w:rPr>
        <w:t xml:space="preserve"> subtype involved. Reports of treatment failure and possible resistance have prompted the use of alternative therapies such as trimethoprim–sulfamethoxazole and, in specific cases, paromomycin—particularly for infections with associated dermatologic manifestations (Tasić et al., 2017). Nevertheless, therapeutic outcomes remain inconsistent, and further clinical studies are needed to clarify the relationship between subtype variation and drug responsiveness.</w:t>
      </w:r>
    </w:p>
    <w:p w14:paraId="64A9989C" w14:textId="77777777" w:rsidR="00B60928" w:rsidRDefault="00B60928"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International initiatives such as the COST Action CA21105 "</w:t>
      </w:r>
      <w:r w:rsidRPr="00DE4410">
        <w:rPr>
          <w:rFonts w:ascii="Times New Roman" w:hAnsi="Times New Roman" w:cs="Times New Roman"/>
          <w:i/>
          <w:iCs/>
          <w:sz w:val="24"/>
          <w:szCs w:val="24"/>
        </w:rPr>
        <w:t>Blastocystis</w:t>
      </w:r>
      <w:r w:rsidRPr="003D32FA">
        <w:rPr>
          <w:rFonts w:ascii="Times New Roman" w:hAnsi="Times New Roman" w:cs="Times New Roman"/>
          <w:sz w:val="24"/>
          <w:szCs w:val="24"/>
        </w:rPr>
        <w:t xml:space="preserve"> under One Health" (OneHealthBlastocystis) aim to advance global understanding of this parasite by promoting standardized diagnostic approaches, multidisciplinary collaboration, and integrated research. These efforts unite professionals from human and veterinary medicine, environmental science, and public health to address the complexities of </w:t>
      </w:r>
      <w:r w:rsidRPr="003D32FA">
        <w:rPr>
          <w:rFonts w:ascii="Times New Roman" w:hAnsi="Times New Roman" w:cs="Times New Roman"/>
          <w:i/>
          <w:iCs/>
          <w:sz w:val="24"/>
          <w:szCs w:val="24"/>
        </w:rPr>
        <w:t>Blastocystis</w:t>
      </w:r>
      <w:r w:rsidRPr="003D32FA">
        <w:rPr>
          <w:rFonts w:ascii="Times New Roman" w:hAnsi="Times New Roman" w:cs="Times New Roman"/>
          <w:sz w:val="24"/>
          <w:szCs w:val="24"/>
        </w:rPr>
        <w:t xml:space="preserve"> epidemiology and pathogenesis (Tsaousis et al., 2024). Adopting similar frameworks in the Philippines would provide opportunities to strengthen local research, improve diagnostic capacity, and guide evidence-based public health interventions.</w:t>
      </w:r>
    </w:p>
    <w:p w14:paraId="417E7231" w14:textId="4AF242FD" w:rsidR="003027C0" w:rsidRPr="003D32FA" w:rsidRDefault="003027C0" w:rsidP="003027C0">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VII</w:t>
      </w:r>
      <w:r w:rsidRPr="003D32FA">
        <w:rPr>
          <w:rFonts w:ascii="Times New Roman" w:hAnsi="Times New Roman" w:cs="Times New Roman"/>
          <w:b/>
          <w:bCs/>
          <w:sz w:val="24"/>
          <w:szCs w:val="24"/>
          <w:lang w:val="en-US"/>
        </w:rPr>
        <w:t>. CONCLUSION</w:t>
      </w:r>
    </w:p>
    <w:p w14:paraId="2AEF9606" w14:textId="77777777" w:rsidR="003027C0" w:rsidRPr="003D32FA" w:rsidRDefault="003027C0" w:rsidP="003027C0">
      <w:pPr>
        <w:spacing w:line="480" w:lineRule="auto"/>
        <w:jc w:val="both"/>
        <w:rPr>
          <w:rFonts w:ascii="Times New Roman" w:hAnsi="Times New Roman" w:cs="Times New Roman"/>
          <w:sz w:val="24"/>
          <w:szCs w:val="24"/>
        </w:rPr>
      </w:pPr>
      <w:r w:rsidRPr="003D32FA">
        <w:rPr>
          <w:rFonts w:ascii="Times New Roman" w:hAnsi="Times New Roman" w:cs="Times New Roman"/>
          <w:sz w:val="24"/>
          <w:szCs w:val="24"/>
        </w:rPr>
        <w:lastRenderedPageBreak/>
        <w:tab/>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remains an underrecognized yet significant public health concern in the Philippines. Epidemiological studies have reported notably high prevalence rates among human populations in both urban and rural settings, as well as in specific vulnerable groups and various animal hosts. Its detection in humans, animals, and environmental sources suggests a potential for zoonotic transmission, warranting strengthened public health responses. In the Philippines, subtype ST3 is the most frequently identified among human isolates, mirroring global distribution patterns and supported by emerging evidence of its pathogenicity.</w:t>
      </w:r>
    </w:p>
    <w:p w14:paraId="445B1DF3" w14:textId="77777777" w:rsidR="003027C0" w:rsidRPr="003D32FA" w:rsidRDefault="003027C0" w:rsidP="003027C0">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Although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has been implicated in gastrointestinal disturbances—including chronic diarrhea and irritable bowel syndrome—particularly in immunocompromised individuals, its clinical relevance in the Philippines remains underappreciated. This is largely due to the continued reliance on low-sensitivity diagnostic tools such as conventional microscopy. While molecular methods like polymerase chain reaction (PCR) offer greater diagnostic accuracy, their application remains limited in local laboratories due to cost and infrastructure constraints. The absence of national surveillance systems and targeted control initiatives further reflects the parasite’s neglected status within the country’s public health agenda.</w:t>
      </w:r>
    </w:p>
    <w:p w14:paraId="7698CED6" w14:textId="77777777" w:rsidR="003027C0" w:rsidRPr="003D32FA" w:rsidRDefault="003027C0" w:rsidP="003027C0">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Despite the presence of published prevalence data, current epidemiological information remains geographically limited, with most studies concentrated in Luzon. This highlights the need for updated, large-scale nationwide surveys to determine the true burden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and to elucidate its transmission dynamics. Broader molecular epidemiological investigations involving diverse populations—particularly high-risk and immunocompromised groups—are essential to better understand the pathogenic potential of different subtypes.</w:t>
      </w:r>
    </w:p>
    <w:p w14:paraId="5F43E698" w14:textId="77777777" w:rsidR="003027C0" w:rsidRPr="003D32FA" w:rsidRDefault="003027C0" w:rsidP="003027C0">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Addressing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infection in the Philippines requires a multifaceted strategy. Strengthening Water, Sanitation, and Hygiene (WASH) interventions, enhancing public awareness through health education, and expanding diagnostic capabilities—especially for molecular </w:t>
      </w:r>
      <w:r w:rsidRPr="003D32FA">
        <w:rPr>
          <w:rFonts w:ascii="Times New Roman" w:hAnsi="Times New Roman" w:cs="Times New Roman"/>
          <w:sz w:val="24"/>
          <w:szCs w:val="24"/>
        </w:rPr>
        <w:lastRenderedPageBreak/>
        <w:t xml:space="preserve">detection—are critical steps. Incorporating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into national parasite surveillance and control programs is also imperative. Ultimately, a more comprehensive understanding of the parasite’s pathogenesis and transmission ecology will inform effective control measures and reduce its health impact, thereby improving the well-being of affected populations.</w:t>
      </w:r>
    </w:p>
    <w:p w14:paraId="46B5153A" w14:textId="4B00C1B8" w:rsidR="000478E0" w:rsidRPr="003027C0" w:rsidRDefault="00D0089F" w:rsidP="003D32FA">
      <w:pPr>
        <w:spacing w:line="480" w:lineRule="auto"/>
        <w:jc w:val="both"/>
        <w:rPr>
          <w:rFonts w:ascii="Times New Roman" w:hAnsi="Times New Roman" w:cs="Times New Roman"/>
          <w:b/>
          <w:bCs/>
          <w:sz w:val="24"/>
          <w:szCs w:val="24"/>
          <w:lang w:val="en-US"/>
        </w:rPr>
      </w:pPr>
      <w:r w:rsidRPr="003027C0">
        <w:rPr>
          <w:rFonts w:ascii="Times New Roman" w:hAnsi="Times New Roman" w:cs="Times New Roman"/>
          <w:b/>
          <w:bCs/>
          <w:sz w:val="24"/>
          <w:szCs w:val="24"/>
          <w:lang w:val="en-US"/>
        </w:rPr>
        <w:t>V</w:t>
      </w:r>
      <w:r w:rsidR="003027C0">
        <w:rPr>
          <w:rFonts w:ascii="Times New Roman" w:hAnsi="Times New Roman" w:cs="Times New Roman"/>
          <w:b/>
          <w:bCs/>
          <w:sz w:val="24"/>
          <w:szCs w:val="24"/>
          <w:lang w:val="en-US"/>
        </w:rPr>
        <w:t>I</w:t>
      </w:r>
      <w:r w:rsidRPr="003027C0">
        <w:rPr>
          <w:rFonts w:ascii="Times New Roman" w:hAnsi="Times New Roman" w:cs="Times New Roman"/>
          <w:b/>
          <w:bCs/>
          <w:sz w:val="24"/>
          <w:szCs w:val="24"/>
          <w:lang w:val="en-US"/>
        </w:rPr>
        <w:t>II</w:t>
      </w:r>
      <w:r w:rsidR="000478E0" w:rsidRPr="003027C0">
        <w:rPr>
          <w:rFonts w:ascii="Times New Roman" w:hAnsi="Times New Roman" w:cs="Times New Roman"/>
          <w:b/>
          <w:bCs/>
          <w:sz w:val="24"/>
          <w:szCs w:val="24"/>
          <w:lang w:val="en-US"/>
        </w:rPr>
        <w:t>. RESEARCH GAPS AND FUTURE DIRECTIONS</w:t>
      </w:r>
    </w:p>
    <w:p w14:paraId="52B64A4D" w14:textId="68D85A62" w:rsidR="001A3ED5" w:rsidRPr="001A3ED5" w:rsidRDefault="001A3ED5" w:rsidP="001A3ED5">
      <w:pPr>
        <w:spacing w:line="480" w:lineRule="auto"/>
        <w:ind w:firstLine="720"/>
        <w:jc w:val="both"/>
        <w:rPr>
          <w:rFonts w:ascii="Times New Roman" w:hAnsi="Times New Roman" w:cs="Times New Roman"/>
          <w:sz w:val="24"/>
          <w:szCs w:val="24"/>
        </w:rPr>
      </w:pPr>
      <w:r w:rsidRPr="001A3ED5">
        <w:rPr>
          <w:rFonts w:ascii="Times New Roman" w:hAnsi="Times New Roman" w:cs="Times New Roman"/>
          <w:sz w:val="24"/>
          <w:szCs w:val="24"/>
        </w:rPr>
        <w:t xml:space="preserve">Despite growing recognition of its global distribution, </w:t>
      </w:r>
      <w:r w:rsidRPr="001A3ED5">
        <w:rPr>
          <w:rFonts w:ascii="Times New Roman" w:hAnsi="Times New Roman" w:cs="Times New Roman"/>
          <w:i/>
          <w:iCs/>
          <w:sz w:val="24"/>
          <w:szCs w:val="24"/>
        </w:rPr>
        <w:t>B</w:t>
      </w:r>
      <w:r w:rsidR="00DE4410">
        <w:rPr>
          <w:rFonts w:ascii="Times New Roman" w:hAnsi="Times New Roman" w:cs="Times New Roman"/>
          <w:i/>
          <w:iCs/>
          <w:sz w:val="24"/>
          <w:szCs w:val="24"/>
        </w:rPr>
        <w:t>.</w:t>
      </w:r>
      <w:r w:rsidRPr="001A3ED5">
        <w:rPr>
          <w:rFonts w:ascii="Times New Roman" w:hAnsi="Times New Roman" w:cs="Times New Roman"/>
          <w:i/>
          <w:iCs/>
          <w:sz w:val="24"/>
          <w:szCs w:val="24"/>
        </w:rPr>
        <w:t xml:space="preserve"> hominis</w:t>
      </w:r>
      <w:r w:rsidRPr="001A3ED5">
        <w:rPr>
          <w:rFonts w:ascii="Times New Roman" w:hAnsi="Times New Roman" w:cs="Times New Roman"/>
          <w:sz w:val="24"/>
          <w:szCs w:val="24"/>
        </w:rPr>
        <w:t xml:space="preserve"> remains a neglected intestinal protist in the Philippines. Although some regional data exist, the majority of prevalence studies are geographically restricted to Luzon, resulting in a lack of nationwide epidemiological insight. Environmental surveillance is also limited, despite reports showing that </w:t>
      </w:r>
      <w:r w:rsidRPr="001A3ED5">
        <w:rPr>
          <w:rFonts w:ascii="Times New Roman" w:hAnsi="Times New Roman" w:cs="Times New Roman"/>
          <w:i/>
          <w:iCs/>
          <w:sz w:val="24"/>
          <w:szCs w:val="24"/>
        </w:rPr>
        <w:t>Blastocystis</w:t>
      </w:r>
      <w:r w:rsidRPr="001A3ED5">
        <w:rPr>
          <w:rFonts w:ascii="Times New Roman" w:hAnsi="Times New Roman" w:cs="Times New Roman"/>
          <w:sz w:val="24"/>
          <w:szCs w:val="24"/>
        </w:rPr>
        <w:t xml:space="preserve"> cysts can survive various wastewater treatment processes in Philippine settings (Banaticla &amp; Rivera, 2011). These findings highlight the organism’s environmental resilience and its potential to persist as a source of infection.</w:t>
      </w:r>
    </w:p>
    <w:p w14:paraId="364D56E5" w14:textId="409F235D" w:rsidR="001A3ED5" w:rsidRPr="001A3ED5" w:rsidRDefault="001A3ED5" w:rsidP="001A3ED5">
      <w:pPr>
        <w:spacing w:line="480" w:lineRule="auto"/>
        <w:ind w:firstLine="720"/>
        <w:jc w:val="both"/>
        <w:rPr>
          <w:rFonts w:ascii="Times New Roman" w:hAnsi="Times New Roman" w:cs="Times New Roman"/>
          <w:sz w:val="24"/>
          <w:szCs w:val="24"/>
        </w:rPr>
      </w:pPr>
      <w:r w:rsidRPr="001A3ED5">
        <w:rPr>
          <w:rFonts w:ascii="Times New Roman" w:hAnsi="Times New Roman" w:cs="Times New Roman"/>
          <w:sz w:val="24"/>
          <w:szCs w:val="24"/>
        </w:rPr>
        <w:t xml:space="preserve">This neglect parallels similar challenges observed in the surveillance of other protozoan parasites such as </w:t>
      </w:r>
      <w:r w:rsidRPr="001A3ED5">
        <w:rPr>
          <w:rFonts w:ascii="Times New Roman" w:hAnsi="Times New Roman" w:cs="Times New Roman"/>
          <w:i/>
          <w:iCs/>
          <w:sz w:val="24"/>
          <w:szCs w:val="24"/>
        </w:rPr>
        <w:t>E</w:t>
      </w:r>
      <w:r w:rsidR="00647091">
        <w:rPr>
          <w:rFonts w:ascii="Times New Roman" w:hAnsi="Times New Roman" w:cs="Times New Roman"/>
          <w:i/>
          <w:iCs/>
          <w:sz w:val="24"/>
          <w:szCs w:val="24"/>
        </w:rPr>
        <w:t>.</w:t>
      </w:r>
      <w:r w:rsidRPr="001A3ED5">
        <w:rPr>
          <w:rFonts w:ascii="Times New Roman" w:hAnsi="Times New Roman" w:cs="Times New Roman"/>
          <w:i/>
          <w:iCs/>
          <w:sz w:val="24"/>
          <w:szCs w:val="24"/>
        </w:rPr>
        <w:t xml:space="preserve"> histolytica</w:t>
      </w:r>
      <w:r w:rsidRPr="001A3ED5">
        <w:rPr>
          <w:rFonts w:ascii="Times New Roman" w:hAnsi="Times New Roman" w:cs="Times New Roman"/>
          <w:sz w:val="24"/>
          <w:szCs w:val="24"/>
        </w:rPr>
        <w:t xml:space="preserve"> </w:t>
      </w:r>
      <w:r>
        <w:rPr>
          <w:rFonts w:ascii="Times New Roman" w:hAnsi="Times New Roman" w:cs="Times New Roman"/>
          <w:sz w:val="24"/>
          <w:szCs w:val="24"/>
        </w:rPr>
        <w:t>(Beup et al</w:t>
      </w:r>
      <w:r w:rsidRPr="00DE4410">
        <w:rPr>
          <w:rFonts w:ascii="Times New Roman" w:hAnsi="Times New Roman" w:cs="Times New Roman"/>
          <w:color w:val="EE0000"/>
          <w:sz w:val="24"/>
          <w:szCs w:val="24"/>
        </w:rPr>
        <w:t>.</w:t>
      </w:r>
      <w:r w:rsidR="00DE4410" w:rsidRPr="00DE4410">
        <w:rPr>
          <w:rFonts w:ascii="Times New Roman" w:hAnsi="Times New Roman" w:cs="Times New Roman"/>
          <w:color w:val="EE0000"/>
          <w:sz w:val="24"/>
          <w:szCs w:val="24"/>
        </w:rPr>
        <w:t>,</w:t>
      </w:r>
      <w:r w:rsidRPr="00DE4410">
        <w:rPr>
          <w:rFonts w:ascii="Times New Roman" w:hAnsi="Times New Roman" w:cs="Times New Roman"/>
          <w:color w:val="EE0000"/>
          <w:sz w:val="24"/>
          <w:szCs w:val="24"/>
        </w:rPr>
        <w:t xml:space="preserve"> </w:t>
      </w:r>
      <w:r>
        <w:rPr>
          <w:rFonts w:ascii="Times New Roman" w:hAnsi="Times New Roman" w:cs="Times New Roman"/>
          <w:sz w:val="24"/>
          <w:szCs w:val="24"/>
        </w:rPr>
        <w:t xml:space="preserve">2024) </w:t>
      </w:r>
      <w:r w:rsidRPr="001A3ED5">
        <w:rPr>
          <w:rFonts w:ascii="Times New Roman" w:hAnsi="Times New Roman" w:cs="Times New Roman"/>
          <w:sz w:val="24"/>
          <w:szCs w:val="24"/>
        </w:rPr>
        <w:t xml:space="preserve">and </w:t>
      </w:r>
      <w:r w:rsidRPr="001A3ED5">
        <w:rPr>
          <w:rFonts w:ascii="Times New Roman" w:hAnsi="Times New Roman" w:cs="Times New Roman"/>
          <w:i/>
          <w:iCs/>
          <w:sz w:val="24"/>
          <w:szCs w:val="24"/>
        </w:rPr>
        <w:t>G</w:t>
      </w:r>
      <w:r w:rsidR="00647091">
        <w:rPr>
          <w:rFonts w:ascii="Times New Roman" w:hAnsi="Times New Roman" w:cs="Times New Roman"/>
          <w:i/>
          <w:iCs/>
          <w:sz w:val="24"/>
          <w:szCs w:val="24"/>
        </w:rPr>
        <w:t>.</w:t>
      </w:r>
      <w:r w:rsidRPr="001A3ED5">
        <w:rPr>
          <w:rFonts w:ascii="Times New Roman" w:hAnsi="Times New Roman" w:cs="Times New Roman"/>
          <w:i/>
          <w:iCs/>
          <w:sz w:val="24"/>
          <w:szCs w:val="24"/>
        </w:rPr>
        <w:t xml:space="preserve"> duodenalis</w:t>
      </w:r>
      <w:r>
        <w:rPr>
          <w:rFonts w:ascii="Times New Roman" w:hAnsi="Times New Roman" w:cs="Times New Roman"/>
          <w:i/>
          <w:iCs/>
          <w:sz w:val="24"/>
          <w:szCs w:val="24"/>
        </w:rPr>
        <w:t xml:space="preserve"> </w:t>
      </w:r>
      <w:r>
        <w:rPr>
          <w:rFonts w:ascii="Times New Roman" w:hAnsi="Times New Roman" w:cs="Times New Roman"/>
          <w:sz w:val="24"/>
          <w:szCs w:val="24"/>
        </w:rPr>
        <w:t>(Quidato et al</w:t>
      </w:r>
      <w:r w:rsidRPr="00DE4410">
        <w:rPr>
          <w:rFonts w:ascii="Times New Roman" w:hAnsi="Times New Roman" w:cs="Times New Roman"/>
          <w:color w:val="EE0000"/>
          <w:sz w:val="24"/>
          <w:szCs w:val="24"/>
        </w:rPr>
        <w:t>.</w:t>
      </w:r>
      <w:r w:rsidR="00DE4410" w:rsidRPr="00DE4410">
        <w:rPr>
          <w:rFonts w:ascii="Times New Roman" w:hAnsi="Times New Roman" w:cs="Times New Roman"/>
          <w:color w:val="EE0000"/>
          <w:sz w:val="24"/>
          <w:szCs w:val="24"/>
        </w:rPr>
        <w:t>,</w:t>
      </w:r>
      <w:r>
        <w:rPr>
          <w:rFonts w:ascii="Times New Roman" w:hAnsi="Times New Roman" w:cs="Times New Roman"/>
          <w:sz w:val="24"/>
          <w:szCs w:val="24"/>
        </w:rPr>
        <w:t xml:space="preserve"> 2025)</w:t>
      </w:r>
      <w:r w:rsidRPr="001A3ED5">
        <w:rPr>
          <w:rFonts w:ascii="Times New Roman" w:hAnsi="Times New Roman" w:cs="Times New Roman"/>
          <w:sz w:val="24"/>
          <w:szCs w:val="24"/>
        </w:rPr>
        <w:t xml:space="preserve">, both of which are also underreported in rural and low-resource communities. Despite being established causes of gastrointestinal disease, accurate data on their distribution remain scarce in the Philippines. Like </w:t>
      </w:r>
      <w:r w:rsidRPr="001A3ED5">
        <w:rPr>
          <w:rFonts w:ascii="Times New Roman" w:hAnsi="Times New Roman" w:cs="Times New Roman"/>
          <w:i/>
          <w:iCs/>
          <w:sz w:val="24"/>
          <w:szCs w:val="24"/>
        </w:rPr>
        <w:t>B. hominis</w:t>
      </w:r>
      <w:r w:rsidRPr="001A3ED5">
        <w:rPr>
          <w:rFonts w:ascii="Times New Roman" w:hAnsi="Times New Roman" w:cs="Times New Roman"/>
          <w:sz w:val="24"/>
          <w:szCs w:val="24"/>
        </w:rPr>
        <w:t>, these protozoa are primarily detected through conventional microscopy, which has known limitations in sensitivity and specificity. Without the routine use of molecular diagnostics, coinfections and misidentification among these parasites are common, further complicating public health responses.</w:t>
      </w:r>
    </w:p>
    <w:p w14:paraId="500B70BF" w14:textId="77777777" w:rsidR="001A3ED5" w:rsidRPr="001A3ED5" w:rsidRDefault="001A3ED5" w:rsidP="001A3ED5">
      <w:pPr>
        <w:spacing w:line="480" w:lineRule="auto"/>
        <w:ind w:firstLine="720"/>
        <w:jc w:val="both"/>
        <w:rPr>
          <w:rFonts w:ascii="Times New Roman" w:hAnsi="Times New Roman" w:cs="Times New Roman"/>
          <w:sz w:val="24"/>
          <w:szCs w:val="24"/>
        </w:rPr>
      </w:pPr>
      <w:r w:rsidRPr="001A3ED5">
        <w:rPr>
          <w:rFonts w:ascii="Times New Roman" w:hAnsi="Times New Roman" w:cs="Times New Roman"/>
          <w:sz w:val="24"/>
          <w:szCs w:val="24"/>
        </w:rPr>
        <w:t xml:space="preserve">International studies, such as those by Fusaro et al. (2024), emphasize the necessity of molecular data to accurately characterize </w:t>
      </w:r>
      <w:r w:rsidRPr="001A3ED5">
        <w:rPr>
          <w:rFonts w:ascii="Times New Roman" w:hAnsi="Times New Roman" w:cs="Times New Roman"/>
          <w:i/>
          <w:iCs/>
          <w:sz w:val="24"/>
          <w:szCs w:val="24"/>
        </w:rPr>
        <w:t>Blastocystis</w:t>
      </w:r>
      <w:r w:rsidRPr="001A3ED5">
        <w:rPr>
          <w:rFonts w:ascii="Times New Roman" w:hAnsi="Times New Roman" w:cs="Times New Roman"/>
          <w:sz w:val="24"/>
          <w:szCs w:val="24"/>
        </w:rPr>
        <w:t xml:space="preserve"> subtype (ST) diversity and geographic spread. In the Philippines, only a handful of molecular subtyping efforts have been conducted, </w:t>
      </w:r>
      <w:r w:rsidRPr="001A3ED5">
        <w:rPr>
          <w:rFonts w:ascii="Times New Roman" w:hAnsi="Times New Roman" w:cs="Times New Roman"/>
          <w:sz w:val="24"/>
          <w:szCs w:val="24"/>
        </w:rPr>
        <w:lastRenderedPageBreak/>
        <w:t>with ST3 emerging as the predominant subtype in human isolates—consistent with global trends. Adao et al. (2016) recommended larger, more inclusive surveys to uncover additional circulating STs and to establish clearer associations between subtype distribution and clinical symptoms.</w:t>
      </w:r>
    </w:p>
    <w:p w14:paraId="61F13C41" w14:textId="25017A9E" w:rsidR="001A3ED5" w:rsidRPr="001A3ED5" w:rsidRDefault="001A3ED5" w:rsidP="001A3ED5">
      <w:pPr>
        <w:spacing w:line="480" w:lineRule="auto"/>
        <w:ind w:firstLine="720"/>
        <w:jc w:val="both"/>
        <w:rPr>
          <w:rFonts w:ascii="Times New Roman" w:hAnsi="Times New Roman" w:cs="Times New Roman"/>
          <w:sz w:val="24"/>
          <w:szCs w:val="24"/>
        </w:rPr>
      </w:pPr>
      <w:r w:rsidRPr="001A3ED5">
        <w:rPr>
          <w:rFonts w:ascii="Times New Roman" w:hAnsi="Times New Roman" w:cs="Times New Roman"/>
          <w:sz w:val="24"/>
          <w:szCs w:val="24"/>
        </w:rPr>
        <w:t xml:space="preserve">Notably, </w:t>
      </w:r>
      <w:r w:rsidRPr="001A3ED5">
        <w:rPr>
          <w:rFonts w:ascii="Times New Roman" w:hAnsi="Times New Roman" w:cs="Times New Roman"/>
          <w:i/>
          <w:iCs/>
          <w:sz w:val="24"/>
          <w:szCs w:val="24"/>
        </w:rPr>
        <w:t>B. hominis</w:t>
      </w:r>
      <w:r w:rsidRPr="001A3ED5">
        <w:rPr>
          <w:rFonts w:ascii="Times New Roman" w:hAnsi="Times New Roman" w:cs="Times New Roman"/>
          <w:sz w:val="24"/>
          <w:szCs w:val="24"/>
        </w:rPr>
        <w:t xml:space="preserve"> has been linked to adverse outcomes in vulnerable populations. In developing countries, chronic asymptomatic infections have been associated with childhood stunting, while immunocompromised individuals—including those with HIV, cancer, or advanced age—are at higher risk for symptomatic disease (Wahid et al., 2023). However, in the Philippine context, the correlation between </w:t>
      </w:r>
      <w:r w:rsidRPr="001A3ED5">
        <w:rPr>
          <w:rFonts w:ascii="Times New Roman" w:hAnsi="Times New Roman" w:cs="Times New Roman"/>
          <w:i/>
          <w:iCs/>
          <w:sz w:val="24"/>
          <w:szCs w:val="24"/>
        </w:rPr>
        <w:t>Blastocystis</w:t>
      </w:r>
      <w:r w:rsidRPr="001A3ED5">
        <w:rPr>
          <w:rFonts w:ascii="Times New Roman" w:hAnsi="Times New Roman" w:cs="Times New Roman"/>
          <w:sz w:val="24"/>
          <w:szCs w:val="24"/>
        </w:rPr>
        <w:t xml:space="preserve"> infection and disease remains underexplored, especially in rural areas where environmental exposures and poor sanitation are common. Belleza et al. (2015) initiated one of the few urban studies, but rural prevalence and clinical associations remain poorly documented.</w:t>
      </w:r>
    </w:p>
    <w:p w14:paraId="7EA186E4" w14:textId="77777777" w:rsidR="001A3ED5" w:rsidRPr="001A3ED5" w:rsidRDefault="001A3ED5" w:rsidP="001A3ED5">
      <w:pPr>
        <w:spacing w:line="480" w:lineRule="auto"/>
        <w:ind w:firstLine="720"/>
        <w:jc w:val="both"/>
        <w:rPr>
          <w:rFonts w:ascii="Times New Roman" w:hAnsi="Times New Roman" w:cs="Times New Roman"/>
          <w:sz w:val="24"/>
          <w:szCs w:val="24"/>
        </w:rPr>
      </w:pPr>
      <w:r w:rsidRPr="001A3ED5">
        <w:rPr>
          <w:rFonts w:ascii="Times New Roman" w:hAnsi="Times New Roman" w:cs="Times New Roman"/>
          <w:sz w:val="24"/>
          <w:szCs w:val="24"/>
        </w:rPr>
        <w:t>A major barrier to progress is the lack of cost-effective and sensitive diagnostic tools available in most Philippine laboratories. Microscopy remains the primary method of detection despite its limitations. While PCR and other molecular tools, such as high-resolution melting (HRM) and PCR-restriction fragment length polymorphism (PCR-RFLP), have proven effective in subtyping and prevalence studies (Salehi Sangani et al., 2025; Srichaipon et al., 2019), their use is largely confined to research institutions. Studies exploring the feasibility of implementing these techniques in resource-limited settings like the Philippines are urgently needed.</w:t>
      </w:r>
    </w:p>
    <w:p w14:paraId="15C0CDA5" w14:textId="78DBCF2F" w:rsidR="001A3ED5" w:rsidRPr="001A3ED5" w:rsidRDefault="001A3ED5" w:rsidP="001A3ED5">
      <w:pPr>
        <w:spacing w:line="480" w:lineRule="auto"/>
        <w:ind w:firstLine="720"/>
        <w:jc w:val="both"/>
        <w:rPr>
          <w:rFonts w:ascii="Times New Roman" w:hAnsi="Times New Roman" w:cs="Times New Roman"/>
          <w:sz w:val="24"/>
          <w:szCs w:val="24"/>
        </w:rPr>
      </w:pPr>
      <w:r w:rsidRPr="001A3ED5">
        <w:rPr>
          <w:rFonts w:ascii="Times New Roman" w:hAnsi="Times New Roman" w:cs="Times New Roman"/>
          <w:sz w:val="24"/>
          <w:szCs w:val="24"/>
        </w:rPr>
        <w:t xml:space="preserve">Given its potential zoonotic transmission, </w:t>
      </w:r>
      <w:r w:rsidRPr="001A3ED5">
        <w:rPr>
          <w:rFonts w:ascii="Times New Roman" w:hAnsi="Times New Roman" w:cs="Times New Roman"/>
          <w:i/>
          <w:iCs/>
          <w:sz w:val="24"/>
          <w:szCs w:val="24"/>
        </w:rPr>
        <w:t>B. hominis</w:t>
      </w:r>
      <w:r w:rsidRPr="001A3ED5">
        <w:rPr>
          <w:rFonts w:ascii="Times New Roman" w:hAnsi="Times New Roman" w:cs="Times New Roman"/>
          <w:sz w:val="24"/>
          <w:szCs w:val="24"/>
        </w:rPr>
        <w:t xml:space="preserve"> requires integration into One Health-based surveillance frameworks. Animal carriers—including swine, poultry, dogs, and non-human primates—may contribute to its environmental dissemination, emphasizing the need for cross-sectoral collaboration. </w:t>
      </w:r>
      <w:r w:rsidR="002A3AA7" w:rsidRPr="002A3AA7">
        <w:rPr>
          <w:rFonts w:ascii="Times New Roman" w:hAnsi="Times New Roman" w:cs="Times New Roman"/>
          <w:color w:val="EE0000"/>
          <w:sz w:val="24"/>
          <w:szCs w:val="24"/>
        </w:rPr>
        <w:t>A One Health approach is crucial, as it recognizes the interconnectedness of human, animal, and environmental health, and supports coordinated strategies to monitor and reduce transmission risk across species.</w:t>
      </w:r>
      <w:r w:rsidR="002A3AA7" w:rsidRPr="002A3AA7">
        <w:rPr>
          <w:rFonts w:ascii="Times New Roman" w:hAnsi="Times New Roman" w:cs="Times New Roman"/>
          <w:sz w:val="24"/>
          <w:szCs w:val="24"/>
        </w:rPr>
        <w:t xml:space="preserve"> </w:t>
      </w:r>
      <w:r w:rsidRPr="001A3ED5">
        <w:rPr>
          <w:rFonts w:ascii="Times New Roman" w:hAnsi="Times New Roman" w:cs="Times New Roman"/>
          <w:sz w:val="24"/>
          <w:szCs w:val="24"/>
        </w:rPr>
        <w:t xml:space="preserve">Effective control strategies should incorporate </w:t>
      </w:r>
      <w:r w:rsidRPr="001A3ED5">
        <w:rPr>
          <w:rFonts w:ascii="Times New Roman" w:hAnsi="Times New Roman" w:cs="Times New Roman"/>
          <w:sz w:val="24"/>
          <w:szCs w:val="24"/>
        </w:rPr>
        <w:lastRenderedPageBreak/>
        <w:t>epidemiological, parasitological, molecular, and zoological approaches (Belleza et al., 2016). Transmission studies must also include symptomatic individuals to better define associations between subtypes and disease severity.</w:t>
      </w:r>
    </w:p>
    <w:p w14:paraId="209DED50" w14:textId="77777777" w:rsidR="001A3ED5" w:rsidRPr="001A3ED5" w:rsidRDefault="001A3ED5" w:rsidP="001A3ED5">
      <w:pPr>
        <w:spacing w:line="480" w:lineRule="auto"/>
        <w:ind w:firstLine="720"/>
        <w:jc w:val="both"/>
        <w:rPr>
          <w:rFonts w:ascii="Times New Roman" w:hAnsi="Times New Roman" w:cs="Times New Roman"/>
          <w:sz w:val="24"/>
          <w:szCs w:val="24"/>
        </w:rPr>
      </w:pPr>
      <w:r w:rsidRPr="001A3ED5">
        <w:rPr>
          <w:rFonts w:ascii="Times New Roman" w:hAnsi="Times New Roman" w:cs="Times New Roman"/>
          <w:sz w:val="24"/>
          <w:szCs w:val="24"/>
        </w:rPr>
        <w:t xml:space="preserve">Despite its apparent clinical and public health importance, </w:t>
      </w:r>
      <w:r w:rsidRPr="001A3ED5">
        <w:rPr>
          <w:rFonts w:ascii="Times New Roman" w:hAnsi="Times New Roman" w:cs="Times New Roman"/>
          <w:i/>
          <w:iCs/>
          <w:sz w:val="24"/>
          <w:szCs w:val="24"/>
        </w:rPr>
        <w:t>B. hominis</w:t>
      </w:r>
      <w:r w:rsidRPr="001A3ED5">
        <w:rPr>
          <w:rFonts w:ascii="Times New Roman" w:hAnsi="Times New Roman" w:cs="Times New Roman"/>
          <w:sz w:val="24"/>
          <w:szCs w:val="24"/>
        </w:rPr>
        <w:t xml:space="preserve"> has not been integrated into national parasite surveillance or control programs. The Philippine public health system continues to focus on helminthic infections, neglecting intestinal protozoa despite their burden. Similar patterns are observed for </w:t>
      </w:r>
      <w:r w:rsidRPr="001A3ED5">
        <w:rPr>
          <w:rFonts w:ascii="Times New Roman" w:hAnsi="Times New Roman" w:cs="Times New Roman"/>
          <w:i/>
          <w:iCs/>
          <w:sz w:val="24"/>
          <w:szCs w:val="24"/>
        </w:rPr>
        <w:t>E. histolytica</w:t>
      </w:r>
      <w:r w:rsidRPr="001A3ED5">
        <w:rPr>
          <w:rFonts w:ascii="Times New Roman" w:hAnsi="Times New Roman" w:cs="Times New Roman"/>
          <w:sz w:val="24"/>
          <w:szCs w:val="24"/>
        </w:rPr>
        <w:t xml:space="preserve"> and </w:t>
      </w:r>
      <w:r w:rsidRPr="001A3ED5">
        <w:rPr>
          <w:rFonts w:ascii="Times New Roman" w:hAnsi="Times New Roman" w:cs="Times New Roman"/>
          <w:i/>
          <w:iCs/>
          <w:sz w:val="24"/>
          <w:szCs w:val="24"/>
        </w:rPr>
        <w:t>G. duodenalis</w:t>
      </w:r>
      <w:r w:rsidRPr="001A3ED5">
        <w:rPr>
          <w:rFonts w:ascii="Times New Roman" w:hAnsi="Times New Roman" w:cs="Times New Roman"/>
          <w:sz w:val="24"/>
          <w:szCs w:val="24"/>
        </w:rPr>
        <w:t>, which also suffer from limited surveillance coverage and diagnostic underreporting.</w:t>
      </w:r>
    </w:p>
    <w:p w14:paraId="65A5DCA5" w14:textId="2182DC9D" w:rsidR="001A3ED5" w:rsidRDefault="001A3ED5" w:rsidP="001A3ED5">
      <w:pPr>
        <w:spacing w:line="480" w:lineRule="auto"/>
        <w:ind w:firstLine="720"/>
        <w:jc w:val="both"/>
        <w:rPr>
          <w:rFonts w:ascii="Times New Roman" w:hAnsi="Times New Roman" w:cs="Times New Roman"/>
          <w:sz w:val="24"/>
          <w:szCs w:val="24"/>
        </w:rPr>
      </w:pPr>
      <w:r w:rsidRPr="001A3ED5">
        <w:rPr>
          <w:rFonts w:ascii="Times New Roman" w:hAnsi="Times New Roman" w:cs="Times New Roman"/>
          <w:sz w:val="24"/>
          <w:szCs w:val="24"/>
        </w:rPr>
        <w:t xml:space="preserve">Efforts such as the </w:t>
      </w:r>
      <w:r w:rsidRPr="001A3ED5">
        <w:rPr>
          <w:rFonts w:ascii="Times New Roman" w:hAnsi="Times New Roman" w:cs="Times New Roman"/>
          <w:i/>
          <w:iCs/>
          <w:sz w:val="24"/>
          <w:szCs w:val="24"/>
        </w:rPr>
        <w:t>Blastocystis under One Health</w:t>
      </w:r>
      <w:r w:rsidRPr="001A3ED5">
        <w:rPr>
          <w:rFonts w:ascii="Times New Roman" w:hAnsi="Times New Roman" w:cs="Times New Roman"/>
          <w:sz w:val="24"/>
          <w:szCs w:val="24"/>
        </w:rPr>
        <w:t xml:space="preserve"> initiative (COST Action CA21105) offer a valuable model for developing countries. This international collaborative framework promotes harmonized diagnostics, interdisciplinary research, and improved understanding of </w:t>
      </w:r>
      <w:r w:rsidRPr="001A3ED5">
        <w:rPr>
          <w:rFonts w:ascii="Times New Roman" w:hAnsi="Times New Roman" w:cs="Times New Roman"/>
          <w:i/>
          <w:iCs/>
          <w:sz w:val="24"/>
          <w:szCs w:val="24"/>
        </w:rPr>
        <w:t>Blastocystis</w:t>
      </w:r>
      <w:r w:rsidRPr="001A3ED5">
        <w:rPr>
          <w:rFonts w:ascii="Times New Roman" w:hAnsi="Times New Roman" w:cs="Times New Roman"/>
          <w:sz w:val="24"/>
          <w:szCs w:val="24"/>
        </w:rPr>
        <w:t xml:space="preserve"> transmission and pathogenesis (Tsaousis et al., 2024). Integrating such initiatives into national health strategies could fill knowledge gaps and improve parasite control in the Philippines and beyond.</w:t>
      </w:r>
    </w:p>
    <w:p w14:paraId="0A92FE48" w14:textId="214AC474" w:rsidR="00B344E4" w:rsidRPr="00E26840" w:rsidRDefault="003E3224" w:rsidP="003E3224">
      <w:pPr>
        <w:spacing w:line="480" w:lineRule="auto"/>
        <w:rPr>
          <w:rFonts w:ascii="Times New Roman" w:hAnsi="Times New Roman" w:cs="Times New Roman"/>
          <w:b/>
          <w:bCs/>
          <w:color w:val="EE0000"/>
          <w:sz w:val="24"/>
          <w:szCs w:val="24"/>
        </w:rPr>
      </w:pPr>
      <w:r w:rsidRPr="00E26840">
        <w:rPr>
          <w:rFonts w:ascii="Times New Roman" w:hAnsi="Times New Roman" w:cs="Times New Roman"/>
          <w:b/>
          <w:bCs/>
          <w:color w:val="EE0000"/>
          <w:sz w:val="24"/>
          <w:szCs w:val="24"/>
        </w:rPr>
        <w:t>DISCLAIMER (ARTIFICIAL INTELLIGENCE)</w:t>
      </w:r>
    </w:p>
    <w:p w14:paraId="46081A0E" w14:textId="421A0920" w:rsidR="00B344E4" w:rsidRPr="00E26840" w:rsidRDefault="00B344E4" w:rsidP="003E3224">
      <w:pPr>
        <w:spacing w:line="480" w:lineRule="auto"/>
        <w:jc w:val="both"/>
        <w:rPr>
          <w:rFonts w:ascii="Times New Roman" w:hAnsi="Times New Roman" w:cs="Times New Roman"/>
          <w:color w:val="EE0000"/>
          <w:sz w:val="24"/>
          <w:szCs w:val="24"/>
        </w:rPr>
      </w:pPr>
      <w:r w:rsidRPr="00E26840">
        <w:rPr>
          <w:rFonts w:ascii="Times New Roman" w:hAnsi="Times New Roman" w:cs="Times New Roman"/>
          <w:color w:val="EE0000"/>
          <w:sz w:val="24"/>
          <w:szCs w:val="24"/>
        </w:rPr>
        <w:t>Author</w:t>
      </w:r>
      <w:r w:rsidR="003E3224">
        <w:rPr>
          <w:rFonts w:ascii="Times New Roman" w:hAnsi="Times New Roman" w:cs="Times New Roman"/>
          <w:color w:val="EE0000"/>
          <w:sz w:val="24"/>
          <w:szCs w:val="24"/>
        </w:rPr>
        <w:t>s</w:t>
      </w:r>
      <w:r w:rsidRPr="00E26840">
        <w:rPr>
          <w:rFonts w:ascii="Times New Roman" w:hAnsi="Times New Roman" w:cs="Times New Roman"/>
          <w:color w:val="EE0000"/>
          <w:sz w:val="24"/>
          <w:szCs w:val="24"/>
        </w:rPr>
        <w:t xml:space="preserve"> hereby declare that NO generative AI technologies such as Large Language Models (ChatGPT, COPILOT, etc.) and text-to-image generators have been used during the writing or editing of this manuscript. </w:t>
      </w:r>
    </w:p>
    <w:p w14:paraId="01422A73" w14:textId="6A386B20" w:rsidR="003E3224" w:rsidRPr="00D0089F" w:rsidRDefault="003E3224" w:rsidP="003E3224">
      <w:pPr>
        <w:spacing w:line="480" w:lineRule="auto"/>
        <w:jc w:val="both"/>
        <w:rPr>
          <w:rFonts w:ascii="Times New Roman" w:hAnsi="Times New Roman" w:cs="Times New Roman"/>
          <w:b/>
          <w:sz w:val="24"/>
          <w:szCs w:val="24"/>
        </w:rPr>
      </w:pPr>
      <w:r w:rsidRPr="00D0089F">
        <w:rPr>
          <w:rFonts w:ascii="Times New Roman" w:hAnsi="Times New Roman" w:cs="Times New Roman"/>
          <w:b/>
          <w:sz w:val="24"/>
          <w:szCs w:val="24"/>
        </w:rPr>
        <w:t>ACKNOWLEDGEMENTS</w:t>
      </w:r>
    </w:p>
    <w:p w14:paraId="62633359" w14:textId="77777777" w:rsidR="003E3224" w:rsidRDefault="003E3224" w:rsidP="003E3224">
      <w:pPr>
        <w:spacing w:line="480" w:lineRule="auto"/>
        <w:jc w:val="both"/>
        <w:rPr>
          <w:rFonts w:ascii="Times New Roman" w:hAnsi="Times New Roman" w:cs="Times New Roman"/>
          <w:bCs/>
          <w:sz w:val="24"/>
          <w:szCs w:val="24"/>
        </w:rPr>
      </w:pPr>
      <w:r w:rsidRPr="00D0089F">
        <w:rPr>
          <w:rFonts w:ascii="Times New Roman" w:hAnsi="Times New Roman" w:cs="Times New Roman"/>
          <w:bCs/>
          <w:sz w:val="24"/>
          <w:szCs w:val="24"/>
        </w:rPr>
        <w:t>The authors extend their sincere appreciation to the library staff of Central Philippine University for their invaluable assistance during the preparation of this manuscript.</w:t>
      </w:r>
    </w:p>
    <w:p w14:paraId="12B5D8AB" w14:textId="77777777" w:rsidR="003E3224" w:rsidRPr="00D0089F" w:rsidRDefault="003E3224" w:rsidP="003E3224">
      <w:pPr>
        <w:spacing w:line="480" w:lineRule="auto"/>
        <w:jc w:val="both"/>
        <w:rPr>
          <w:rFonts w:ascii="Times New Roman" w:hAnsi="Times New Roman" w:cs="Times New Roman"/>
          <w:b/>
          <w:sz w:val="24"/>
          <w:szCs w:val="24"/>
        </w:rPr>
      </w:pPr>
      <w:r w:rsidRPr="00D0089F">
        <w:rPr>
          <w:rFonts w:ascii="Times New Roman" w:hAnsi="Times New Roman" w:cs="Times New Roman"/>
          <w:b/>
          <w:sz w:val="24"/>
          <w:szCs w:val="24"/>
        </w:rPr>
        <w:t>COMPETING INTERESTS</w:t>
      </w:r>
    </w:p>
    <w:p w14:paraId="6545D64F" w14:textId="77777777" w:rsidR="003E3224" w:rsidRPr="00D0089F" w:rsidRDefault="003E3224" w:rsidP="003E3224">
      <w:pPr>
        <w:spacing w:line="480" w:lineRule="auto"/>
        <w:jc w:val="both"/>
        <w:rPr>
          <w:rFonts w:ascii="Times New Roman" w:hAnsi="Times New Roman" w:cs="Times New Roman"/>
          <w:sz w:val="24"/>
          <w:szCs w:val="24"/>
        </w:rPr>
      </w:pPr>
      <w:r w:rsidRPr="00D0089F">
        <w:rPr>
          <w:rFonts w:ascii="Times New Roman" w:hAnsi="Times New Roman" w:cs="Times New Roman"/>
          <w:sz w:val="24"/>
          <w:szCs w:val="24"/>
        </w:rPr>
        <w:lastRenderedPageBreak/>
        <w:t>Authors have declared that no competing interests exist.</w:t>
      </w:r>
    </w:p>
    <w:p w14:paraId="4266C6E1" w14:textId="186106CF" w:rsidR="00CB7992" w:rsidRPr="003D32FA" w:rsidRDefault="00CB7992" w:rsidP="003D32FA">
      <w:pPr>
        <w:spacing w:line="480" w:lineRule="auto"/>
        <w:jc w:val="both"/>
        <w:rPr>
          <w:rFonts w:ascii="Times New Roman" w:hAnsi="Times New Roman" w:cs="Times New Roman"/>
          <w:b/>
          <w:bCs/>
          <w:sz w:val="24"/>
          <w:szCs w:val="24"/>
          <w:lang w:val="en-US"/>
        </w:rPr>
      </w:pPr>
      <w:r w:rsidRPr="003D32FA">
        <w:rPr>
          <w:rFonts w:ascii="Times New Roman" w:hAnsi="Times New Roman" w:cs="Times New Roman"/>
          <w:b/>
          <w:bCs/>
          <w:sz w:val="24"/>
          <w:szCs w:val="24"/>
          <w:lang w:val="en-US"/>
        </w:rPr>
        <w:t>REFERENCES:</w:t>
      </w:r>
    </w:p>
    <w:p w14:paraId="78FC0E0B"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Adao, D. E. V., Dela Serna, A. O., Belleza, M. L. B., Bolo, N. R., &amp; Rivera, W. L. (2016). Subtype analysis of Blastocystis sp. Isolates from asymptomatic individuals in an urban community in the Philippines. </w:t>
      </w:r>
      <w:r w:rsidRPr="003D32FA">
        <w:rPr>
          <w:rFonts w:ascii="Times New Roman" w:hAnsi="Times New Roman" w:cs="Times New Roman"/>
          <w:i/>
          <w:iCs/>
          <w:sz w:val="24"/>
          <w:szCs w:val="24"/>
        </w:rPr>
        <w:t>Annals of Parasitology</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62</w:t>
      </w:r>
      <w:r w:rsidRPr="003D32FA">
        <w:rPr>
          <w:rFonts w:ascii="Times New Roman" w:hAnsi="Times New Roman" w:cs="Times New Roman"/>
          <w:sz w:val="24"/>
          <w:szCs w:val="24"/>
        </w:rPr>
        <w:t xml:space="preserve">(3). </w:t>
      </w:r>
      <w:hyperlink r:id="rId15" w:history="1">
        <w:r w:rsidRPr="003D32FA">
          <w:rPr>
            <w:rStyle w:val="Hyperlink"/>
            <w:rFonts w:ascii="Times New Roman" w:hAnsi="Times New Roman" w:cs="Times New Roman"/>
            <w:color w:val="auto"/>
            <w:sz w:val="24"/>
            <w:szCs w:val="24"/>
            <w:u w:val="none"/>
          </w:rPr>
          <w:t>https://doi.org/10.17420/ap6203.53</w:t>
        </w:r>
      </w:hyperlink>
    </w:p>
    <w:p w14:paraId="78B3B394"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Adao, D. E. V., Ducusin, R. J. T., Padilla, M. A., &amp; Rivera, W. L. (2016). Molecular characterization of Blastocystis isolates infecting farm animals in Victoria and Pila, Laguna, Philippines. </w:t>
      </w:r>
      <w:r w:rsidRPr="003D32FA">
        <w:rPr>
          <w:rFonts w:ascii="Times New Roman" w:hAnsi="Times New Roman" w:cs="Times New Roman"/>
          <w:i/>
          <w:iCs/>
          <w:sz w:val="24"/>
          <w:szCs w:val="24"/>
        </w:rPr>
        <w:t>Philippine Agricultural Scientist</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99</w:t>
      </w:r>
      <w:r w:rsidRPr="003D32FA">
        <w:rPr>
          <w:rFonts w:ascii="Times New Roman" w:hAnsi="Times New Roman" w:cs="Times New Roman"/>
          <w:sz w:val="24"/>
          <w:szCs w:val="24"/>
        </w:rPr>
        <w:t>(3), 304–310.</w:t>
      </w:r>
    </w:p>
    <w:p w14:paraId="20FD3113"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Adao, D. E. V., &amp; Rivera, W. L. (2018). Recent advances in Blastocystis sp. Research. </w:t>
      </w:r>
      <w:r w:rsidRPr="003D32FA">
        <w:rPr>
          <w:rFonts w:ascii="Times New Roman" w:hAnsi="Times New Roman" w:cs="Times New Roman"/>
          <w:i/>
          <w:iCs/>
          <w:sz w:val="24"/>
          <w:szCs w:val="24"/>
        </w:rPr>
        <w:t>Philippine Science Letters</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11</w:t>
      </w:r>
      <w:r w:rsidRPr="003D32FA">
        <w:rPr>
          <w:rFonts w:ascii="Times New Roman" w:hAnsi="Times New Roman" w:cs="Times New Roman"/>
          <w:sz w:val="24"/>
          <w:szCs w:val="24"/>
        </w:rPr>
        <w:t>(01).</w:t>
      </w:r>
    </w:p>
    <w:p w14:paraId="2C506691"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Adao, D. E. V., &amp; Rivera, W. L. (2024). Subtype–host patterns and genetic differentiation of Blastocystis sp. In the Philippines. </w:t>
      </w:r>
      <w:r w:rsidRPr="003D32FA">
        <w:rPr>
          <w:rFonts w:ascii="Times New Roman" w:hAnsi="Times New Roman" w:cs="Times New Roman"/>
          <w:i/>
          <w:iCs/>
          <w:sz w:val="24"/>
          <w:szCs w:val="24"/>
        </w:rPr>
        <w:t>Heliyon</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10</w:t>
      </w:r>
      <w:r w:rsidRPr="003D32FA">
        <w:rPr>
          <w:rFonts w:ascii="Times New Roman" w:hAnsi="Times New Roman" w:cs="Times New Roman"/>
          <w:sz w:val="24"/>
          <w:szCs w:val="24"/>
        </w:rPr>
        <w:t xml:space="preserve">(7). </w:t>
      </w:r>
      <w:hyperlink r:id="rId16" w:history="1">
        <w:r w:rsidRPr="003D32FA">
          <w:rPr>
            <w:rStyle w:val="Hyperlink"/>
            <w:rFonts w:ascii="Times New Roman" w:hAnsi="Times New Roman" w:cs="Times New Roman"/>
            <w:color w:val="auto"/>
            <w:sz w:val="24"/>
            <w:szCs w:val="24"/>
            <w:u w:val="none"/>
          </w:rPr>
          <w:t>https://doi.org/10.1016/j.heliyon.2024.e29019</w:t>
        </w:r>
      </w:hyperlink>
    </w:p>
    <w:p w14:paraId="237B9927"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Amoak, S., &amp; Soldera, J. (2024). Blastocystis hominis as a cause of chronic diarrhea in low-resource settings: A systematic review. </w:t>
      </w:r>
      <w:r w:rsidRPr="003D32FA">
        <w:rPr>
          <w:rFonts w:ascii="Times New Roman" w:hAnsi="Times New Roman" w:cs="Times New Roman"/>
          <w:i/>
          <w:iCs/>
          <w:sz w:val="24"/>
          <w:szCs w:val="24"/>
        </w:rPr>
        <w:t>World Journal of Meta-Analysis</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12</w:t>
      </w:r>
      <w:r w:rsidRPr="003D32FA">
        <w:rPr>
          <w:rFonts w:ascii="Times New Roman" w:hAnsi="Times New Roman" w:cs="Times New Roman"/>
          <w:sz w:val="24"/>
          <w:szCs w:val="24"/>
        </w:rPr>
        <w:t xml:space="preserve">(3). </w:t>
      </w:r>
      <w:hyperlink r:id="rId17" w:history="1">
        <w:r w:rsidRPr="003D32FA">
          <w:rPr>
            <w:rStyle w:val="Hyperlink"/>
            <w:rFonts w:ascii="Times New Roman" w:hAnsi="Times New Roman" w:cs="Times New Roman"/>
            <w:color w:val="auto"/>
            <w:sz w:val="24"/>
            <w:szCs w:val="24"/>
            <w:u w:val="none"/>
          </w:rPr>
          <w:t>https://doi.org/10.13105/wjma.v12.i3.95631</w:t>
        </w:r>
      </w:hyperlink>
    </w:p>
    <w:p w14:paraId="57AF23CA"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Andersen, L. O., &amp; Stensvold, C. R. (2016). Blastocystis in Health and Disease: Are We Moving from a Clinical to a Public Health Perspective? </w:t>
      </w:r>
      <w:r w:rsidRPr="003D32FA">
        <w:rPr>
          <w:rFonts w:ascii="Times New Roman" w:hAnsi="Times New Roman" w:cs="Times New Roman"/>
          <w:i/>
          <w:iCs/>
          <w:sz w:val="24"/>
          <w:szCs w:val="24"/>
        </w:rPr>
        <w:t>Journal of Clinical Microbiology</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54</w:t>
      </w:r>
      <w:r w:rsidRPr="003D32FA">
        <w:rPr>
          <w:rFonts w:ascii="Times New Roman" w:hAnsi="Times New Roman" w:cs="Times New Roman"/>
          <w:sz w:val="24"/>
          <w:szCs w:val="24"/>
        </w:rPr>
        <w:t xml:space="preserve">(3), 524–528. </w:t>
      </w:r>
      <w:hyperlink r:id="rId18" w:history="1">
        <w:r w:rsidRPr="003D32FA">
          <w:rPr>
            <w:rStyle w:val="Hyperlink"/>
            <w:rFonts w:ascii="Times New Roman" w:hAnsi="Times New Roman" w:cs="Times New Roman"/>
            <w:color w:val="auto"/>
            <w:sz w:val="24"/>
            <w:szCs w:val="24"/>
            <w:u w:val="none"/>
          </w:rPr>
          <w:t>https://doi.org/10.1128/JCM.02520-15</w:t>
        </w:r>
      </w:hyperlink>
    </w:p>
    <w:p w14:paraId="74FCE62E"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Asfaram, S., Daryani, A., Sarvi, S., Pagheh, A. S., Hosseini, S. A., Saberi, R., Hoseiny, S. M., Soosaraei, M., &amp; Sharif, M. (2019). Geospatial analysis and epidemiological aspects of </w:t>
      </w:r>
      <w:r w:rsidRPr="003D32FA">
        <w:rPr>
          <w:rFonts w:ascii="Times New Roman" w:hAnsi="Times New Roman" w:cs="Times New Roman"/>
          <w:sz w:val="24"/>
          <w:szCs w:val="24"/>
        </w:rPr>
        <w:lastRenderedPageBreak/>
        <w:t xml:space="preserve">human infections with Blastocystis hominis in Mazandaran Province, northern Iran. </w:t>
      </w:r>
      <w:r w:rsidRPr="003D32FA">
        <w:rPr>
          <w:rFonts w:ascii="Times New Roman" w:hAnsi="Times New Roman" w:cs="Times New Roman"/>
          <w:i/>
          <w:iCs/>
          <w:sz w:val="24"/>
          <w:szCs w:val="24"/>
        </w:rPr>
        <w:t>Epidemiology and Health</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41</w:t>
      </w:r>
      <w:r w:rsidRPr="003D32FA">
        <w:rPr>
          <w:rFonts w:ascii="Times New Roman" w:hAnsi="Times New Roman" w:cs="Times New Roman"/>
          <w:sz w:val="24"/>
          <w:szCs w:val="24"/>
        </w:rPr>
        <w:t xml:space="preserve">, 1–6. </w:t>
      </w:r>
      <w:hyperlink r:id="rId19" w:history="1">
        <w:r w:rsidRPr="003D32FA">
          <w:rPr>
            <w:rStyle w:val="Hyperlink"/>
            <w:rFonts w:ascii="Times New Roman" w:hAnsi="Times New Roman" w:cs="Times New Roman"/>
            <w:color w:val="auto"/>
            <w:sz w:val="24"/>
            <w:szCs w:val="24"/>
            <w:u w:val="none"/>
          </w:rPr>
          <w:t>https://doi.org/10.4178/epih.e2019009</w:t>
        </w:r>
      </w:hyperlink>
    </w:p>
    <w:p w14:paraId="25175ED6"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Banaticla, J. E. G., &amp; Rivera, W. L. (2011). Detection and subtype identification of Blastocystis isolates from wastewater samples in the Philippines. </w:t>
      </w:r>
      <w:r w:rsidRPr="003D32FA">
        <w:rPr>
          <w:rFonts w:ascii="Times New Roman" w:hAnsi="Times New Roman" w:cs="Times New Roman"/>
          <w:i/>
          <w:iCs/>
          <w:sz w:val="24"/>
          <w:szCs w:val="24"/>
        </w:rPr>
        <w:t>Journal of Water and Health</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9</w:t>
      </w:r>
      <w:r w:rsidRPr="003D32FA">
        <w:rPr>
          <w:rFonts w:ascii="Times New Roman" w:hAnsi="Times New Roman" w:cs="Times New Roman"/>
          <w:sz w:val="24"/>
          <w:szCs w:val="24"/>
        </w:rPr>
        <w:t xml:space="preserve">(1), 128–137. </w:t>
      </w:r>
      <w:hyperlink r:id="rId20" w:history="1">
        <w:r w:rsidRPr="003D32FA">
          <w:rPr>
            <w:rStyle w:val="Hyperlink"/>
            <w:rFonts w:ascii="Times New Roman" w:hAnsi="Times New Roman" w:cs="Times New Roman"/>
            <w:color w:val="auto"/>
            <w:sz w:val="24"/>
            <w:szCs w:val="24"/>
            <w:u w:val="none"/>
          </w:rPr>
          <w:t>https://doi.org/10.2166/wh.2010.127</w:t>
        </w:r>
      </w:hyperlink>
    </w:p>
    <w:p w14:paraId="0C9DEF6B"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Barua, P., Khanum, H., Haque, R., Najib, F., &amp; Kabir, M. (2015). Establishment of Blastocystis hominis in-vitro Culture Using Fecal Samples from Infants in Slum Area of Mirpur, Dhaka, Bangladesh. </w:t>
      </w:r>
      <w:r w:rsidRPr="003D32FA">
        <w:rPr>
          <w:rFonts w:ascii="Times New Roman" w:hAnsi="Times New Roman" w:cs="Times New Roman"/>
          <w:i/>
          <w:iCs/>
          <w:sz w:val="24"/>
          <w:szCs w:val="24"/>
        </w:rPr>
        <w:t>Acta Medica International</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2</w:t>
      </w:r>
      <w:r w:rsidRPr="003D32FA">
        <w:rPr>
          <w:rFonts w:ascii="Times New Roman" w:hAnsi="Times New Roman" w:cs="Times New Roman"/>
          <w:sz w:val="24"/>
          <w:szCs w:val="24"/>
        </w:rPr>
        <w:t xml:space="preserve">(1), 40. </w:t>
      </w:r>
      <w:hyperlink r:id="rId21" w:history="1">
        <w:r w:rsidRPr="003D32FA">
          <w:rPr>
            <w:rStyle w:val="Hyperlink"/>
            <w:rFonts w:ascii="Times New Roman" w:hAnsi="Times New Roman" w:cs="Times New Roman"/>
            <w:color w:val="auto"/>
            <w:sz w:val="24"/>
            <w:szCs w:val="24"/>
            <w:u w:val="none"/>
          </w:rPr>
          <w:t>https://doi.org/10.5530/ami.2015.1.34</w:t>
        </w:r>
      </w:hyperlink>
    </w:p>
    <w:p w14:paraId="21F68DC7"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Belizario, V., Ng, J., Amarillo, M. L., Delos Trinos, J. P. C., Reyes, M., &amp; Fudalan, O. (2016). High Burden of Soil-Transmitted Helminthiases in Preschool-Age Children in Masbate: A Decade of Implementation of the Integrated Helminth Control Program in the Philippines. </w:t>
      </w:r>
      <w:r w:rsidRPr="003D32FA">
        <w:rPr>
          <w:rFonts w:ascii="Times New Roman" w:hAnsi="Times New Roman" w:cs="Times New Roman"/>
          <w:i/>
          <w:iCs/>
          <w:sz w:val="24"/>
          <w:szCs w:val="24"/>
        </w:rPr>
        <w:t>Southeast Asian Journal of Tropical Medicine and Public Health</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47</w:t>
      </w:r>
      <w:r w:rsidRPr="003D32FA">
        <w:rPr>
          <w:rFonts w:ascii="Times New Roman" w:hAnsi="Times New Roman" w:cs="Times New Roman"/>
          <w:sz w:val="24"/>
          <w:szCs w:val="24"/>
        </w:rPr>
        <w:t>(4), 667–679.</w:t>
      </w:r>
    </w:p>
    <w:p w14:paraId="0AA9BDB9"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Belleza, M. L. B., Cadacio, J. L. C., Borja, M. P., Solon, J. A. A., Padilla, M. A., Tongol-Rivera, P. N., &amp; Rivera, W. L. (2015). Epidemiologic Study of Blastocystis Infection in an Urban Community in the Philippines. </w:t>
      </w:r>
      <w:r w:rsidRPr="003D32FA">
        <w:rPr>
          <w:rFonts w:ascii="Times New Roman" w:hAnsi="Times New Roman" w:cs="Times New Roman"/>
          <w:i/>
          <w:iCs/>
          <w:sz w:val="24"/>
          <w:szCs w:val="24"/>
        </w:rPr>
        <w:t>Journal of Environmental and Public Health</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2015</w:t>
      </w:r>
      <w:r w:rsidRPr="003D32FA">
        <w:rPr>
          <w:rFonts w:ascii="Times New Roman" w:hAnsi="Times New Roman" w:cs="Times New Roman"/>
          <w:sz w:val="24"/>
          <w:szCs w:val="24"/>
        </w:rPr>
        <w:t xml:space="preserve">. </w:t>
      </w:r>
      <w:hyperlink r:id="rId22" w:history="1">
        <w:r w:rsidRPr="003D32FA">
          <w:rPr>
            <w:rStyle w:val="Hyperlink"/>
            <w:rFonts w:ascii="Times New Roman" w:hAnsi="Times New Roman" w:cs="Times New Roman"/>
            <w:color w:val="auto"/>
            <w:sz w:val="24"/>
            <w:szCs w:val="24"/>
            <w:u w:val="none"/>
          </w:rPr>
          <w:t>https://doi.org/10.1155/2015/894297</w:t>
        </w:r>
      </w:hyperlink>
    </w:p>
    <w:p w14:paraId="2CE01F0D" w14:textId="77777777" w:rsidR="00695B10" w:rsidRDefault="00695B10" w:rsidP="003D32FA">
      <w:pPr>
        <w:spacing w:line="480" w:lineRule="auto"/>
        <w:ind w:left="709" w:hanging="709"/>
        <w:jc w:val="both"/>
      </w:pPr>
      <w:r w:rsidRPr="003D32FA">
        <w:rPr>
          <w:rFonts w:ascii="Times New Roman" w:hAnsi="Times New Roman" w:cs="Times New Roman"/>
          <w:sz w:val="24"/>
          <w:szCs w:val="24"/>
        </w:rPr>
        <w:t xml:space="preserve">Belleza, M. L. B., Reyes, J. C. B., Tongol-Rivera, P. N., &amp; Rivera, W. L. (2016). Subtype analysis of </w:t>
      </w:r>
      <w:r w:rsidRPr="003D32FA">
        <w:rPr>
          <w:rFonts w:ascii="Times New Roman" w:hAnsi="Times New Roman" w:cs="Times New Roman"/>
          <w:i/>
          <w:iCs/>
          <w:sz w:val="24"/>
          <w:szCs w:val="24"/>
        </w:rPr>
        <w:t>Blastocystis</w:t>
      </w:r>
      <w:r w:rsidRPr="003D32FA">
        <w:rPr>
          <w:rFonts w:ascii="Times New Roman" w:hAnsi="Times New Roman" w:cs="Times New Roman"/>
          <w:sz w:val="24"/>
          <w:szCs w:val="24"/>
        </w:rPr>
        <w:t xml:space="preserve"> sp. Isolates from human and canine hosts in an urban community in the Philippines. </w:t>
      </w:r>
      <w:r w:rsidRPr="003D32FA">
        <w:rPr>
          <w:rFonts w:ascii="Times New Roman" w:hAnsi="Times New Roman" w:cs="Times New Roman"/>
          <w:i/>
          <w:iCs/>
          <w:sz w:val="24"/>
          <w:szCs w:val="24"/>
        </w:rPr>
        <w:t>Parasitology International</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65</w:t>
      </w:r>
      <w:r w:rsidRPr="003D32FA">
        <w:rPr>
          <w:rFonts w:ascii="Times New Roman" w:hAnsi="Times New Roman" w:cs="Times New Roman"/>
          <w:sz w:val="24"/>
          <w:szCs w:val="24"/>
        </w:rPr>
        <w:t xml:space="preserve">(3), 291–294. </w:t>
      </w:r>
      <w:hyperlink r:id="rId23" w:history="1">
        <w:r w:rsidRPr="003D32FA">
          <w:rPr>
            <w:rStyle w:val="Hyperlink"/>
            <w:rFonts w:ascii="Times New Roman" w:hAnsi="Times New Roman" w:cs="Times New Roman"/>
            <w:color w:val="auto"/>
            <w:sz w:val="24"/>
            <w:szCs w:val="24"/>
            <w:u w:val="none"/>
          </w:rPr>
          <w:t>https://doi.org/10.1016/j.parint.2016.02.009</w:t>
        </w:r>
      </w:hyperlink>
    </w:p>
    <w:p w14:paraId="338CB731" w14:textId="21D0786A" w:rsidR="001A3ED5" w:rsidRDefault="001A3ED5" w:rsidP="003D32FA">
      <w:pPr>
        <w:spacing w:line="480" w:lineRule="auto"/>
        <w:ind w:left="709" w:hanging="709"/>
        <w:jc w:val="both"/>
        <w:rPr>
          <w:rFonts w:ascii="Times New Roman" w:hAnsi="Times New Roman" w:cs="Times New Roman"/>
          <w:sz w:val="24"/>
          <w:szCs w:val="24"/>
        </w:rPr>
      </w:pPr>
      <w:r w:rsidRPr="001A3ED5">
        <w:rPr>
          <w:rFonts w:ascii="Times New Roman" w:hAnsi="Times New Roman" w:cs="Times New Roman"/>
          <w:sz w:val="24"/>
          <w:szCs w:val="24"/>
        </w:rPr>
        <w:t xml:space="preserve">Beup, </w:t>
      </w:r>
      <w:r>
        <w:rPr>
          <w:rFonts w:ascii="Times New Roman" w:hAnsi="Times New Roman" w:cs="Times New Roman"/>
          <w:sz w:val="24"/>
          <w:szCs w:val="24"/>
        </w:rPr>
        <w:t xml:space="preserve">R.A., </w:t>
      </w:r>
      <w:r w:rsidRPr="001A3ED5">
        <w:rPr>
          <w:rFonts w:ascii="Times New Roman" w:hAnsi="Times New Roman" w:cs="Times New Roman"/>
          <w:sz w:val="24"/>
          <w:szCs w:val="24"/>
        </w:rPr>
        <w:t>Guanzon</w:t>
      </w:r>
      <w:r>
        <w:rPr>
          <w:rFonts w:ascii="Times New Roman" w:hAnsi="Times New Roman" w:cs="Times New Roman"/>
          <w:sz w:val="24"/>
          <w:szCs w:val="24"/>
        </w:rPr>
        <w:t xml:space="preserve">, N.G. </w:t>
      </w:r>
      <w:r w:rsidRPr="001A3ED5">
        <w:rPr>
          <w:rFonts w:ascii="Times New Roman" w:hAnsi="Times New Roman" w:cs="Times New Roman"/>
          <w:sz w:val="24"/>
          <w:szCs w:val="24"/>
        </w:rPr>
        <w:t>Jr., Pakingking</w:t>
      </w:r>
      <w:r>
        <w:rPr>
          <w:rFonts w:ascii="Times New Roman" w:hAnsi="Times New Roman" w:cs="Times New Roman"/>
          <w:sz w:val="24"/>
          <w:szCs w:val="24"/>
        </w:rPr>
        <w:t>, R.V.</w:t>
      </w:r>
      <w:r w:rsidRPr="001A3ED5">
        <w:rPr>
          <w:rFonts w:ascii="Times New Roman" w:hAnsi="Times New Roman" w:cs="Times New Roman"/>
          <w:sz w:val="24"/>
          <w:szCs w:val="24"/>
        </w:rPr>
        <w:t xml:space="preserve"> Jr. </w:t>
      </w:r>
      <w:r>
        <w:rPr>
          <w:rFonts w:ascii="Times New Roman" w:hAnsi="Times New Roman" w:cs="Times New Roman"/>
          <w:sz w:val="24"/>
          <w:szCs w:val="24"/>
        </w:rPr>
        <w:t>(</w:t>
      </w:r>
      <w:r w:rsidRPr="001A3ED5">
        <w:rPr>
          <w:rFonts w:ascii="Times New Roman" w:hAnsi="Times New Roman" w:cs="Times New Roman"/>
          <w:sz w:val="24"/>
          <w:szCs w:val="24"/>
        </w:rPr>
        <w:t>2024</w:t>
      </w:r>
      <w:r>
        <w:rPr>
          <w:rFonts w:ascii="Times New Roman" w:hAnsi="Times New Roman" w:cs="Times New Roman"/>
          <w:sz w:val="24"/>
          <w:szCs w:val="24"/>
        </w:rPr>
        <w:t>)</w:t>
      </w:r>
      <w:r w:rsidRPr="001A3ED5">
        <w:rPr>
          <w:rFonts w:ascii="Times New Roman" w:hAnsi="Times New Roman" w:cs="Times New Roman"/>
          <w:sz w:val="24"/>
          <w:szCs w:val="24"/>
        </w:rPr>
        <w:t xml:space="preserve">. </w:t>
      </w:r>
      <w:r w:rsidRPr="001A3ED5">
        <w:rPr>
          <w:rFonts w:ascii="Times New Roman" w:hAnsi="Times New Roman" w:cs="Times New Roman"/>
          <w:i/>
          <w:iCs/>
          <w:sz w:val="24"/>
          <w:szCs w:val="24"/>
        </w:rPr>
        <w:t>Entamoeba histoly</w:t>
      </w:r>
      <w:r w:rsidRPr="001A3ED5">
        <w:rPr>
          <w:rFonts w:ascii="Times New Roman" w:hAnsi="Times New Roman" w:cs="Times New Roman"/>
          <w:sz w:val="24"/>
          <w:szCs w:val="24"/>
        </w:rPr>
        <w:t xml:space="preserve">tica Infection in the Philippines: A Review. </w:t>
      </w:r>
      <w:r w:rsidRPr="001A3ED5">
        <w:rPr>
          <w:rFonts w:ascii="Times New Roman" w:hAnsi="Times New Roman" w:cs="Times New Roman"/>
          <w:i/>
          <w:iCs/>
          <w:sz w:val="24"/>
          <w:szCs w:val="24"/>
        </w:rPr>
        <w:t>Uttar Pradesh Journal of Zoology</w:t>
      </w:r>
      <w:r w:rsidRPr="001A3ED5">
        <w:rPr>
          <w:rFonts w:ascii="Times New Roman" w:hAnsi="Times New Roman" w:cs="Times New Roman"/>
          <w:sz w:val="24"/>
          <w:szCs w:val="24"/>
        </w:rPr>
        <w:t xml:space="preserve"> 45 (3):  139-148. </w:t>
      </w:r>
      <w:hyperlink r:id="rId24" w:history="1">
        <w:r w:rsidRPr="003521FB">
          <w:rPr>
            <w:rStyle w:val="Hyperlink"/>
            <w:rFonts w:ascii="Times New Roman" w:hAnsi="Times New Roman" w:cs="Times New Roman"/>
            <w:sz w:val="24"/>
            <w:szCs w:val="24"/>
          </w:rPr>
          <w:t>https://doi.org/10.56557/upjoz/2024/v45i33883</w:t>
        </w:r>
      </w:hyperlink>
    </w:p>
    <w:p w14:paraId="2D13FC15" w14:textId="26555AE5"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lastRenderedPageBreak/>
        <w:t xml:space="preserve">Boutahar, M., Belaouni, M., Ibrahimi, A., Eljaoudi, R., Aanniz, T., Er-Rami, M., Köster, P. C., Dashti, A., &amp; Carmena, D. (2024). Unveiling Blastocystis epidemiology in Morocco: Subtype diversity among clinical patients with and without gastrointestinal manifestations in the Meknes region. </w:t>
      </w:r>
      <w:r w:rsidRPr="003D32FA">
        <w:rPr>
          <w:rFonts w:ascii="Times New Roman" w:hAnsi="Times New Roman" w:cs="Times New Roman"/>
          <w:i/>
          <w:iCs/>
          <w:sz w:val="24"/>
          <w:szCs w:val="24"/>
        </w:rPr>
        <w:t>Parasitology Research</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123</w:t>
      </w:r>
      <w:r w:rsidRPr="003D32FA">
        <w:rPr>
          <w:rFonts w:ascii="Times New Roman" w:hAnsi="Times New Roman" w:cs="Times New Roman"/>
          <w:sz w:val="24"/>
          <w:szCs w:val="24"/>
        </w:rPr>
        <w:t xml:space="preserve">(7), 273. </w:t>
      </w:r>
      <w:hyperlink r:id="rId25" w:history="1">
        <w:r w:rsidRPr="003D32FA">
          <w:rPr>
            <w:rStyle w:val="Hyperlink"/>
            <w:rFonts w:ascii="Times New Roman" w:hAnsi="Times New Roman" w:cs="Times New Roman"/>
            <w:color w:val="auto"/>
            <w:sz w:val="24"/>
            <w:szCs w:val="24"/>
            <w:u w:val="none"/>
          </w:rPr>
          <w:t>https://doi.org/10.1007/s00436-024-08288-w</w:t>
        </w:r>
      </w:hyperlink>
    </w:p>
    <w:p w14:paraId="72BA7A9B"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Cian, A., Safadi, D. E., Osman, M., Moriniere, R., Gantois, N., Benamrouz-Vanneste, S., Delgado-Viscogliosi, P., Guyot, K., Li, L.-L., Monchy, S., Noël, C., Poirier, P., Nourrisson, C., Wawrzyniak, I., Delbac, F., Bosc, S., Chabé, M., Petit, T., Certad, G., &amp; Viscogliosi, E. (2017). Molecular Epidemiology of Blastocystis sp. In Various Animal Groups from Two French Zoos and Evaluation of Potential Zoonotic Risk. </w:t>
      </w:r>
      <w:r w:rsidRPr="003D32FA">
        <w:rPr>
          <w:rFonts w:ascii="Times New Roman" w:hAnsi="Times New Roman" w:cs="Times New Roman"/>
          <w:i/>
          <w:iCs/>
          <w:sz w:val="24"/>
          <w:szCs w:val="24"/>
        </w:rPr>
        <w:t>PLOS ONE</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12</w:t>
      </w:r>
      <w:r w:rsidRPr="003D32FA">
        <w:rPr>
          <w:rFonts w:ascii="Times New Roman" w:hAnsi="Times New Roman" w:cs="Times New Roman"/>
          <w:sz w:val="24"/>
          <w:szCs w:val="24"/>
        </w:rPr>
        <w:t xml:space="preserve">(1), e0169659. </w:t>
      </w:r>
      <w:hyperlink r:id="rId26" w:history="1">
        <w:r w:rsidRPr="003D32FA">
          <w:rPr>
            <w:rStyle w:val="Hyperlink"/>
            <w:rFonts w:ascii="Times New Roman" w:hAnsi="Times New Roman" w:cs="Times New Roman"/>
            <w:color w:val="auto"/>
            <w:sz w:val="24"/>
            <w:szCs w:val="24"/>
            <w:u w:val="none"/>
          </w:rPr>
          <w:t>https://doi.org/10.1371/journal.pone.0169659</w:t>
        </w:r>
      </w:hyperlink>
    </w:p>
    <w:p w14:paraId="76FE895C"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Dayaganon, A. J. B., Española, J. K. C., Gallego, D. M. A., &amp; Sanchez, D. E. G. (2014). Factors Affecting Parasite Infestation and Most Common Parasites from Food Handlers in Eateries at Bankerohan Public Market. </w:t>
      </w:r>
      <w:r w:rsidRPr="003D32FA">
        <w:rPr>
          <w:rFonts w:ascii="Times New Roman" w:hAnsi="Times New Roman" w:cs="Times New Roman"/>
          <w:i/>
          <w:iCs/>
          <w:sz w:val="24"/>
          <w:szCs w:val="24"/>
        </w:rPr>
        <w:t>The Banquet</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1</w:t>
      </w:r>
      <w:r w:rsidRPr="003D32FA">
        <w:rPr>
          <w:rFonts w:ascii="Times New Roman" w:hAnsi="Times New Roman" w:cs="Times New Roman"/>
          <w:sz w:val="24"/>
          <w:szCs w:val="24"/>
        </w:rPr>
        <w:t>(1), 71–79.</w:t>
      </w:r>
    </w:p>
    <w:p w14:paraId="1DE894C5"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De La Cruz, C. P. P., Gorospe, M. M., &amp; Paller, V. G. V. (2016). Blastocysts infection among backyard-raised pigs in Bay, province of Laguna, the Philippines. </w:t>
      </w:r>
      <w:r w:rsidRPr="003D32FA">
        <w:rPr>
          <w:rFonts w:ascii="Times New Roman" w:hAnsi="Times New Roman" w:cs="Times New Roman"/>
          <w:i/>
          <w:iCs/>
          <w:sz w:val="24"/>
          <w:szCs w:val="24"/>
        </w:rPr>
        <w:t>Asian Journal of Microbiology, Biotechnology and Environmental Sciences</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18</w:t>
      </w:r>
      <w:r w:rsidRPr="003D32FA">
        <w:rPr>
          <w:rFonts w:ascii="Times New Roman" w:hAnsi="Times New Roman" w:cs="Times New Roman"/>
          <w:sz w:val="24"/>
          <w:szCs w:val="24"/>
        </w:rPr>
        <w:t>(2), 209–217.</w:t>
      </w:r>
    </w:p>
    <w:p w14:paraId="7EA01743"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Do Bomfim, T. C. B., &amp; Do Couto, M. C. M. (2013). </w:t>
      </w:r>
      <w:r w:rsidRPr="003D32FA">
        <w:rPr>
          <w:rFonts w:ascii="Times New Roman" w:hAnsi="Times New Roman" w:cs="Times New Roman"/>
          <w:i/>
          <w:iCs/>
          <w:sz w:val="24"/>
          <w:szCs w:val="24"/>
        </w:rPr>
        <w:t>Morphological Diagnosis And Occurrence Of Blastocystis sp</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5</w:t>
      </w:r>
      <w:r w:rsidRPr="003D32FA">
        <w:rPr>
          <w:rFonts w:ascii="Times New Roman" w:hAnsi="Times New Roman" w:cs="Times New Roman"/>
          <w:sz w:val="24"/>
          <w:szCs w:val="24"/>
        </w:rPr>
        <w:t xml:space="preserve">(3), 20–26. </w:t>
      </w:r>
      <w:hyperlink r:id="rId27" w:history="1">
        <w:r w:rsidRPr="003D32FA">
          <w:rPr>
            <w:rStyle w:val="Hyperlink"/>
            <w:rFonts w:ascii="Times New Roman" w:hAnsi="Times New Roman" w:cs="Times New Roman"/>
            <w:color w:val="auto"/>
            <w:sz w:val="24"/>
            <w:szCs w:val="24"/>
            <w:u w:val="none"/>
          </w:rPr>
          <w:t>https://doi.org/10.5897/JPVB12.014</w:t>
        </w:r>
      </w:hyperlink>
    </w:p>
    <w:p w14:paraId="5EA97367"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Dogruman-Al, F., Turk, S., Adiyaman-Korkmaz, G., Hananel, A., Levi, L., Kopelowitz, J., Babai, O., Gross, S., Greenberg, Z., Herschkovitz, Y., &amp; Mumcuoglu, I. (2015). A novel ELISA test for laboratory diagnosis of Blastocystis spp. In human stool specimens. </w:t>
      </w:r>
      <w:r w:rsidRPr="003D32FA">
        <w:rPr>
          <w:rFonts w:ascii="Times New Roman" w:hAnsi="Times New Roman" w:cs="Times New Roman"/>
          <w:i/>
          <w:iCs/>
          <w:sz w:val="24"/>
          <w:szCs w:val="24"/>
        </w:rPr>
        <w:t>Parasitology Research</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114</w:t>
      </w:r>
      <w:r w:rsidRPr="003D32FA">
        <w:rPr>
          <w:rFonts w:ascii="Times New Roman" w:hAnsi="Times New Roman" w:cs="Times New Roman"/>
          <w:sz w:val="24"/>
          <w:szCs w:val="24"/>
        </w:rPr>
        <w:t xml:space="preserve">(2), 495–500. </w:t>
      </w:r>
      <w:hyperlink r:id="rId28" w:history="1">
        <w:r w:rsidRPr="003D32FA">
          <w:rPr>
            <w:rStyle w:val="Hyperlink"/>
            <w:rFonts w:ascii="Times New Roman" w:hAnsi="Times New Roman" w:cs="Times New Roman"/>
            <w:color w:val="auto"/>
            <w:sz w:val="24"/>
            <w:szCs w:val="24"/>
            <w:u w:val="none"/>
          </w:rPr>
          <w:t>https://doi.org/10.1007/s00436-014-4208-y</w:t>
        </w:r>
      </w:hyperlink>
    </w:p>
    <w:p w14:paraId="25BD1F3F"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lastRenderedPageBreak/>
        <w:t xml:space="preserve">Elghareeb, A. S., Younis, M. S., El Fakahany, A. F., Nagaty, I. M., &amp; Nagib, M. M. (2015). Laboratory diagnosis of Blastocystis spp. In diarrheic patients. </w:t>
      </w:r>
      <w:r w:rsidRPr="003D32FA">
        <w:rPr>
          <w:rFonts w:ascii="Times New Roman" w:hAnsi="Times New Roman" w:cs="Times New Roman"/>
          <w:i/>
          <w:iCs/>
          <w:sz w:val="24"/>
          <w:szCs w:val="24"/>
        </w:rPr>
        <w:t>Tropical Parasitology</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5</w:t>
      </w:r>
      <w:r w:rsidRPr="003D32FA">
        <w:rPr>
          <w:rFonts w:ascii="Times New Roman" w:hAnsi="Times New Roman" w:cs="Times New Roman"/>
          <w:sz w:val="24"/>
          <w:szCs w:val="24"/>
        </w:rPr>
        <w:t xml:space="preserve">(1), 36. </w:t>
      </w:r>
      <w:hyperlink r:id="rId29" w:history="1">
        <w:r w:rsidRPr="003D32FA">
          <w:rPr>
            <w:rStyle w:val="Hyperlink"/>
            <w:rFonts w:ascii="Times New Roman" w:hAnsi="Times New Roman" w:cs="Times New Roman"/>
            <w:color w:val="auto"/>
            <w:sz w:val="24"/>
            <w:szCs w:val="24"/>
            <w:u w:val="none"/>
          </w:rPr>
          <w:t>https://doi.org/10.4103/2229-5070.149919</w:t>
        </w:r>
      </w:hyperlink>
    </w:p>
    <w:p w14:paraId="63646BC8"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EL-Marhoumy, S. M., EL-Nouby, K. A., Shoheib, Z. S., &amp; Salama, A. M. (2015). Prevalence and diagnostic approach for a neglected protozoon </w:t>
      </w:r>
      <w:r w:rsidRPr="003D32FA">
        <w:rPr>
          <w:rFonts w:ascii="Times New Roman" w:hAnsi="Times New Roman" w:cs="Times New Roman"/>
          <w:i/>
          <w:iCs/>
          <w:sz w:val="24"/>
          <w:szCs w:val="24"/>
        </w:rPr>
        <w:t>Blastocystis hominis</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Asian Pacific Journal of Tropical Disease</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5</w:t>
      </w:r>
      <w:r w:rsidRPr="003D32FA">
        <w:rPr>
          <w:rFonts w:ascii="Times New Roman" w:hAnsi="Times New Roman" w:cs="Times New Roman"/>
          <w:sz w:val="24"/>
          <w:szCs w:val="24"/>
        </w:rPr>
        <w:t xml:space="preserve">(1), 51–59. </w:t>
      </w:r>
      <w:hyperlink r:id="rId30" w:history="1">
        <w:r w:rsidRPr="003D32FA">
          <w:rPr>
            <w:rStyle w:val="Hyperlink"/>
            <w:rFonts w:ascii="Times New Roman" w:hAnsi="Times New Roman" w:cs="Times New Roman"/>
            <w:color w:val="auto"/>
            <w:sz w:val="24"/>
            <w:szCs w:val="24"/>
            <w:u w:val="none"/>
          </w:rPr>
          <w:t>https://doi.org/10.1016/S2222-1808(14)60626-5</w:t>
        </w:r>
      </w:hyperlink>
    </w:p>
    <w:p w14:paraId="1E87C4D4"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Elsayad, M. H., Tolba, M. M., Argiah, H. A., Gaballah, A., Osman, M. M., &amp; Mikhael, I. L. (2019). ELECTRON MICROSCOPY OF BLASTOCYSTIS HOMINIS AND OTHER DIAGNOSTIC APPROACHES. </w:t>
      </w:r>
      <w:r w:rsidRPr="003D32FA">
        <w:rPr>
          <w:rFonts w:ascii="Times New Roman" w:hAnsi="Times New Roman" w:cs="Times New Roman"/>
          <w:i/>
          <w:iCs/>
          <w:sz w:val="24"/>
          <w:szCs w:val="24"/>
        </w:rPr>
        <w:t>Journal of the Egyptian Society of Parasitology</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49</w:t>
      </w:r>
      <w:r w:rsidRPr="003D32FA">
        <w:rPr>
          <w:rFonts w:ascii="Times New Roman" w:hAnsi="Times New Roman" w:cs="Times New Roman"/>
          <w:sz w:val="24"/>
          <w:szCs w:val="24"/>
        </w:rPr>
        <w:t xml:space="preserve">(2), 373–380. </w:t>
      </w:r>
      <w:hyperlink r:id="rId31" w:history="1">
        <w:r w:rsidRPr="003D32FA">
          <w:rPr>
            <w:rStyle w:val="Hyperlink"/>
            <w:rFonts w:ascii="Times New Roman" w:hAnsi="Times New Roman" w:cs="Times New Roman"/>
            <w:color w:val="auto"/>
            <w:sz w:val="24"/>
            <w:szCs w:val="24"/>
            <w:u w:val="none"/>
          </w:rPr>
          <w:t>https://doi.org/10.21608/jesp.2019.68145</w:t>
        </w:r>
      </w:hyperlink>
    </w:p>
    <w:p w14:paraId="5996C571"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Fusaro, C., Bernal, J. E., Baldiris-Ávila, R., González-Cuello, R., Cisneros-Lorduy, J., Reales-Ruiz, A., Castro-Orozco, R., &amp; Sarria-Guzmán, Y. (2024). Molecular Prevalence and Subtypes Distribution of Blastocystis spp. in Humans of Latin America: A Systematic Review. </w:t>
      </w:r>
      <w:r w:rsidRPr="003D32FA">
        <w:rPr>
          <w:rFonts w:ascii="Times New Roman" w:hAnsi="Times New Roman" w:cs="Times New Roman"/>
          <w:i/>
          <w:iCs/>
          <w:sz w:val="24"/>
          <w:szCs w:val="24"/>
        </w:rPr>
        <w:t>Tropical Medicine and Infectious Disease</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9</w:t>
      </w:r>
      <w:r w:rsidRPr="003D32FA">
        <w:rPr>
          <w:rFonts w:ascii="Times New Roman" w:hAnsi="Times New Roman" w:cs="Times New Roman"/>
          <w:sz w:val="24"/>
          <w:szCs w:val="24"/>
        </w:rPr>
        <w:t xml:space="preserve">(2), Article 2. </w:t>
      </w:r>
      <w:hyperlink r:id="rId32" w:history="1">
        <w:r w:rsidRPr="003D32FA">
          <w:rPr>
            <w:rStyle w:val="Hyperlink"/>
            <w:rFonts w:ascii="Times New Roman" w:hAnsi="Times New Roman" w:cs="Times New Roman"/>
            <w:color w:val="auto"/>
            <w:sz w:val="24"/>
            <w:szCs w:val="24"/>
            <w:u w:val="none"/>
          </w:rPr>
          <w:t>https://doi.org/10.3390/tropicalmed9020038</w:t>
        </w:r>
      </w:hyperlink>
    </w:p>
    <w:p w14:paraId="08216462"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Gong, B., Liu, X., Wu, Y., Xu, N., Xu, M., Yang, F., Tong, L., Zhou, K., Cao, J., Liu, A., &amp; Shen, Y. (2019). Prevalence and subtype distribution of Blastocystis in ethnic minority groups on both sides of the China–Myanmar border, and assessment of risk factors. </w:t>
      </w:r>
      <w:r w:rsidRPr="003D32FA">
        <w:rPr>
          <w:rFonts w:ascii="Times New Roman" w:hAnsi="Times New Roman" w:cs="Times New Roman"/>
          <w:i/>
          <w:iCs/>
          <w:sz w:val="24"/>
          <w:szCs w:val="24"/>
        </w:rPr>
        <w:t>Parasite</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26</w:t>
      </w:r>
      <w:r w:rsidRPr="003D32FA">
        <w:rPr>
          <w:rFonts w:ascii="Times New Roman" w:hAnsi="Times New Roman" w:cs="Times New Roman"/>
          <w:sz w:val="24"/>
          <w:szCs w:val="24"/>
        </w:rPr>
        <w:t xml:space="preserve">, 46. </w:t>
      </w:r>
      <w:hyperlink r:id="rId33" w:history="1">
        <w:r w:rsidRPr="003D32FA">
          <w:rPr>
            <w:rStyle w:val="Hyperlink"/>
            <w:rFonts w:ascii="Times New Roman" w:hAnsi="Times New Roman" w:cs="Times New Roman"/>
            <w:color w:val="auto"/>
            <w:sz w:val="24"/>
            <w:szCs w:val="24"/>
            <w:u w:val="none"/>
          </w:rPr>
          <w:t>https://doi.org/10.1051/parasite/2019046</w:t>
        </w:r>
      </w:hyperlink>
    </w:p>
    <w:p w14:paraId="0414BF66"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Hamdy, D. A., Abd El Wahab, W. M., Senosy, S. A., &amp; Mabrouk, A. G. (2020). Blastocystis spp. And Giardia intestinalis co-infection profile in children suffering from acute diarrhea. </w:t>
      </w:r>
      <w:r w:rsidRPr="003D32FA">
        <w:rPr>
          <w:rFonts w:ascii="Times New Roman" w:hAnsi="Times New Roman" w:cs="Times New Roman"/>
          <w:i/>
          <w:iCs/>
          <w:sz w:val="24"/>
          <w:szCs w:val="24"/>
        </w:rPr>
        <w:t>Journal of Parasitic Diseases: Official Organ of the Indian Society for Parasitology</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44</w:t>
      </w:r>
      <w:r w:rsidRPr="003D32FA">
        <w:rPr>
          <w:rFonts w:ascii="Times New Roman" w:hAnsi="Times New Roman" w:cs="Times New Roman"/>
          <w:sz w:val="24"/>
          <w:szCs w:val="24"/>
        </w:rPr>
        <w:t xml:space="preserve">(1), 88–98. </w:t>
      </w:r>
      <w:hyperlink r:id="rId34" w:history="1">
        <w:r w:rsidRPr="003D32FA">
          <w:rPr>
            <w:rStyle w:val="Hyperlink"/>
            <w:rFonts w:ascii="Times New Roman" w:hAnsi="Times New Roman" w:cs="Times New Roman"/>
            <w:color w:val="auto"/>
            <w:sz w:val="24"/>
            <w:szCs w:val="24"/>
            <w:u w:val="none"/>
          </w:rPr>
          <w:t>https://doi.org/10.1007/s12639-019-01165-9</w:t>
        </w:r>
      </w:hyperlink>
    </w:p>
    <w:p w14:paraId="2AFF5D95" w14:textId="77777777" w:rsidR="00695B10" w:rsidRDefault="00695B10" w:rsidP="003D32FA">
      <w:pPr>
        <w:spacing w:line="480" w:lineRule="auto"/>
        <w:ind w:left="709" w:hanging="709"/>
        <w:jc w:val="both"/>
      </w:pPr>
      <w:r w:rsidRPr="003D32FA">
        <w:rPr>
          <w:rFonts w:ascii="Times New Roman" w:hAnsi="Times New Roman" w:cs="Times New Roman"/>
          <w:sz w:val="24"/>
          <w:szCs w:val="24"/>
        </w:rPr>
        <w:lastRenderedPageBreak/>
        <w:t xml:space="preserve">Heydarian, M., Manouchehri Naeini, K., Kheiri, S., &amp; Abdizadeh, R. (2024). Prevalence and subtyping of Blastocystis sp. In ruminants in Southwestern, Iran. </w:t>
      </w:r>
      <w:r w:rsidRPr="003D32FA">
        <w:rPr>
          <w:rFonts w:ascii="Times New Roman" w:hAnsi="Times New Roman" w:cs="Times New Roman"/>
          <w:i/>
          <w:iCs/>
          <w:sz w:val="24"/>
          <w:szCs w:val="24"/>
        </w:rPr>
        <w:t>Scientific Reports</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14</w:t>
      </w:r>
      <w:r w:rsidRPr="003D32FA">
        <w:rPr>
          <w:rFonts w:ascii="Times New Roman" w:hAnsi="Times New Roman" w:cs="Times New Roman"/>
          <w:sz w:val="24"/>
          <w:szCs w:val="24"/>
        </w:rPr>
        <w:t xml:space="preserve">(1), 20254. </w:t>
      </w:r>
      <w:hyperlink r:id="rId35" w:history="1">
        <w:r w:rsidRPr="003D32FA">
          <w:rPr>
            <w:rStyle w:val="Hyperlink"/>
            <w:rFonts w:ascii="Times New Roman" w:hAnsi="Times New Roman" w:cs="Times New Roman"/>
            <w:color w:val="auto"/>
            <w:sz w:val="24"/>
            <w:szCs w:val="24"/>
            <w:u w:val="none"/>
          </w:rPr>
          <w:t>https://doi.org/10.1038/s41598-024-70907-4</w:t>
        </w:r>
      </w:hyperlink>
    </w:p>
    <w:p w14:paraId="37FB649D" w14:textId="77777777" w:rsidR="00387C99" w:rsidRPr="00387C99" w:rsidRDefault="00387C99" w:rsidP="00387C99">
      <w:pPr>
        <w:spacing w:line="480" w:lineRule="auto"/>
        <w:ind w:left="709" w:hanging="709"/>
        <w:jc w:val="both"/>
        <w:rPr>
          <w:rFonts w:ascii="Times New Roman" w:hAnsi="Times New Roman" w:cs="Times New Roman"/>
          <w:sz w:val="24"/>
          <w:szCs w:val="24"/>
        </w:rPr>
      </w:pPr>
      <w:r w:rsidRPr="00387C99">
        <w:rPr>
          <w:rFonts w:ascii="Times New Roman" w:hAnsi="Times New Roman" w:cs="Times New Roman"/>
          <w:sz w:val="24"/>
          <w:szCs w:val="24"/>
        </w:rPr>
        <w:t xml:space="preserve">Higuera, A., Herrera, G., Jimenez, P., García-Corredor, D., Pulido-Medellín, M., Bulla-Castañeda, D. M., Pinilla, J. C., Moreno-Pérez, D. A., Maloney, J. G., Santín, M., &amp; Ramírez, J. D. (2021). Identification of Multiple </w:t>
      </w:r>
      <w:r w:rsidRPr="00387C99">
        <w:rPr>
          <w:rFonts w:ascii="Times New Roman" w:hAnsi="Times New Roman" w:cs="Times New Roman"/>
          <w:i/>
          <w:iCs/>
          <w:sz w:val="24"/>
          <w:szCs w:val="24"/>
        </w:rPr>
        <w:t>Blastocystis</w:t>
      </w:r>
      <w:r w:rsidRPr="00387C99">
        <w:rPr>
          <w:rFonts w:ascii="Times New Roman" w:hAnsi="Times New Roman" w:cs="Times New Roman"/>
          <w:sz w:val="24"/>
          <w:szCs w:val="24"/>
        </w:rPr>
        <w:t xml:space="preserve"> Subtypes in Domestic Animals From Colombia Using Amplicon-Based Next Generation Sequencing. </w:t>
      </w:r>
      <w:r w:rsidRPr="00387C99">
        <w:rPr>
          <w:rFonts w:ascii="Times New Roman" w:hAnsi="Times New Roman" w:cs="Times New Roman"/>
          <w:i/>
          <w:iCs/>
          <w:sz w:val="24"/>
          <w:szCs w:val="24"/>
        </w:rPr>
        <w:t>Frontiers in Veterinary Science</w:t>
      </w:r>
      <w:r w:rsidRPr="00387C99">
        <w:rPr>
          <w:rFonts w:ascii="Times New Roman" w:hAnsi="Times New Roman" w:cs="Times New Roman"/>
          <w:sz w:val="24"/>
          <w:szCs w:val="24"/>
        </w:rPr>
        <w:t xml:space="preserve">, </w:t>
      </w:r>
      <w:r w:rsidRPr="00387C99">
        <w:rPr>
          <w:rFonts w:ascii="Times New Roman" w:hAnsi="Times New Roman" w:cs="Times New Roman"/>
          <w:i/>
          <w:iCs/>
          <w:sz w:val="24"/>
          <w:szCs w:val="24"/>
        </w:rPr>
        <w:t>8</w:t>
      </w:r>
      <w:r w:rsidRPr="00387C99">
        <w:rPr>
          <w:rFonts w:ascii="Times New Roman" w:hAnsi="Times New Roman" w:cs="Times New Roman"/>
          <w:sz w:val="24"/>
          <w:szCs w:val="24"/>
        </w:rPr>
        <w:t>. https://doi.org/10.3389/fvets.2021.732129</w:t>
      </w:r>
    </w:p>
    <w:p w14:paraId="21B5F971"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Khademvatan, S., Masjedizadeh, R., Yousefi-Razin, E., Mahbodfar, H., Rahim, F., Yousefi, E., &amp; Foroutan, M. (2018). PCR-based molecular characterization of Blastocystis hominis subtypes in southwest of Iran. </w:t>
      </w:r>
      <w:r w:rsidRPr="003D32FA">
        <w:rPr>
          <w:rFonts w:ascii="Times New Roman" w:hAnsi="Times New Roman" w:cs="Times New Roman"/>
          <w:i/>
          <w:iCs/>
          <w:sz w:val="24"/>
          <w:szCs w:val="24"/>
        </w:rPr>
        <w:t>Journal of Infection and Public Health</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11</w:t>
      </w:r>
      <w:r w:rsidRPr="003D32FA">
        <w:rPr>
          <w:rFonts w:ascii="Times New Roman" w:hAnsi="Times New Roman" w:cs="Times New Roman"/>
          <w:sz w:val="24"/>
          <w:szCs w:val="24"/>
        </w:rPr>
        <w:t xml:space="preserve">(1), 43–47. </w:t>
      </w:r>
      <w:hyperlink r:id="rId36" w:history="1">
        <w:r w:rsidRPr="003D32FA">
          <w:rPr>
            <w:rStyle w:val="Hyperlink"/>
            <w:rFonts w:ascii="Times New Roman" w:hAnsi="Times New Roman" w:cs="Times New Roman"/>
            <w:color w:val="auto"/>
            <w:sz w:val="24"/>
            <w:szCs w:val="24"/>
            <w:u w:val="none"/>
          </w:rPr>
          <w:t>https://doi.org/10.1016/j.jiph.2017.03.009</w:t>
        </w:r>
      </w:hyperlink>
    </w:p>
    <w:p w14:paraId="5D2F357F"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Lee, L. I., Chye, T. T., Karmacharya, B. M., &amp; Govind, S. K. (2012). Blastocystis sp.: Waterborne zoonotic organism, a possibility? </w:t>
      </w:r>
      <w:r w:rsidRPr="003D32FA">
        <w:rPr>
          <w:rFonts w:ascii="Times New Roman" w:hAnsi="Times New Roman" w:cs="Times New Roman"/>
          <w:i/>
          <w:iCs/>
          <w:sz w:val="24"/>
          <w:szCs w:val="24"/>
        </w:rPr>
        <w:t>Parasites &amp; Vectors</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5</w:t>
      </w:r>
      <w:r w:rsidRPr="003D32FA">
        <w:rPr>
          <w:rFonts w:ascii="Times New Roman" w:hAnsi="Times New Roman" w:cs="Times New Roman"/>
          <w:sz w:val="24"/>
          <w:szCs w:val="24"/>
        </w:rPr>
        <w:t xml:space="preserve">(1), 130. </w:t>
      </w:r>
      <w:hyperlink r:id="rId37" w:history="1">
        <w:r w:rsidRPr="003D32FA">
          <w:rPr>
            <w:rStyle w:val="Hyperlink"/>
            <w:rFonts w:ascii="Times New Roman" w:hAnsi="Times New Roman" w:cs="Times New Roman"/>
            <w:color w:val="auto"/>
            <w:sz w:val="24"/>
            <w:szCs w:val="24"/>
            <w:u w:val="none"/>
          </w:rPr>
          <w:t>https://doi.org/10.1186/1756-3305-5-130</w:t>
        </w:r>
      </w:hyperlink>
    </w:p>
    <w:p w14:paraId="772433FB"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Matovelle, C., Tejedor, M. T., Monteagudo, L. V., Beltrán, A., &amp; Quílez, J. (2022). Prevalence and Associated Factors of Blastocystis sp. Infection in Patients with Gastrointestinal Symptoms in Spain: A Case-Control Study. </w:t>
      </w:r>
      <w:r w:rsidRPr="003D32FA">
        <w:rPr>
          <w:rFonts w:ascii="Times New Roman" w:hAnsi="Times New Roman" w:cs="Times New Roman"/>
          <w:i/>
          <w:iCs/>
          <w:sz w:val="24"/>
          <w:szCs w:val="24"/>
        </w:rPr>
        <w:t>Tropical Medicine and Infectious Disease</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7</w:t>
      </w:r>
      <w:r w:rsidRPr="003D32FA">
        <w:rPr>
          <w:rFonts w:ascii="Times New Roman" w:hAnsi="Times New Roman" w:cs="Times New Roman"/>
          <w:sz w:val="24"/>
          <w:szCs w:val="24"/>
        </w:rPr>
        <w:t xml:space="preserve">(9), 226. </w:t>
      </w:r>
      <w:hyperlink r:id="rId38" w:history="1">
        <w:r w:rsidRPr="003D32FA">
          <w:rPr>
            <w:rStyle w:val="Hyperlink"/>
            <w:rFonts w:ascii="Times New Roman" w:hAnsi="Times New Roman" w:cs="Times New Roman"/>
            <w:color w:val="auto"/>
            <w:sz w:val="24"/>
            <w:szCs w:val="24"/>
            <w:u w:val="none"/>
          </w:rPr>
          <w:t>https://doi.org/10.3390/tropicalmed7090226</w:t>
        </w:r>
      </w:hyperlink>
    </w:p>
    <w:p w14:paraId="42EB2523"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Nemati, S., Zali, M. R., Johnson, P., Mirjalali, H., &amp; Karanis, P. (2021). Molecular prevalence and subtype distribution of Blastocystis sp. In Asia and in Australia. </w:t>
      </w:r>
      <w:r w:rsidRPr="003D32FA">
        <w:rPr>
          <w:rFonts w:ascii="Times New Roman" w:hAnsi="Times New Roman" w:cs="Times New Roman"/>
          <w:i/>
          <w:iCs/>
          <w:sz w:val="24"/>
          <w:szCs w:val="24"/>
        </w:rPr>
        <w:t>Journal of Water and Health</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19</w:t>
      </w:r>
      <w:r w:rsidRPr="003D32FA">
        <w:rPr>
          <w:rFonts w:ascii="Times New Roman" w:hAnsi="Times New Roman" w:cs="Times New Roman"/>
          <w:sz w:val="24"/>
          <w:szCs w:val="24"/>
        </w:rPr>
        <w:t xml:space="preserve">(5), 687–704. </w:t>
      </w:r>
      <w:hyperlink r:id="rId39" w:history="1">
        <w:r w:rsidRPr="003D32FA">
          <w:rPr>
            <w:rStyle w:val="Hyperlink"/>
            <w:rFonts w:ascii="Times New Roman" w:hAnsi="Times New Roman" w:cs="Times New Roman"/>
            <w:color w:val="auto"/>
            <w:sz w:val="24"/>
            <w:szCs w:val="24"/>
            <w:u w:val="none"/>
          </w:rPr>
          <w:t>https://doi.org/10.2166/wh.2021.011</w:t>
        </w:r>
      </w:hyperlink>
    </w:p>
    <w:p w14:paraId="51FC7A6B"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lastRenderedPageBreak/>
        <w:t xml:space="preserve">Notorio, H. L. B., Martin, L. A. E., Manuel, G. J. F., Guintu, J. P., Hernandez, F. V., Javier, J. L. R., Lomibao, G. M. P., Manongsong, K. K. D., &amp; Lirio, M. R. F. (2025). Correlation on the presence of Blastocystis hominis and tuberculosis from a provincial jail in the Philippines. </w:t>
      </w:r>
      <w:r w:rsidRPr="003D32FA">
        <w:rPr>
          <w:rFonts w:ascii="Times New Roman" w:hAnsi="Times New Roman" w:cs="Times New Roman"/>
          <w:i/>
          <w:iCs/>
          <w:sz w:val="24"/>
          <w:szCs w:val="24"/>
        </w:rPr>
        <w:t>International Journal of Biosciences (IJB)</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26</w:t>
      </w:r>
      <w:r w:rsidRPr="003D32FA">
        <w:rPr>
          <w:rFonts w:ascii="Times New Roman" w:hAnsi="Times New Roman" w:cs="Times New Roman"/>
          <w:sz w:val="24"/>
          <w:szCs w:val="24"/>
        </w:rPr>
        <w:t xml:space="preserve">(2), 1–8. </w:t>
      </w:r>
      <w:hyperlink r:id="rId40" w:history="1">
        <w:r w:rsidRPr="003D32FA">
          <w:rPr>
            <w:rStyle w:val="Hyperlink"/>
            <w:rFonts w:ascii="Times New Roman" w:hAnsi="Times New Roman" w:cs="Times New Roman"/>
            <w:color w:val="auto"/>
            <w:sz w:val="24"/>
            <w:szCs w:val="24"/>
            <w:u w:val="none"/>
          </w:rPr>
          <w:t>https://doi.org/10.12692/ijb/26.2.1-8</w:t>
        </w:r>
      </w:hyperlink>
    </w:p>
    <w:p w14:paraId="5DF13861"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Parija, S. C., &amp; Jeremiah, S. S. (2013). Blastocystis: Taxonomy, biology and virulence. </w:t>
      </w:r>
      <w:r w:rsidRPr="003D32FA">
        <w:rPr>
          <w:rFonts w:ascii="Times New Roman" w:hAnsi="Times New Roman" w:cs="Times New Roman"/>
          <w:i/>
          <w:iCs/>
          <w:sz w:val="24"/>
          <w:szCs w:val="24"/>
        </w:rPr>
        <w:t>Tropical Parasitology</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3</w:t>
      </w:r>
      <w:r w:rsidRPr="003D32FA">
        <w:rPr>
          <w:rFonts w:ascii="Times New Roman" w:hAnsi="Times New Roman" w:cs="Times New Roman"/>
          <w:sz w:val="24"/>
          <w:szCs w:val="24"/>
        </w:rPr>
        <w:t xml:space="preserve">(1), 17. </w:t>
      </w:r>
      <w:hyperlink r:id="rId41" w:history="1">
        <w:r w:rsidRPr="003D32FA">
          <w:rPr>
            <w:rStyle w:val="Hyperlink"/>
            <w:rFonts w:ascii="Times New Roman" w:hAnsi="Times New Roman" w:cs="Times New Roman"/>
            <w:color w:val="auto"/>
            <w:sz w:val="24"/>
            <w:szCs w:val="24"/>
            <w:u w:val="none"/>
          </w:rPr>
          <w:t>https://doi.org/10.4103/2229-5070.113894</w:t>
        </w:r>
      </w:hyperlink>
    </w:p>
    <w:p w14:paraId="0A0CD575" w14:textId="77777777" w:rsidR="00695B10" w:rsidRDefault="00695B10" w:rsidP="003D32FA">
      <w:pPr>
        <w:spacing w:line="480" w:lineRule="auto"/>
        <w:ind w:left="709" w:hanging="709"/>
        <w:jc w:val="both"/>
      </w:pPr>
      <w:r w:rsidRPr="003D32FA">
        <w:rPr>
          <w:rFonts w:ascii="Times New Roman" w:hAnsi="Times New Roman" w:cs="Times New Roman"/>
          <w:sz w:val="24"/>
          <w:szCs w:val="24"/>
        </w:rPr>
        <w:t xml:space="preserve">Pérez, M. R., Yáñez, C. M., Hernández, A. M., Sustaita, J. J. D., Jiménez, E. G., Andrade, M. R., Vargas, G. G. G., &amp; Gómez, J. O. G. (2020). Blastocystis infection frequency and subtype distribution in university students. </w:t>
      </w:r>
      <w:r w:rsidRPr="003D32FA">
        <w:rPr>
          <w:rFonts w:ascii="Times New Roman" w:hAnsi="Times New Roman" w:cs="Times New Roman"/>
          <w:i/>
          <w:iCs/>
          <w:sz w:val="24"/>
          <w:szCs w:val="24"/>
        </w:rPr>
        <w:t>Heliyon</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6</w:t>
      </w:r>
      <w:r w:rsidRPr="003D32FA">
        <w:rPr>
          <w:rFonts w:ascii="Times New Roman" w:hAnsi="Times New Roman" w:cs="Times New Roman"/>
          <w:sz w:val="24"/>
          <w:szCs w:val="24"/>
        </w:rPr>
        <w:t xml:space="preserve">(12). </w:t>
      </w:r>
      <w:hyperlink r:id="rId42" w:history="1">
        <w:r w:rsidRPr="003D32FA">
          <w:rPr>
            <w:rStyle w:val="Hyperlink"/>
            <w:rFonts w:ascii="Times New Roman" w:hAnsi="Times New Roman" w:cs="Times New Roman"/>
            <w:color w:val="auto"/>
            <w:sz w:val="24"/>
            <w:szCs w:val="24"/>
            <w:u w:val="none"/>
          </w:rPr>
          <w:t>https://doi.org/10.1016/j.heliyon.2020.e05729</w:t>
        </w:r>
      </w:hyperlink>
    </w:p>
    <w:p w14:paraId="32DBACFC" w14:textId="41C5CACD" w:rsidR="001A3ED5" w:rsidRPr="003D32FA" w:rsidRDefault="001A3ED5" w:rsidP="003D32FA">
      <w:pPr>
        <w:spacing w:line="480" w:lineRule="auto"/>
        <w:ind w:left="709" w:hanging="709"/>
        <w:jc w:val="both"/>
        <w:rPr>
          <w:rFonts w:ascii="Times New Roman" w:hAnsi="Times New Roman" w:cs="Times New Roman"/>
          <w:sz w:val="24"/>
          <w:szCs w:val="24"/>
        </w:rPr>
      </w:pPr>
      <w:r w:rsidRPr="001A3ED5">
        <w:rPr>
          <w:rFonts w:ascii="Times New Roman" w:hAnsi="Times New Roman" w:cs="Times New Roman"/>
          <w:sz w:val="24"/>
          <w:szCs w:val="24"/>
        </w:rPr>
        <w:t>Quidato, C</w:t>
      </w:r>
      <w:r>
        <w:rPr>
          <w:rFonts w:ascii="Times New Roman" w:hAnsi="Times New Roman" w:cs="Times New Roman"/>
          <w:sz w:val="24"/>
          <w:szCs w:val="24"/>
        </w:rPr>
        <w:t>.</w:t>
      </w:r>
      <w:r w:rsidRPr="001A3ED5">
        <w:rPr>
          <w:rFonts w:ascii="Times New Roman" w:hAnsi="Times New Roman" w:cs="Times New Roman"/>
          <w:sz w:val="24"/>
          <w:szCs w:val="24"/>
        </w:rPr>
        <w:t>J</w:t>
      </w:r>
      <w:r>
        <w:rPr>
          <w:rFonts w:ascii="Times New Roman" w:hAnsi="Times New Roman" w:cs="Times New Roman"/>
          <w:sz w:val="24"/>
          <w:szCs w:val="24"/>
        </w:rPr>
        <w:t>.</w:t>
      </w:r>
      <w:r w:rsidRPr="001A3ED5">
        <w:rPr>
          <w:rFonts w:ascii="Times New Roman" w:hAnsi="Times New Roman" w:cs="Times New Roman"/>
          <w:sz w:val="24"/>
          <w:szCs w:val="24"/>
        </w:rPr>
        <w:t>J., Guanzon</w:t>
      </w:r>
      <w:r>
        <w:rPr>
          <w:rFonts w:ascii="Times New Roman" w:hAnsi="Times New Roman" w:cs="Times New Roman"/>
          <w:sz w:val="24"/>
          <w:szCs w:val="24"/>
        </w:rPr>
        <w:t xml:space="preserve">, N.G. </w:t>
      </w:r>
      <w:r w:rsidRPr="001A3ED5">
        <w:rPr>
          <w:rFonts w:ascii="Times New Roman" w:hAnsi="Times New Roman" w:cs="Times New Roman"/>
          <w:sz w:val="24"/>
          <w:szCs w:val="24"/>
        </w:rPr>
        <w:t>Jr., Pakingking</w:t>
      </w:r>
      <w:r>
        <w:rPr>
          <w:rFonts w:ascii="Times New Roman" w:hAnsi="Times New Roman" w:cs="Times New Roman"/>
          <w:sz w:val="24"/>
          <w:szCs w:val="24"/>
        </w:rPr>
        <w:t xml:space="preserve">, R.V. </w:t>
      </w:r>
      <w:r w:rsidRPr="001A3ED5">
        <w:rPr>
          <w:rFonts w:ascii="Times New Roman" w:hAnsi="Times New Roman" w:cs="Times New Roman"/>
          <w:sz w:val="24"/>
          <w:szCs w:val="24"/>
        </w:rPr>
        <w:t xml:space="preserve">Jr. (2025) </w:t>
      </w:r>
      <w:r w:rsidRPr="001A3ED5">
        <w:rPr>
          <w:rFonts w:ascii="Times New Roman" w:hAnsi="Times New Roman" w:cs="Times New Roman"/>
          <w:i/>
          <w:iCs/>
          <w:sz w:val="24"/>
          <w:szCs w:val="24"/>
        </w:rPr>
        <w:t xml:space="preserve">Giardia </w:t>
      </w:r>
      <w:r>
        <w:rPr>
          <w:rFonts w:ascii="Times New Roman" w:hAnsi="Times New Roman" w:cs="Times New Roman"/>
          <w:i/>
          <w:iCs/>
          <w:sz w:val="24"/>
          <w:szCs w:val="24"/>
        </w:rPr>
        <w:t>d</w:t>
      </w:r>
      <w:r w:rsidRPr="001A3ED5">
        <w:rPr>
          <w:rFonts w:ascii="Times New Roman" w:hAnsi="Times New Roman" w:cs="Times New Roman"/>
          <w:i/>
          <w:iCs/>
          <w:sz w:val="24"/>
          <w:szCs w:val="24"/>
        </w:rPr>
        <w:t>uodenalis</w:t>
      </w:r>
      <w:r w:rsidRPr="001A3ED5">
        <w:rPr>
          <w:rFonts w:ascii="Times New Roman" w:hAnsi="Times New Roman" w:cs="Times New Roman"/>
          <w:sz w:val="24"/>
          <w:szCs w:val="24"/>
        </w:rPr>
        <w:t xml:space="preserve"> in the Philippines: A Review of Prevalence, Epidemiology, and Diagnostic and Treatment Challenges. </w:t>
      </w:r>
      <w:r w:rsidRPr="001A3ED5">
        <w:rPr>
          <w:rFonts w:ascii="Times New Roman" w:hAnsi="Times New Roman" w:cs="Times New Roman"/>
          <w:i/>
          <w:iCs/>
          <w:sz w:val="24"/>
          <w:szCs w:val="24"/>
        </w:rPr>
        <w:t>Uttar Pradesh Journal of Zoology</w:t>
      </w:r>
      <w:r w:rsidRPr="001A3ED5">
        <w:rPr>
          <w:rFonts w:ascii="Times New Roman" w:hAnsi="Times New Roman" w:cs="Times New Roman"/>
          <w:sz w:val="24"/>
          <w:szCs w:val="24"/>
        </w:rPr>
        <w:t xml:space="preserve"> 46 (2):210-24. </w:t>
      </w:r>
      <w:hyperlink r:id="rId43" w:history="1">
        <w:r w:rsidRPr="003521FB">
          <w:rPr>
            <w:rStyle w:val="Hyperlink"/>
            <w:rFonts w:ascii="Times New Roman" w:hAnsi="Times New Roman" w:cs="Times New Roman"/>
            <w:sz w:val="24"/>
            <w:szCs w:val="24"/>
          </w:rPr>
          <w:t>https://doi.org/10.56557/upjoz/2025/v46i24776</w:t>
        </w:r>
      </w:hyperlink>
      <w:r>
        <w:rPr>
          <w:rFonts w:ascii="Times New Roman" w:hAnsi="Times New Roman" w:cs="Times New Roman"/>
          <w:sz w:val="24"/>
          <w:szCs w:val="24"/>
        </w:rPr>
        <w:t xml:space="preserve"> </w:t>
      </w:r>
    </w:p>
    <w:p w14:paraId="2965926B"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Roberts, T., Barratt, J., Harkness, J., Ellis, J., &amp; Stark, D. (2011). Comparison of Microscopy, Culture, and Conventional Polymerase Chain Reaction for Detection of Blastocystis sp. In Clinical Stool Samples. </w:t>
      </w:r>
      <w:r w:rsidRPr="003D32FA">
        <w:rPr>
          <w:rFonts w:ascii="Times New Roman" w:hAnsi="Times New Roman" w:cs="Times New Roman"/>
          <w:i/>
          <w:iCs/>
          <w:sz w:val="24"/>
          <w:szCs w:val="24"/>
        </w:rPr>
        <w:t>The American Journal of Tropical Medicine and Hygiene</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84</w:t>
      </w:r>
      <w:r w:rsidRPr="003D32FA">
        <w:rPr>
          <w:rFonts w:ascii="Times New Roman" w:hAnsi="Times New Roman" w:cs="Times New Roman"/>
          <w:sz w:val="24"/>
          <w:szCs w:val="24"/>
        </w:rPr>
        <w:t xml:space="preserve">(2), 308–312. </w:t>
      </w:r>
      <w:hyperlink r:id="rId44" w:history="1">
        <w:r w:rsidRPr="003D32FA">
          <w:rPr>
            <w:rStyle w:val="Hyperlink"/>
            <w:rFonts w:ascii="Times New Roman" w:hAnsi="Times New Roman" w:cs="Times New Roman"/>
            <w:color w:val="auto"/>
            <w:sz w:val="24"/>
            <w:szCs w:val="24"/>
            <w:u w:val="none"/>
          </w:rPr>
          <w:t>https://doi.org/10.4269/ajtmh.2011.10-0447</w:t>
        </w:r>
      </w:hyperlink>
    </w:p>
    <w:p w14:paraId="38AECD17"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Rozi, M. F., &amp; Darlan, D. M. (2019). Blastocytosis hominis: Unboxing Its Clinical Significance. </w:t>
      </w:r>
      <w:r w:rsidRPr="003D32FA">
        <w:rPr>
          <w:rFonts w:ascii="Times New Roman" w:hAnsi="Times New Roman" w:cs="Times New Roman"/>
          <w:i/>
          <w:iCs/>
          <w:sz w:val="24"/>
          <w:szCs w:val="24"/>
        </w:rPr>
        <w:t>Sumatera Medical Journal</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2</w:t>
      </w:r>
      <w:r w:rsidRPr="003D32FA">
        <w:rPr>
          <w:rFonts w:ascii="Times New Roman" w:hAnsi="Times New Roman" w:cs="Times New Roman"/>
          <w:sz w:val="24"/>
          <w:szCs w:val="24"/>
        </w:rPr>
        <w:t xml:space="preserve">(2), Article 2. </w:t>
      </w:r>
      <w:hyperlink r:id="rId45" w:history="1">
        <w:r w:rsidRPr="003D32FA">
          <w:rPr>
            <w:rStyle w:val="Hyperlink"/>
            <w:rFonts w:ascii="Times New Roman" w:hAnsi="Times New Roman" w:cs="Times New Roman"/>
            <w:color w:val="auto"/>
            <w:sz w:val="24"/>
            <w:szCs w:val="24"/>
            <w:u w:val="none"/>
          </w:rPr>
          <w:t>https://doi.org/10.32734/sumej.v2i2.724</w:t>
        </w:r>
      </w:hyperlink>
    </w:p>
    <w:p w14:paraId="24FECA5E"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lastRenderedPageBreak/>
        <w:t xml:space="preserve">Rudzińska, M., &amp; Sikorska, K. (2023). Epidemiology of Blastocystis Infection: A Review of Data from Poland in Relation to Other Reports. </w:t>
      </w:r>
      <w:r w:rsidRPr="003D32FA">
        <w:rPr>
          <w:rFonts w:ascii="Times New Roman" w:hAnsi="Times New Roman" w:cs="Times New Roman"/>
          <w:i/>
          <w:iCs/>
          <w:sz w:val="24"/>
          <w:szCs w:val="24"/>
        </w:rPr>
        <w:t>Pathogens</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12</w:t>
      </w:r>
      <w:r w:rsidRPr="003D32FA">
        <w:rPr>
          <w:rFonts w:ascii="Times New Roman" w:hAnsi="Times New Roman" w:cs="Times New Roman"/>
          <w:sz w:val="24"/>
          <w:szCs w:val="24"/>
        </w:rPr>
        <w:t xml:space="preserve">(8), 1050. </w:t>
      </w:r>
      <w:hyperlink r:id="rId46" w:history="1">
        <w:r w:rsidRPr="003D32FA">
          <w:rPr>
            <w:rStyle w:val="Hyperlink"/>
            <w:rFonts w:ascii="Times New Roman" w:hAnsi="Times New Roman" w:cs="Times New Roman"/>
            <w:color w:val="auto"/>
            <w:sz w:val="24"/>
            <w:szCs w:val="24"/>
            <w:u w:val="none"/>
          </w:rPr>
          <w:t>https://doi.org/10.3390/pathogens12081050</w:t>
        </w:r>
      </w:hyperlink>
    </w:p>
    <w:p w14:paraId="5DA637E9" w14:textId="77777777" w:rsidR="00695B10" w:rsidRDefault="00695B10" w:rsidP="003D32FA">
      <w:pPr>
        <w:spacing w:line="480" w:lineRule="auto"/>
        <w:ind w:left="709" w:hanging="709"/>
        <w:jc w:val="both"/>
      </w:pPr>
      <w:r w:rsidRPr="003D32FA">
        <w:rPr>
          <w:rFonts w:ascii="Times New Roman" w:hAnsi="Times New Roman" w:cs="Times New Roman"/>
          <w:sz w:val="24"/>
          <w:szCs w:val="24"/>
        </w:rPr>
        <w:t xml:space="preserve">Salehi Sangani, G., Hosseini-Safa, A., Hosseini Farash, B. R., Salehi Sangani, P., Zarean, M., Moghaddas, E., Zoghdar Moghadam, S., Jarahi, L., Gholizadeh, A., &amp; Berenji, F. (2025). Detection and subtyping of Blastocystis sp. In human and animal stool samples using high-resolution melting analysis. </w:t>
      </w:r>
      <w:r w:rsidRPr="003D32FA">
        <w:rPr>
          <w:rFonts w:ascii="Times New Roman" w:hAnsi="Times New Roman" w:cs="Times New Roman"/>
          <w:i/>
          <w:iCs/>
          <w:sz w:val="24"/>
          <w:szCs w:val="24"/>
        </w:rPr>
        <w:t>BMC Infectious Diseases</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25</w:t>
      </w:r>
      <w:r w:rsidRPr="003D32FA">
        <w:rPr>
          <w:rFonts w:ascii="Times New Roman" w:hAnsi="Times New Roman" w:cs="Times New Roman"/>
          <w:sz w:val="24"/>
          <w:szCs w:val="24"/>
        </w:rPr>
        <w:t xml:space="preserve">(1), 171. </w:t>
      </w:r>
      <w:hyperlink r:id="rId47" w:history="1">
        <w:r w:rsidRPr="003D32FA">
          <w:rPr>
            <w:rStyle w:val="Hyperlink"/>
            <w:rFonts w:ascii="Times New Roman" w:hAnsi="Times New Roman" w:cs="Times New Roman"/>
            <w:color w:val="auto"/>
            <w:sz w:val="24"/>
            <w:szCs w:val="24"/>
            <w:u w:val="none"/>
          </w:rPr>
          <w:t>https://doi.org/10.1186/s12879-024-10423-y</w:t>
        </w:r>
      </w:hyperlink>
    </w:p>
    <w:p w14:paraId="19811C82" w14:textId="0C480791" w:rsidR="00387C99" w:rsidRPr="00387C99" w:rsidRDefault="00387C99" w:rsidP="00387C99">
      <w:pPr>
        <w:spacing w:line="480" w:lineRule="auto"/>
        <w:ind w:left="709" w:hanging="709"/>
        <w:jc w:val="both"/>
        <w:rPr>
          <w:rFonts w:ascii="Times New Roman" w:hAnsi="Times New Roman" w:cs="Times New Roman"/>
          <w:sz w:val="24"/>
          <w:szCs w:val="24"/>
        </w:rPr>
      </w:pPr>
      <w:r w:rsidRPr="00387C99">
        <w:rPr>
          <w:rFonts w:ascii="Times New Roman" w:hAnsi="Times New Roman" w:cs="Times New Roman"/>
          <w:sz w:val="24"/>
          <w:szCs w:val="24"/>
        </w:rPr>
        <w:t xml:space="preserve">Santos, H. J., &amp; Rivera, W. L. (2013). Comparison of direct fecal smear microscopy, culture, and polymerase chain reaction for the detection of </w:t>
      </w:r>
      <w:r w:rsidRPr="00387C99">
        <w:rPr>
          <w:rFonts w:ascii="Times New Roman" w:hAnsi="Times New Roman" w:cs="Times New Roman"/>
          <w:i/>
          <w:iCs/>
          <w:sz w:val="24"/>
          <w:szCs w:val="24"/>
        </w:rPr>
        <w:t>Blastocystis</w:t>
      </w:r>
      <w:r w:rsidRPr="00387C99">
        <w:rPr>
          <w:rFonts w:ascii="Times New Roman" w:hAnsi="Times New Roman" w:cs="Times New Roman"/>
          <w:sz w:val="24"/>
          <w:szCs w:val="24"/>
        </w:rPr>
        <w:t xml:space="preserve"> sp. In human stool samples. </w:t>
      </w:r>
      <w:r w:rsidRPr="00387C99">
        <w:rPr>
          <w:rFonts w:ascii="Times New Roman" w:hAnsi="Times New Roman" w:cs="Times New Roman"/>
          <w:i/>
          <w:iCs/>
          <w:sz w:val="24"/>
          <w:szCs w:val="24"/>
        </w:rPr>
        <w:t>Asian Pacific Journal of Tropical Medicine</w:t>
      </w:r>
      <w:r w:rsidRPr="00387C99">
        <w:rPr>
          <w:rFonts w:ascii="Times New Roman" w:hAnsi="Times New Roman" w:cs="Times New Roman"/>
          <w:sz w:val="24"/>
          <w:szCs w:val="24"/>
        </w:rPr>
        <w:t xml:space="preserve">, </w:t>
      </w:r>
      <w:r w:rsidRPr="00387C99">
        <w:rPr>
          <w:rFonts w:ascii="Times New Roman" w:hAnsi="Times New Roman" w:cs="Times New Roman"/>
          <w:i/>
          <w:iCs/>
          <w:sz w:val="24"/>
          <w:szCs w:val="24"/>
        </w:rPr>
        <w:t>6</w:t>
      </w:r>
      <w:r w:rsidRPr="00387C99">
        <w:rPr>
          <w:rFonts w:ascii="Times New Roman" w:hAnsi="Times New Roman" w:cs="Times New Roman"/>
          <w:sz w:val="24"/>
          <w:szCs w:val="24"/>
        </w:rPr>
        <w:t xml:space="preserve">(10), 780–784. </w:t>
      </w:r>
      <w:hyperlink r:id="rId48" w:history="1">
        <w:r w:rsidRPr="003521FB">
          <w:rPr>
            <w:rStyle w:val="Hyperlink"/>
            <w:rFonts w:ascii="Times New Roman" w:hAnsi="Times New Roman" w:cs="Times New Roman"/>
            <w:sz w:val="24"/>
            <w:szCs w:val="24"/>
          </w:rPr>
          <w:t>https://doi.org/10.1016/S1995-7645(13)60138-8</w:t>
        </w:r>
      </w:hyperlink>
      <w:r>
        <w:rPr>
          <w:rFonts w:ascii="Times New Roman" w:hAnsi="Times New Roman" w:cs="Times New Roman"/>
          <w:sz w:val="24"/>
          <w:szCs w:val="24"/>
        </w:rPr>
        <w:t xml:space="preserve"> </w:t>
      </w:r>
    </w:p>
    <w:p w14:paraId="4CBBD596" w14:textId="2A854E16"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Sekar, U., &amp; Shanthi, M. (2015). Recent insights into the genetic diversity, epidemiology and clinical relevance of Blastocystis species. </w:t>
      </w:r>
      <w:r w:rsidRPr="003D32FA">
        <w:rPr>
          <w:rFonts w:ascii="Times New Roman" w:hAnsi="Times New Roman" w:cs="Times New Roman"/>
          <w:i/>
          <w:iCs/>
          <w:sz w:val="24"/>
          <w:szCs w:val="24"/>
        </w:rPr>
        <w:t>The Journal of Medical Research</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1</w:t>
      </w:r>
      <w:r w:rsidRPr="003D32FA">
        <w:rPr>
          <w:rFonts w:ascii="Times New Roman" w:hAnsi="Times New Roman" w:cs="Times New Roman"/>
          <w:sz w:val="24"/>
          <w:szCs w:val="24"/>
        </w:rPr>
        <w:t xml:space="preserve">(1), 33–39. </w:t>
      </w:r>
      <w:hyperlink r:id="rId49" w:history="1">
        <w:r w:rsidRPr="003D32FA">
          <w:rPr>
            <w:rStyle w:val="Hyperlink"/>
            <w:rFonts w:ascii="Times New Roman" w:hAnsi="Times New Roman" w:cs="Times New Roman"/>
            <w:color w:val="auto"/>
            <w:sz w:val="24"/>
            <w:szCs w:val="24"/>
            <w:u w:val="none"/>
          </w:rPr>
          <w:t>https://doi.org/10.31254/jmr.2015.1110</w:t>
        </w:r>
      </w:hyperlink>
      <w:r w:rsidR="00387C99">
        <w:t xml:space="preserve">  </w:t>
      </w:r>
    </w:p>
    <w:p w14:paraId="5CFDC391"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Srichaipon, N., Nuchprayoon, S., Charuchaibovorn, S., Sukkapan, P., &amp; Sanprasert, V. (2019). A Simple Genotyping Method for Rapid Differentiation of Blastocystis Subtypes and Subtype Distribution of Blastocystis spp. In Thailand. </w:t>
      </w:r>
      <w:r w:rsidRPr="003D32FA">
        <w:rPr>
          <w:rFonts w:ascii="Times New Roman" w:hAnsi="Times New Roman" w:cs="Times New Roman"/>
          <w:i/>
          <w:iCs/>
          <w:sz w:val="24"/>
          <w:szCs w:val="24"/>
        </w:rPr>
        <w:t>Pathogens</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8</w:t>
      </w:r>
      <w:r w:rsidRPr="003D32FA">
        <w:rPr>
          <w:rFonts w:ascii="Times New Roman" w:hAnsi="Times New Roman" w:cs="Times New Roman"/>
          <w:sz w:val="24"/>
          <w:szCs w:val="24"/>
        </w:rPr>
        <w:t xml:space="preserve">(1), Article 1. </w:t>
      </w:r>
      <w:hyperlink r:id="rId50" w:history="1">
        <w:r w:rsidRPr="003D32FA">
          <w:rPr>
            <w:rStyle w:val="Hyperlink"/>
            <w:rFonts w:ascii="Times New Roman" w:hAnsi="Times New Roman" w:cs="Times New Roman"/>
            <w:color w:val="auto"/>
            <w:sz w:val="24"/>
            <w:szCs w:val="24"/>
            <w:u w:val="none"/>
          </w:rPr>
          <w:t>https://doi.org/10.3390/pathogens8010038</w:t>
        </w:r>
      </w:hyperlink>
    </w:p>
    <w:p w14:paraId="0E4476FB"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Tasić, N., Milenković, T., Bujić, V., Zdravković, D., &amp; Tasić, A. (2017). BLASTOCYSTIS HOMINIS: A MYSTERIOUS AND COMMONLY DISREGARDED PARASITE. </w:t>
      </w:r>
      <w:r w:rsidRPr="003D32FA">
        <w:rPr>
          <w:rFonts w:ascii="Times New Roman" w:hAnsi="Times New Roman" w:cs="Times New Roman"/>
          <w:i/>
          <w:iCs/>
          <w:sz w:val="24"/>
          <w:szCs w:val="24"/>
        </w:rPr>
        <w:t>Facta Universitatis, Series: Medicine and Biology</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18</w:t>
      </w:r>
      <w:r w:rsidRPr="003D32FA">
        <w:rPr>
          <w:rFonts w:ascii="Times New Roman" w:hAnsi="Times New Roman" w:cs="Times New Roman"/>
          <w:sz w:val="24"/>
          <w:szCs w:val="24"/>
        </w:rPr>
        <w:t xml:space="preserve">(2), Article 0. </w:t>
      </w:r>
      <w:hyperlink r:id="rId51" w:history="1">
        <w:r w:rsidRPr="003D32FA">
          <w:rPr>
            <w:rStyle w:val="Hyperlink"/>
            <w:rFonts w:ascii="Times New Roman" w:hAnsi="Times New Roman" w:cs="Times New Roman"/>
            <w:color w:val="auto"/>
            <w:sz w:val="24"/>
            <w:szCs w:val="24"/>
            <w:u w:val="none"/>
          </w:rPr>
          <w:t>https://doi.org/10.22190/FUMB161027001T</w:t>
        </w:r>
      </w:hyperlink>
    </w:p>
    <w:p w14:paraId="739544D6"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lastRenderedPageBreak/>
        <w:t xml:space="preserve">Tsaousis, A. D., Gentekaki, E., &amp; Stensvold, C. R. (2024). Advancing research on Blastocystis through a One Health approach. </w:t>
      </w:r>
      <w:r w:rsidRPr="003D32FA">
        <w:rPr>
          <w:rFonts w:ascii="Times New Roman" w:hAnsi="Times New Roman" w:cs="Times New Roman"/>
          <w:i/>
          <w:iCs/>
          <w:sz w:val="24"/>
          <w:szCs w:val="24"/>
        </w:rPr>
        <w:t>Open Research Europe</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4</w:t>
      </w:r>
      <w:r w:rsidRPr="003D32FA">
        <w:rPr>
          <w:rFonts w:ascii="Times New Roman" w:hAnsi="Times New Roman" w:cs="Times New Roman"/>
          <w:sz w:val="24"/>
          <w:szCs w:val="24"/>
        </w:rPr>
        <w:t xml:space="preserve">, 145. </w:t>
      </w:r>
      <w:hyperlink r:id="rId52" w:history="1">
        <w:r w:rsidRPr="003D32FA">
          <w:rPr>
            <w:rStyle w:val="Hyperlink"/>
            <w:rFonts w:ascii="Times New Roman" w:hAnsi="Times New Roman" w:cs="Times New Roman"/>
            <w:color w:val="auto"/>
            <w:sz w:val="24"/>
            <w:szCs w:val="24"/>
            <w:u w:val="none"/>
          </w:rPr>
          <w:t>https://doi.org/10.12688/openreseurope.18046.1</w:t>
        </w:r>
      </w:hyperlink>
    </w:p>
    <w:p w14:paraId="407EB4C9"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Ulep, V. G., Talamayan, J. T., Casas, L. D., Villaseñor, J. M., Bacatan, E., Philippine Institute for Development Studies, &amp; United Nations Children’s Fund. (2024). The Last-Mile Challenge: Water, Sanitation, and Hygiene (WASH) in the Philippines. </w:t>
      </w:r>
      <w:r w:rsidRPr="003D32FA">
        <w:rPr>
          <w:rFonts w:ascii="Times New Roman" w:hAnsi="Times New Roman" w:cs="Times New Roman"/>
          <w:i/>
          <w:iCs/>
          <w:sz w:val="24"/>
          <w:szCs w:val="24"/>
        </w:rPr>
        <w:t>Philippine Institute for Development Studies</w:t>
      </w:r>
      <w:r w:rsidRPr="003D32FA">
        <w:rPr>
          <w:rFonts w:ascii="Times New Roman" w:hAnsi="Times New Roman" w:cs="Times New Roman"/>
          <w:sz w:val="24"/>
          <w:szCs w:val="24"/>
        </w:rPr>
        <w:t xml:space="preserve">. </w:t>
      </w:r>
      <w:hyperlink r:id="rId53" w:history="1">
        <w:r w:rsidRPr="003D32FA">
          <w:rPr>
            <w:rStyle w:val="Hyperlink"/>
            <w:rFonts w:ascii="Times New Roman" w:hAnsi="Times New Roman" w:cs="Times New Roman"/>
            <w:color w:val="auto"/>
            <w:sz w:val="24"/>
            <w:szCs w:val="24"/>
            <w:u w:val="none"/>
          </w:rPr>
          <w:t>https://doi.org/10.62986/dp2024.19</w:t>
        </w:r>
      </w:hyperlink>
    </w:p>
    <w:p w14:paraId="57EA645A"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Wahid, B. Z., Haque, M. A., Gazi, M. A., Fahim, S. M., Faruque, A. S. G., Mahfuz, M., &amp; Ahmed, T. (2023). Site-Specific Incidence Rate of Blastocystis hominis and Its Association with Childhood Malnutrition: Findings from a Multi-Country Birth Cohort Study. </w:t>
      </w:r>
      <w:r w:rsidRPr="003D32FA">
        <w:rPr>
          <w:rFonts w:ascii="Times New Roman" w:hAnsi="Times New Roman" w:cs="Times New Roman"/>
          <w:i/>
          <w:iCs/>
          <w:sz w:val="24"/>
          <w:szCs w:val="24"/>
        </w:rPr>
        <w:t>The American Journal of Tropical Medicine and Hygiene</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108</w:t>
      </w:r>
      <w:r w:rsidRPr="003D32FA">
        <w:rPr>
          <w:rFonts w:ascii="Times New Roman" w:hAnsi="Times New Roman" w:cs="Times New Roman"/>
          <w:sz w:val="24"/>
          <w:szCs w:val="24"/>
        </w:rPr>
        <w:t xml:space="preserve">(5), 887–894. </w:t>
      </w:r>
      <w:hyperlink r:id="rId54" w:history="1">
        <w:r w:rsidRPr="003D32FA">
          <w:rPr>
            <w:rStyle w:val="Hyperlink"/>
            <w:rFonts w:ascii="Times New Roman" w:hAnsi="Times New Roman" w:cs="Times New Roman"/>
            <w:color w:val="auto"/>
            <w:sz w:val="24"/>
            <w:szCs w:val="24"/>
            <w:u w:val="none"/>
          </w:rPr>
          <w:t>https://doi.org/10.4269/ajtmh.22-0662</w:t>
        </w:r>
      </w:hyperlink>
    </w:p>
    <w:p w14:paraId="5618A8A9"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Weerakoon, K. G., Gordon, C. A., Williams, G. M., Cai, P., Gobert, G. N., Olveda, R. M., Ross, A. G., Olveda, D. U., &amp; McManus, D. P. (2018). Co-parasitism of intestinal protozoa and Schistosoma japonicum in a rural community in the Philippines. </w:t>
      </w:r>
      <w:r w:rsidRPr="003D32FA">
        <w:rPr>
          <w:rFonts w:ascii="Times New Roman" w:hAnsi="Times New Roman" w:cs="Times New Roman"/>
          <w:i/>
          <w:iCs/>
          <w:sz w:val="24"/>
          <w:szCs w:val="24"/>
        </w:rPr>
        <w:t>Infectious Diseases of Poverty</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07</w:t>
      </w:r>
      <w:r w:rsidRPr="003D32FA">
        <w:rPr>
          <w:rFonts w:ascii="Times New Roman" w:hAnsi="Times New Roman" w:cs="Times New Roman"/>
          <w:sz w:val="24"/>
          <w:szCs w:val="24"/>
        </w:rPr>
        <w:t xml:space="preserve">(06), 24–34. </w:t>
      </w:r>
      <w:hyperlink r:id="rId55" w:history="1">
        <w:r w:rsidRPr="003D32FA">
          <w:rPr>
            <w:rStyle w:val="Hyperlink"/>
            <w:rFonts w:ascii="Times New Roman" w:hAnsi="Times New Roman" w:cs="Times New Roman"/>
            <w:color w:val="auto"/>
            <w:sz w:val="24"/>
            <w:szCs w:val="24"/>
            <w:u w:val="none"/>
          </w:rPr>
          <w:t>https://doi.org/10.1186/s40249-018-0504-6</w:t>
        </w:r>
      </w:hyperlink>
    </w:p>
    <w:p w14:paraId="0B0B3EAE"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Yoshikawa, H., Koyama, Y., Tsuchiya, E., &amp; Takami, K. (2016). </w:t>
      </w:r>
      <w:r w:rsidRPr="003D32FA">
        <w:rPr>
          <w:rFonts w:ascii="Times New Roman" w:hAnsi="Times New Roman" w:cs="Times New Roman"/>
          <w:i/>
          <w:iCs/>
          <w:sz w:val="24"/>
          <w:szCs w:val="24"/>
        </w:rPr>
        <w:t>Blastocystis</w:t>
      </w:r>
      <w:r w:rsidRPr="003D32FA">
        <w:rPr>
          <w:rFonts w:ascii="Times New Roman" w:hAnsi="Times New Roman" w:cs="Times New Roman"/>
          <w:sz w:val="24"/>
          <w:szCs w:val="24"/>
        </w:rPr>
        <w:t xml:space="preserve"> phylogeny among various isolates from humans to insects. </w:t>
      </w:r>
      <w:r w:rsidRPr="003D32FA">
        <w:rPr>
          <w:rFonts w:ascii="Times New Roman" w:hAnsi="Times New Roman" w:cs="Times New Roman"/>
          <w:i/>
          <w:iCs/>
          <w:sz w:val="24"/>
          <w:szCs w:val="24"/>
        </w:rPr>
        <w:t>Parasitology International</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65</w:t>
      </w:r>
      <w:r w:rsidRPr="003D32FA">
        <w:rPr>
          <w:rFonts w:ascii="Times New Roman" w:hAnsi="Times New Roman" w:cs="Times New Roman"/>
          <w:sz w:val="24"/>
          <w:szCs w:val="24"/>
        </w:rPr>
        <w:t xml:space="preserve">(6, Part B), 750–759. </w:t>
      </w:r>
      <w:hyperlink r:id="rId56" w:history="1">
        <w:r w:rsidRPr="003D32FA">
          <w:rPr>
            <w:rStyle w:val="Hyperlink"/>
            <w:rFonts w:ascii="Times New Roman" w:hAnsi="Times New Roman" w:cs="Times New Roman"/>
            <w:color w:val="auto"/>
            <w:sz w:val="24"/>
            <w:szCs w:val="24"/>
            <w:u w:val="none"/>
          </w:rPr>
          <w:t>https://doi.org/10.1016/j.parint.2016.04.004</w:t>
        </w:r>
      </w:hyperlink>
    </w:p>
    <w:p w14:paraId="4970402C"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Yoshikawa, H., Yoshida, K., Nakajima, A., Yamanari, K., Iwatani, S., &amp; Kimata, I. (2004). Fecal-oral transmission of the cyst form of Blastocystis hominis in rats. </w:t>
      </w:r>
      <w:r w:rsidRPr="003D32FA">
        <w:rPr>
          <w:rFonts w:ascii="Times New Roman" w:hAnsi="Times New Roman" w:cs="Times New Roman"/>
          <w:i/>
          <w:iCs/>
          <w:sz w:val="24"/>
          <w:szCs w:val="24"/>
        </w:rPr>
        <w:t>Parasitology Research</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94</w:t>
      </w:r>
      <w:r w:rsidRPr="003D32FA">
        <w:rPr>
          <w:rFonts w:ascii="Times New Roman" w:hAnsi="Times New Roman" w:cs="Times New Roman"/>
          <w:sz w:val="24"/>
          <w:szCs w:val="24"/>
        </w:rPr>
        <w:t xml:space="preserve">(6), 391–396. </w:t>
      </w:r>
      <w:hyperlink r:id="rId57" w:history="1">
        <w:r w:rsidRPr="003D32FA">
          <w:rPr>
            <w:rStyle w:val="Hyperlink"/>
            <w:rFonts w:ascii="Times New Roman" w:hAnsi="Times New Roman" w:cs="Times New Roman"/>
            <w:color w:val="auto"/>
            <w:sz w:val="24"/>
            <w:szCs w:val="24"/>
            <w:u w:val="none"/>
          </w:rPr>
          <w:t>https://doi.org/10.1007/s00436-004-1230-5</w:t>
        </w:r>
      </w:hyperlink>
    </w:p>
    <w:p w14:paraId="725AC334"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lastRenderedPageBreak/>
        <w:t xml:space="preserve">Zhang, X., Zhang, S., Qiao, J., Wu, X., Zhao, L., Liu, Y., &amp; Fan, X. (2012). Ultrastructural insights into morphology and reproductive mode of Blastocystis hominis. </w:t>
      </w:r>
      <w:r w:rsidRPr="003D32FA">
        <w:rPr>
          <w:rFonts w:ascii="Times New Roman" w:hAnsi="Times New Roman" w:cs="Times New Roman"/>
          <w:i/>
          <w:iCs/>
          <w:sz w:val="24"/>
          <w:szCs w:val="24"/>
        </w:rPr>
        <w:t>Parasitology Research</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110</w:t>
      </w:r>
      <w:r w:rsidRPr="003D32FA">
        <w:rPr>
          <w:rFonts w:ascii="Times New Roman" w:hAnsi="Times New Roman" w:cs="Times New Roman"/>
          <w:sz w:val="24"/>
          <w:szCs w:val="24"/>
        </w:rPr>
        <w:t xml:space="preserve">(3), 1165–1172. </w:t>
      </w:r>
      <w:hyperlink r:id="rId58" w:history="1">
        <w:r w:rsidRPr="003D32FA">
          <w:rPr>
            <w:rStyle w:val="Hyperlink"/>
            <w:rFonts w:ascii="Times New Roman" w:hAnsi="Times New Roman" w:cs="Times New Roman"/>
            <w:color w:val="auto"/>
            <w:sz w:val="24"/>
            <w:szCs w:val="24"/>
            <w:u w:val="none"/>
          </w:rPr>
          <w:t>https://doi.org/10.1007/s00436-011-2607-x</w:t>
        </w:r>
      </w:hyperlink>
    </w:p>
    <w:p w14:paraId="35180851" w14:textId="6C5434D4" w:rsidR="00A64FC6" w:rsidRPr="003D32FA" w:rsidRDefault="00695B10" w:rsidP="003027C0">
      <w:pPr>
        <w:spacing w:line="480" w:lineRule="auto"/>
        <w:ind w:left="709" w:hanging="709"/>
        <w:jc w:val="both"/>
        <w:rPr>
          <w:rFonts w:ascii="Times New Roman" w:hAnsi="Times New Roman" w:cs="Times New Roman"/>
          <w:sz w:val="24"/>
          <w:szCs w:val="24"/>
          <w:lang w:val="en-US"/>
        </w:rPr>
      </w:pPr>
      <w:r w:rsidRPr="003D32FA">
        <w:rPr>
          <w:rFonts w:ascii="Times New Roman" w:hAnsi="Times New Roman" w:cs="Times New Roman"/>
          <w:sz w:val="24"/>
          <w:szCs w:val="24"/>
        </w:rPr>
        <w:t xml:space="preserve">Zulfa, F., Sari, I. P., &amp; Kurniawan, A. (2017). Association of Blastocystis subtypes with diarrhea in children. </w:t>
      </w:r>
      <w:r w:rsidRPr="003D32FA">
        <w:rPr>
          <w:rFonts w:ascii="Times New Roman" w:hAnsi="Times New Roman" w:cs="Times New Roman"/>
          <w:i/>
          <w:iCs/>
          <w:sz w:val="24"/>
          <w:szCs w:val="24"/>
        </w:rPr>
        <w:t>Journal of Physics: Conference Series</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884</w:t>
      </w:r>
      <w:r w:rsidRPr="003D32FA">
        <w:rPr>
          <w:rFonts w:ascii="Times New Roman" w:hAnsi="Times New Roman" w:cs="Times New Roman"/>
          <w:sz w:val="24"/>
          <w:szCs w:val="24"/>
        </w:rPr>
        <w:t xml:space="preserve">(1). </w:t>
      </w:r>
      <w:hyperlink r:id="rId59" w:history="1">
        <w:r w:rsidRPr="003D32FA">
          <w:rPr>
            <w:rStyle w:val="Hyperlink"/>
            <w:rFonts w:ascii="Times New Roman" w:hAnsi="Times New Roman" w:cs="Times New Roman"/>
            <w:color w:val="auto"/>
            <w:sz w:val="24"/>
            <w:szCs w:val="24"/>
            <w:u w:val="none"/>
          </w:rPr>
          <w:t>https://doi.org/10.1088/1742-6596/884/1/012031</w:t>
        </w:r>
      </w:hyperlink>
      <w:r w:rsidR="003027C0">
        <w:t xml:space="preserve"> </w:t>
      </w:r>
    </w:p>
    <w:p w14:paraId="6DB444B2" w14:textId="3AB5F71F" w:rsidR="001029AB" w:rsidRPr="003D32FA" w:rsidRDefault="001029AB" w:rsidP="003D32FA">
      <w:pPr>
        <w:spacing w:line="480" w:lineRule="auto"/>
        <w:rPr>
          <w:rFonts w:ascii="Times New Roman" w:hAnsi="Times New Roman" w:cs="Times New Roman"/>
          <w:b/>
          <w:bCs/>
          <w:sz w:val="24"/>
          <w:szCs w:val="24"/>
        </w:rPr>
      </w:pPr>
    </w:p>
    <w:sectPr w:rsidR="001029AB" w:rsidRPr="003D32FA" w:rsidSect="006E3346">
      <w:pgSz w:w="12242" w:h="15842"/>
      <w:pgMar w:top="1134" w:right="1440" w:bottom="1134" w:left="1440" w:header="709" w:footer="709" w:gutter="0"/>
      <w:cols w:space="40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DE3B4" w14:textId="77777777" w:rsidR="00C63F85" w:rsidRDefault="00C63F85" w:rsidP="007877AB">
      <w:pPr>
        <w:spacing w:after="0" w:line="240" w:lineRule="auto"/>
      </w:pPr>
      <w:r>
        <w:separator/>
      </w:r>
    </w:p>
  </w:endnote>
  <w:endnote w:type="continuationSeparator" w:id="0">
    <w:p w14:paraId="3F82A4DC" w14:textId="77777777" w:rsidR="00C63F85" w:rsidRDefault="00C63F85" w:rsidP="0078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73134" w14:textId="77777777" w:rsidR="006E3346" w:rsidRDefault="006E3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612318"/>
      <w:docPartObj>
        <w:docPartGallery w:val="Page Numbers (Bottom of Page)"/>
        <w:docPartUnique/>
      </w:docPartObj>
    </w:sdtPr>
    <w:sdtEndPr>
      <w:rPr>
        <w:noProof/>
      </w:rPr>
    </w:sdtEndPr>
    <w:sdtContent>
      <w:p w14:paraId="3BB0B803" w14:textId="056FB570" w:rsidR="007877AB" w:rsidRDefault="007877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7D33E8" w14:textId="77777777" w:rsidR="007877AB" w:rsidRDefault="007877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EABE" w14:textId="77777777" w:rsidR="006E3346" w:rsidRDefault="006E3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9D9F9" w14:textId="77777777" w:rsidR="00C63F85" w:rsidRDefault="00C63F85" w:rsidP="007877AB">
      <w:pPr>
        <w:spacing w:after="0" w:line="240" w:lineRule="auto"/>
      </w:pPr>
      <w:r>
        <w:separator/>
      </w:r>
    </w:p>
  </w:footnote>
  <w:footnote w:type="continuationSeparator" w:id="0">
    <w:p w14:paraId="737523DC" w14:textId="77777777" w:rsidR="00C63F85" w:rsidRDefault="00C63F85" w:rsidP="00787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5C26A" w14:textId="06179543" w:rsidR="006E3346" w:rsidRDefault="00000000">
    <w:pPr>
      <w:pStyle w:val="Header"/>
    </w:pPr>
    <w:r>
      <w:rPr>
        <w:noProof/>
      </w:rPr>
      <w:pict w14:anchorId="3DD742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737985" o:spid="_x0000_s1026" type="#_x0000_t136" style="position:absolute;margin-left:0;margin-top:0;width:555.7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8498" w14:textId="33BC86A2" w:rsidR="006E3346" w:rsidRDefault="00000000">
    <w:pPr>
      <w:pStyle w:val="Header"/>
    </w:pPr>
    <w:r>
      <w:rPr>
        <w:noProof/>
      </w:rPr>
      <w:pict w14:anchorId="411DE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737986" o:spid="_x0000_s1027" type="#_x0000_t136" style="position:absolute;margin-left:0;margin-top:0;width:555.7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F22AE" w14:textId="10FD7AD7" w:rsidR="006E3346" w:rsidRDefault="00000000">
    <w:pPr>
      <w:pStyle w:val="Header"/>
    </w:pPr>
    <w:r>
      <w:rPr>
        <w:noProof/>
      </w:rPr>
      <w:pict w14:anchorId="3A6007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737984" o:spid="_x0000_s1025" type="#_x0000_t136" style="position:absolute;margin-left:0;margin-top:0;width:555.7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0DFC"/>
    <w:multiLevelType w:val="hybridMultilevel"/>
    <w:tmpl w:val="044C333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E57521A"/>
    <w:multiLevelType w:val="hybridMultilevel"/>
    <w:tmpl w:val="DC8202A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1EA005D"/>
    <w:multiLevelType w:val="hybridMultilevel"/>
    <w:tmpl w:val="226CEE3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DA04940"/>
    <w:multiLevelType w:val="hybridMultilevel"/>
    <w:tmpl w:val="DA7E8DC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2AFD67F6"/>
    <w:multiLevelType w:val="hybridMultilevel"/>
    <w:tmpl w:val="CEB488C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37AD2F15"/>
    <w:multiLevelType w:val="hybridMultilevel"/>
    <w:tmpl w:val="A9C6A44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390416B8"/>
    <w:multiLevelType w:val="hybridMultilevel"/>
    <w:tmpl w:val="A3A2018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3AA6241C"/>
    <w:multiLevelType w:val="hybridMultilevel"/>
    <w:tmpl w:val="095A25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3DDE2299"/>
    <w:multiLevelType w:val="hybridMultilevel"/>
    <w:tmpl w:val="E412485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9E06CDA"/>
    <w:multiLevelType w:val="hybridMultilevel"/>
    <w:tmpl w:val="3EACC20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4A58571A"/>
    <w:multiLevelType w:val="hybridMultilevel"/>
    <w:tmpl w:val="E8C2FD9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4C0D5097"/>
    <w:multiLevelType w:val="hybridMultilevel"/>
    <w:tmpl w:val="128A78B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64AE467A"/>
    <w:multiLevelType w:val="hybridMultilevel"/>
    <w:tmpl w:val="07A228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6713100F"/>
    <w:multiLevelType w:val="hybridMultilevel"/>
    <w:tmpl w:val="6C2AF2A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67934731"/>
    <w:multiLevelType w:val="hybridMultilevel"/>
    <w:tmpl w:val="AE8E293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79E22131"/>
    <w:multiLevelType w:val="hybridMultilevel"/>
    <w:tmpl w:val="9BC45BA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736050208">
    <w:abstractNumId w:val="5"/>
  </w:num>
  <w:num w:numId="2" w16cid:durableId="1216896663">
    <w:abstractNumId w:val="8"/>
  </w:num>
  <w:num w:numId="3" w16cid:durableId="1194463216">
    <w:abstractNumId w:val="2"/>
  </w:num>
  <w:num w:numId="4" w16cid:durableId="1877892257">
    <w:abstractNumId w:val="6"/>
  </w:num>
  <w:num w:numId="5" w16cid:durableId="812719152">
    <w:abstractNumId w:val="4"/>
  </w:num>
  <w:num w:numId="6" w16cid:durableId="832572386">
    <w:abstractNumId w:val="1"/>
  </w:num>
  <w:num w:numId="7" w16cid:durableId="1473323637">
    <w:abstractNumId w:val="15"/>
  </w:num>
  <w:num w:numId="8" w16cid:durableId="421756427">
    <w:abstractNumId w:val="13"/>
  </w:num>
  <w:num w:numId="9" w16cid:durableId="56978923">
    <w:abstractNumId w:val="3"/>
  </w:num>
  <w:num w:numId="10" w16cid:durableId="2103254904">
    <w:abstractNumId w:val="11"/>
  </w:num>
  <w:num w:numId="11" w16cid:durableId="1756979300">
    <w:abstractNumId w:val="9"/>
  </w:num>
  <w:num w:numId="12" w16cid:durableId="1985771855">
    <w:abstractNumId w:val="10"/>
  </w:num>
  <w:num w:numId="13" w16cid:durableId="1383603910">
    <w:abstractNumId w:val="7"/>
  </w:num>
  <w:num w:numId="14" w16cid:durableId="1694569175">
    <w:abstractNumId w:val="0"/>
  </w:num>
  <w:num w:numId="15" w16cid:durableId="1290548882">
    <w:abstractNumId w:val="12"/>
  </w:num>
  <w:num w:numId="16" w16cid:durableId="5183550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3D7"/>
    <w:rsid w:val="0000121D"/>
    <w:rsid w:val="0000533D"/>
    <w:rsid w:val="00007260"/>
    <w:rsid w:val="000107BC"/>
    <w:rsid w:val="000130C0"/>
    <w:rsid w:val="00013D8C"/>
    <w:rsid w:val="00014830"/>
    <w:rsid w:val="00014C21"/>
    <w:rsid w:val="00026CB4"/>
    <w:rsid w:val="000300E7"/>
    <w:rsid w:val="00043293"/>
    <w:rsid w:val="00046558"/>
    <w:rsid w:val="000478E0"/>
    <w:rsid w:val="00055E3F"/>
    <w:rsid w:val="0005746A"/>
    <w:rsid w:val="000578F3"/>
    <w:rsid w:val="000601F7"/>
    <w:rsid w:val="00065273"/>
    <w:rsid w:val="00065785"/>
    <w:rsid w:val="00065A91"/>
    <w:rsid w:val="00067117"/>
    <w:rsid w:val="000671D2"/>
    <w:rsid w:val="00067F5D"/>
    <w:rsid w:val="00072530"/>
    <w:rsid w:val="00073974"/>
    <w:rsid w:val="0007631B"/>
    <w:rsid w:val="0007664C"/>
    <w:rsid w:val="0007797D"/>
    <w:rsid w:val="00085A42"/>
    <w:rsid w:val="00091673"/>
    <w:rsid w:val="000A127D"/>
    <w:rsid w:val="000A32AC"/>
    <w:rsid w:val="000A5E9A"/>
    <w:rsid w:val="000A7595"/>
    <w:rsid w:val="000B5D80"/>
    <w:rsid w:val="000B5FE1"/>
    <w:rsid w:val="000C0E31"/>
    <w:rsid w:val="000C251D"/>
    <w:rsid w:val="000C56BA"/>
    <w:rsid w:val="000C5FD0"/>
    <w:rsid w:val="000C73C7"/>
    <w:rsid w:val="000D1375"/>
    <w:rsid w:val="000D4979"/>
    <w:rsid w:val="000E5562"/>
    <w:rsid w:val="000E5C7F"/>
    <w:rsid w:val="000F2A2A"/>
    <w:rsid w:val="000F7DAE"/>
    <w:rsid w:val="001029AB"/>
    <w:rsid w:val="00120E3C"/>
    <w:rsid w:val="00122E3D"/>
    <w:rsid w:val="00123A24"/>
    <w:rsid w:val="00126CB3"/>
    <w:rsid w:val="001334B0"/>
    <w:rsid w:val="00134371"/>
    <w:rsid w:val="001352EE"/>
    <w:rsid w:val="00140B1E"/>
    <w:rsid w:val="001530A2"/>
    <w:rsid w:val="001623D6"/>
    <w:rsid w:val="00170581"/>
    <w:rsid w:val="00170DFE"/>
    <w:rsid w:val="00181995"/>
    <w:rsid w:val="00182432"/>
    <w:rsid w:val="0018462E"/>
    <w:rsid w:val="001A15F1"/>
    <w:rsid w:val="001A3ED5"/>
    <w:rsid w:val="001B039D"/>
    <w:rsid w:val="001C083A"/>
    <w:rsid w:val="001C0A39"/>
    <w:rsid w:val="001C56DD"/>
    <w:rsid w:val="001C7371"/>
    <w:rsid w:val="001D23DF"/>
    <w:rsid w:val="001D2D0B"/>
    <w:rsid w:val="001D389A"/>
    <w:rsid w:val="001D7CEB"/>
    <w:rsid w:val="001D7D37"/>
    <w:rsid w:val="001E30A9"/>
    <w:rsid w:val="001F203C"/>
    <w:rsid w:val="001F27E9"/>
    <w:rsid w:val="001F3EFE"/>
    <w:rsid w:val="00203188"/>
    <w:rsid w:val="00205CBA"/>
    <w:rsid w:val="002223C7"/>
    <w:rsid w:val="00226707"/>
    <w:rsid w:val="002413DE"/>
    <w:rsid w:val="00241A54"/>
    <w:rsid w:val="0024205C"/>
    <w:rsid w:val="00247A2D"/>
    <w:rsid w:val="002535D9"/>
    <w:rsid w:val="002563D7"/>
    <w:rsid w:val="002660AF"/>
    <w:rsid w:val="002814FF"/>
    <w:rsid w:val="0028495A"/>
    <w:rsid w:val="00284B74"/>
    <w:rsid w:val="0029182B"/>
    <w:rsid w:val="002955E4"/>
    <w:rsid w:val="0029627E"/>
    <w:rsid w:val="002A3AA7"/>
    <w:rsid w:val="002A5F37"/>
    <w:rsid w:val="002B5E88"/>
    <w:rsid w:val="002C3412"/>
    <w:rsid w:val="002C6722"/>
    <w:rsid w:val="002D07A1"/>
    <w:rsid w:val="002D1ADB"/>
    <w:rsid w:val="002E11C0"/>
    <w:rsid w:val="002E2020"/>
    <w:rsid w:val="002E2463"/>
    <w:rsid w:val="002E2D7D"/>
    <w:rsid w:val="002E4A07"/>
    <w:rsid w:val="002E5B3B"/>
    <w:rsid w:val="002F5F87"/>
    <w:rsid w:val="002F7158"/>
    <w:rsid w:val="002F7430"/>
    <w:rsid w:val="003027C0"/>
    <w:rsid w:val="00303C66"/>
    <w:rsid w:val="0030523E"/>
    <w:rsid w:val="00305CA7"/>
    <w:rsid w:val="00310407"/>
    <w:rsid w:val="00314619"/>
    <w:rsid w:val="00316424"/>
    <w:rsid w:val="00316471"/>
    <w:rsid w:val="00316EF6"/>
    <w:rsid w:val="00340860"/>
    <w:rsid w:val="00350604"/>
    <w:rsid w:val="00351B10"/>
    <w:rsid w:val="00353C4B"/>
    <w:rsid w:val="00356869"/>
    <w:rsid w:val="00362CE3"/>
    <w:rsid w:val="003724DB"/>
    <w:rsid w:val="00372B3D"/>
    <w:rsid w:val="0037493A"/>
    <w:rsid w:val="00377294"/>
    <w:rsid w:val="00380517"/>
    <w:rsid w:val="003876B8"/>
    <w:rsid w:val="00387C99"/>
    <w:rsid w:val="0039259C"/>
    <w:rsid w:val="00394C15"/>
    <w:rsid w:val="0039537F"/>
    <w:rsid w:val="003B2D54"/>
    <w:rsid w:val="003B6206"/>
    <w:rsid w:val="003D32FA"/>
    <w:rsid w:val="003D4A26"/>
    <w:rsid w:val="003D5B6F"/>
    <w:rsid w:val="003D6453"/>
    <w:rsid w:val="003E3224"/>
    <w:rsid w:val="00401867"/>
    <w:rsid w:val="00402CE9"/>
    <w:rsid w:val="004127B9"/>
    <w:rsid w:val="004151ED"/>
    <w:rsid w:val="00417392"/>
    <w:rsid w:val="00420B89"/>
    <w:rsid w:val="004247F6"/>
    <w:rsid w:val="004249BF"/>
    <w:rsid w:val="00434012"/>
    <w:rsid w:val="0044610B"/>
    <w:rsid w:val="00446B91"/>
    <w:rsid w:val="00447956"/>
    <w:rsid w:val="00457DA9"/>
    <w:rsid w:val="00465E50"/>
    <w:rsid w:val="004663A3"/>
    <w:rsid w:val="00481722"/>
    <w:rsid w:val="00483DBD"/>
    <w:rsid w:val="00486501"/>
    <w:rsid w:val="00496172"/>
    <w:rsid w:val="004B0698"/>
    <w:rsid w:val="004C3B95"/>
    <w:rsid w:val="004C4B5F"/>
    <w:rsid w:val="004C7D7D"/>
    <w:rsid w:val="004E511F"/>
    <w:rsid w:val="004F2583"/>
    <w:rsid w:val="00507AD3"/>
    <w:rsid w:val="00520E46"/>
    <w:rsid w:val="0052162A"/>
    <w:rsid w:val="00525017"/>
    <w:rsid w:val="005343FB"/>
    <w:rsid w:val="00534A0F"/>
    <w:rsid w:val="00536813"/>
    <w:rsid w:val="00542A80"/>
    <w:rsid w:val="00543B75"/>
    <w:rsid w:val="00543DB5"/>
    <w:rsid w:val="00550CF1"/>
    <w:rsid w:val="00554FED"/>
    <w:rsid w:val="005647D1"/>
    <w:rsid w:val="00576855"/>
    <w:rsid w:val="00591E3A"/>
    <w:rsid w:val="00593D34"/>
    <w:rsid w:val="00595A18"/>
    <w:rsid w:val="005966DC"/>
    <w:rsid w:val="00597941"/>
    <w:rsid w:val="005B3641"/>
    <w:rsid w:val="005B51E6"/>
    <w:rsid w:val="005B5CC9"/>
    <w:rsid w:val="005C75B3"/>
    <w:rsid w:val="005C7CB9"/>
    <w:rsid w:val="005D05AE"/>
    <w:rsid w:val="005E7622"/>
    <w:rsid w:val="005F0D66"/>
    <w:rsid w:val="005F1CD9"/>
    <w:rsid w:val="005F4358"/>
    <w:rsid w:val="005F6721"/>
    <w:rsid w:val="006011DF"/>
    <w:rsid w:val="006019AA"/>
    <w:rsid w:val="0061378E"/>
    <w:rsid w:val="006147E8"/>
    <w:rsid w:val="0061511E"/>
    <w:rsid w:val="0061734F"/>
    <w:rsid w:val="0063158C"/>
    <w:rsid w:val="00644DF8"/>
    <w:rsid w:val="00647091"/>
    <w:rsid w:val="00655FCC"/>
    <w:rsid w:val="00666C1B"/>
    <w:rsid w:val="00673E3A"/>
    <w:rsid w:val="00674C2C"/>
    <w:rsid w:val="00676083"/>
    <w:rsid w:val="00690A7D"/>
    <w:rsid w:val="00695B10"/>
    <w:rsid w:val="006A033E"/>
    <w:rsid w:val="006A0BAD"/>
    <w:rsid w:val="006A5823"/>
    <w:rsid w:val="006A5B53"/>
    <w:rsid w:val="006B0E10"/>
    <w:rsid w:val="006C43C5"/>
    <w:rsid w:val="006C7ACF"/>
    <w:rsid w:val="006D3C99"/>
    <w:rsid w:val="006D7643"/>
    <w:rsid w:val="006D76FD"/>
    <w:rsid w:val="006D7A77"/>
    <w:rsid w:val="006E3346"/>
    <w:rsid w:val="006E5E2C"/>
    <w:rsid w:val="006E6016"/>
    <w:rsid w:val="006F1717"/>
    <w:rsid w:val="006F4762"/>
    <w:rsid w:val="00700521"/>
    <w:rsid w:val="00705E61"/>
    <w:rsid w:val="0071126A"/>
    <w:rsid w:val="00712CBC"/>
    <w:rsid w:val="00735A85"/>
    <w:rsid w:val="00743EBD"/>
    <w:rsid w:val="00743F6C"/>
    <w:rsid w:val="00746228"/>
    <w:rsid w:val="00746FB3"/>
    <w:rsid w:val="00747149"/>
    <w:rsid w:val="00765D03"/>
    <w:rsid w:val="007676BB"/>
    <w:rsid w:val="00773A7A"/>
    <w:rsid w:val="00776113"/>
    <w:rsid w:val="00777004"/>
    <w:rsid w:val="00777194"/>
    <w:rsid w:val="007817D5"/>
    <w:rsid w:val="007877AB"/>
    <w:rsid w:val="00787A9E"/>
    <w:rsid w:val="0079319A"/>
    <w:rsid w:val="007953B4"/>
    <w:rsid w:val="00795B95"/>
    <w:rsid w:val="007970EA"/>
    <w:rsid w:val="007A0E33"/>
    <w:rsid w:val="007A3A0E"/>
    <w:rsid w:val="007B33A9"/>
    <w:rsid w:val="007B3B1F"/>
    <w:rsid w:val="007B3D4A"/>
    <w:rsid w:val="007B5E41"/>
    <w:rsid w:val="007C1AE5"/>
    <w:rsid w:val="007C1B4D"/>
    <w:rsid w:val="007C55E9"/>
    <w:rsid w:val="007C69AB"/>
    <w:rsid w:val="007C72E9"/>
    <w:rsid w:val="007D1505"/>
    <w:rsid w:val="007D458D"/>
    <w:rsid w:val="007E0751"/>
    <w:rsid w:val="007E2E37"/>
    <w:rsid w:val="007E67B2"/>
    <w:rsid w:val="007F334D"/>
    <w:rsid w:val="00802063"/>
    <w:rsid w:val="008027CD"/>
    <w:rsid w:val="00802F3B"/>
    <w:rsid w:val="008100DF"/>
    <w:rsid w:val="0081227F"/>
    <w:rsid w:val="00814910"/>
    <w:rsid w:val="0082065D"/>
    <w:rsid w:val="0082095A"/>
    <w:rsid w:val="008250A9"/>
    <w:rsid w:val="008455E7"/>
    <w:rsid w:val="00850C52"/>
    <w:rsid w:val="008544EA"/>
    <w:rsid w:val="008604E3"/>
    <w:rsid w:val="0086633D"/>
    <w:rsid w:val="00870F24"/>
    <w:rsid w:val="00872D64"/>
    <w:rsid w:val="00875D5C"/>
    <w:rsid w:val="00884E48"/>
    <w:rsid w:val="008917CF"/>
    <w:rsid w:val="00892F6C"/>
    <w:rsid w:val="00893726"/>
    <w:rsid w:val="00897FF7"/>
    <w:rsid w:val="008A01ED"/>
    <w:rsid w:val="008A635F"/>
    <w:rsid w:val="008A63FA"/>
    <w:rsid w:val="008B3A3A"/>
    <w:rsid w:val="008C15F3"/>
    <w:rsid w:val="008C31A4"/>
    <w:rsid w:val="008D40BA"/>
    <w:rsid w:val="008E0D90"/>
    <w:rsid w:val="008E27B4"/>
    <w:rsid w:val="008E65E7"/>
    <w:rsid w:val="008F7C8F"/>
    <w:rsid w:val="009048D5"/>
    <w:rsid w:val="00907B6C"/>
    <w:rsid w:val="0092017C"/>
    <w:rsid w:val="009234E4"/>
    <w:rsid w:val="009313DC"/>
    <w:rsid w:val="00933979"/>
    <w:rsid w:val="0093521F"/>
    <w:rsid w:val="00940447"/>
    <w:rsid w:val="00942E7D"/>
    <w:rsid w:val="00943107"/>
    <w:rsid w:val="00943233"/>
    <w:rsid w:val="00946D06"/>
    <w:rsid w:val="009470EF"/>
    <w:rsid w:val="009572B8"/>
    <w:rsid w:val="00962944"/>
    <w:rsid w:val="00963785"/>
    <w:rsid w:val="00963EFF"/>
    <w:rsid w:val="00964987"/>
    <w:rsid w:val="00964996"/>
    <w:rsid w:val="00965763"/>
    <w:rsid w:val="00973543"/>
    <w:rsid w:val="00973721"/>
    <w:rsid w:val="0098608B"/>
    <w:rsid w:val="009867A9"/>
    <w:rsid w:val="00986AE5"/>
    <w:rsid w:val="0099086B"/>
    <w:rsid w:val="009A0E89"/>
    <w:rsid w:val="009A51D7"/>
    <w:rsid w:val="009A55CA"/>
    <w:rsid w:val="009A6246"/>
    <w:rsid w:val="009A7375"/>
    <w:rsid w:val="009B1500"/>
    <w:rsid w:val="009B2E45"/>
    <w:rsid w:val="009B451C"/>
    <w:rsid w:val="009B4DBE"/>
    <w:rsid w:val="009B5DD4"/>
    <w:rsid w:val="009C0506"/>
    <w:rsid w:val="009C3171"/>
    <w:rsid w:val="009C4CD8"/>
    <w:rsid w:val="009E0D14"/>
    <w:rsid w:val="009E6A0F"/>
    <w:rsid w:val="009F15FC"/>
    <w:rsid w:val="009F7A83"/>
    <w:rsid w:val="00A006FC"/>
    <w:rsid w:val="00A0180B"/>
    <w:rsid w:val="00A0782F"/>
    <w:rsid w:val="00A2047A"/>
    <w:rsid w:val="00A211A3"/>
    <w:rsid w:val="00A25681"/>
    <w:rsid w:val="00A301C1"/>
    <w:rsid w:val="00A4059C"/>
    <w:rsid w:val="00A4509F"/>
    <w:rsid w:val="00A52005"/>
    <w:rsid w:val="00A54348"/>
    <w:rsid w:val="00A611A6"/>
    <w:rsid w:val="00A64FC6"/>
    <w:rsid w:val="00A66F8D"/>
    <w:rsid w:val="00AA0ED5"/>
    <w:rsid w:val="00AA1115"/>
    <w:rsid w:val="00AA5125"/>
    <w:rsid w:val="00AA6392"/>
    <w:rsid w:val="00AA6DB0"/>
    <w:rsid w:val="00AB1AF1"/>
    <w:rsid w:val="00AB2A2B"/>
    <w:rsid w:val="00AB537E"/>
    <w:rsid w:val="00AD6B41"/>
    <w:rsid w:val="00AE35DA"/>
    <w:rsid w:val="00AE49B7"/>
    <w:rsid w:val="00AF0AF4"/>
    <w:rsid w:val="00AF498C"/>
    <w:rsid w:val="00AF57CE"/>
    <w:rsid w:val="00AF708D"/>
    <w:rsid w:val="00AF7E37"/>
    <w:rsid w:val="00B046E0"/>
    <w:rsid w:val="00B06957"/>
    <w:rsid w:val="00B07BF8"/>
    <w:rsid w:val="00B142A7"/>
    <w:rsid w:val="00B154C8"/>
    <w:rsid w:val="00B26E4A"/>
    <w:rsid w:val="00B33784"/>
    <w:rsid w:val="00B340DB"/>
    <w:rsid w:val="00B344E4"/>
    <w:rsid w:val="00B4484C"/>
    <w:rsid w:val="00B44F1D"/>
    <w:rsid w:val="00B45F69"/>
    <w:rsid w:val="00B5070D"/>
    <w:rsid w:val="00B548F1"/>
    <w:rsid w:val="00B603B4"/>
    <w:rsid w:val="00B60928"/>
    <w:rsid w:val="00B72789"/>
    <w:rsid w:val="00B74968"/>
    <w:rsid w:val="00B76F33"/>
    <w:rsid w:val="00B77452"/>
    <w:rsid w:val="00B77464"/>
    <w:rsid w:val="00B81763"/>
    <w:rsid w:val="00B83375"/>
    <w:rsid w:val="00B91B9F"/>
    <w:rsid w:val="00BA49C8"/>
    <w:rsid w:val="00BA59F8"/>
    <w:rsid w:val="00BA7648"/>
    <w:rsid w:val="00BB626E"/>
    <w:rsid w:val="00BD029C"/>
    <w:rsid w:val="00BD2871"/>
    <w:rsid w:val="00BD3010"/>
    <w:rsid w:val="00BD72E5"/>
    <w:rsid w:val="00BE3D45"/>
    <w:rsid w:val="00BF2845"/>
    <w:rsid w:val="00BF3259"/>
    <w:rsid w:val="00BF47DA"/>
    <w:rsid w:val="00BF7678"/>
    <w:rsid w:val="00C07B18"/>
    <w:rsid w:val="00C12568"/>
    <w:rsid w:val="00C23760"/>
    <w:rsid w:val="00C30E9F"/>
    <w:rsid w:val="00C42B1F"/>
    <w:rsid w:val="00C4734A"/>
    <w:rsid w:val="00C50ECF"/>
    <w:rsid w:val="00C51702"/>
    <w:rsid w:val="00C55CFB"/>
    <w:rsid w:val="00C63F85"/>
    <w:rsid w:val="00C642D2"/>
    <w:rsid w:val="00C66EB7"/>
    <w:rsid w:val="00C6773A"/>
    <w:rsid w:val="00C73071"/>
    <w:rsid w:val="00C74B07"/>
    <w:rsid w:val="00C764FB"/>
    <w:rsid w:val="00C855CA"/>
    <w:rsid w:val="00C86B1A"/>
    <w:rsid w:val="00C974E6"/>
    <w:rsid w:val="00CA1A09"/>
    <w:rsid w:val="00CA345B"/>
    <w:rsid w:val="00CA4ECA"/>
    <w:rsid w:val="00CA52AA"/>
    <w:rsid w:val="00CB7992"/>
    <w:rsid w:val="00CC1D4D"/>
    <w:rsid w:val="00CC2D0C"/>
    <w:rsid w:val="00CC2D63"/>
    <w:rsid w:val="00CC3392"/>
    <w:rsid w:val="00CD1F0E"/>
    <w:rsid w:val="00CD2155"/>
    <w:rsid w:val="00CD234E"/>
    <w:rsid w:val="00CD4818"/>
    <w:rsid w:val="00CE6565"/>
    <w:rsid w:val="00CF0232"/>
    <w:rsid w:val="00CF130D"/>
    <w:rsid w:val="00CF23F9"/>
    <w:rsid w:val="00CF2757"/>
    <w:rsid w:val="00CF2C6D"/>
    <w:rsid w:val="00CF35BE"/>
    <w:rsid w:val="00D0089F"/>
    <w:rsid w:val="00D024D9"/>
    <w:rsid w:val="00D024E4"/>
    <w:rsid w:val="00D1132E"/>
    <w:rsid w:val="00D1498A"/>
    <w:rsid w:val="00D20D4E"/>
    <w:rsid w:val="00D217A5"/>
    <w:rsid w:val="00D221AC"/>
    <w:rsid w:val="00D323C5"/>
    <w:rsid w:val="00D359E3"/>
    <w:rsid w:val="00D47E13"/>
    <w:rsid w:val="00D72378"/>
    <w:rsid w:val="00D7692C"/>
    <w:rsid w:val="00D83A69"/>
    <w:rsid w:val="00D8444D"/>
    <w:rsid w:val="00D86625"/>
    <w:rsid w:val="00D9291D"/>
    <w:rsid w:val="00D94ED0"/>
    <w:rsid w:val="00D974C0"/>
    <w:rsid w:val="00D9774A"/>
    <w:rsid w:val="00DA6A2A"/>
    <w:rsid w:val="00DB3A9C"/>
    <w:rsid w:val="00DB6F2B"/>
    <w:rsid w:val="00DE2D4B"/>
    <w:rsid w:val="00DE4410"/>
    <w:rsid w:val="00DE67C8"/>
    <w:rsid w:val="00DF02B8"/>
    <w:rsid w:val="00DF1176"/>
    <w:rsid w:val="00DF399A"/>
    <w:rsid w:val="00DF5175"/>
    <w:rsid w:val="00E05A88"/>
    <w:rsid w:val="00E20AC5"/>
    <w:rsid w:val="00E26840"/>
    <w:rsid w:val="00E26B04"/>
    <w:rsid w:val="00E340A1"/>
    <w:rsid w:val="00E40841"/>
    <w:rsid w:val="00E442B0"/>
    <w:rsid w:val="00E45FCD"/>
    <w:rsid w:val="00E4617D"/>
    <w:rsid w:val="00E477BB"/>
    <w:rsid w:val="00E538B5"/>
    <w:rsid w:val="00E56719"/>
    <w:rsid w:val="00E73A19"/>
    <w:rsid w:val="00E740AA"/>
    <w:rsid w:val="00E80625"/>
    <w:rsid w:val="00E80C34"/>
    <w:rsid w:val="00E84AB2"/>
    <w:rsid w:val="00E90816"/>
    <w:rsid w:val="00E9589D"/>
    <w:rsid w:val="00E95904"/>
    <w:rsid w:val="00EA2649"/>
    <w:rsid w:val="00EA56CD"/>
    <w:rsid w:val="00EB0A04"/>
    <w:rsid w:val="00EB12B4"/>
    <w:rsid w:val="00EB3683"/>
    <w:rsid w:val="00EB6C83"/>
    <w:rsid w:val="00EC1745"/>
    <w:rsid w:val="00ED3993"/>
    <w:rsid w:val="00EE2357"/>
    <w:rsid w:val="00EE2FFD"/>
    <w:rsid w:val="00EF5C52"/>
    <w:rsid w:val="00F0219F"/>
    <w:rsid w:val="00F03893"/>
    <w:rsid w:val="00F058FF"/>
    <w:rsid w:val="00F17778"/>
    <w:rsid w:val="00F276C6"/>
    <w:rsid w:val="00F337F4"/>
    <w:rsid w:val="00F34A97"/>
    <w:rsid w:val="00F403AB"/>
    <w:rsid w:val="00F421B9"/>
    <w:rsid w:val="00F43C3B"/>
    <w:rsid w:val="00F44084"/>
    <w:rsid w:val="00F52427"/>
    <w:rsid w:val="00F56512"/>
    <w:rsid w:val="00F6450F"/>
    <w:rsid w:val="00F73F8C"/>
    <w:rsid w:val="00F74ADB"/>
    <w:rsid w:val="00F7557E"/>
    <w:rsid w:val="00F84367"/>
    <w:rsid w:val="00F8660B"/>
    <w:rsid w:val="00F9129B"/>
    <w:rsid w:val="00F945CF"/>
    <w:rsid w:val="00FA155D"/>
    <w:rsid w:val="00FA33BC"/>
    <w:rsid w:val="00FC2E88"/>
    <w:rsid w:val="00FC33C0"/>
    <w:rsid w:val="00FD095E"/>
    <w:rsid w:val="00FD0FAA"/>
    <w:rsid w:val="00FD1329"/>
    <w:rsid w:val="00FD4F6A"/>
    <w:rsid w:val="00FD608F"/>
    <w:rsid w:val="00FD7AC4"/>
    <w:rsid w:val="00FF218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923EB2"/>
  <w15:chartTrackingRefBased/>
  <w15:docId w15:val="{3FE861CA-CEA9-411F-8829-533FD589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3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63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63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63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63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63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63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63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63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3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63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63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63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63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63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63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63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63D7"/>
    <w:rPr>
      <w:rFonts w:eastAsiaTheme="majorEastAsia" w:cstheme="majorBidi"/>
      <w:color w:val="272727" w:themeColor="text1" w:themeTint="D8"/>
    </w:rPr>
  </w:style>
  <w:style w:type="paragraph" w:styleId="Title">
    <w:name w:val="Title"/>
    <w:basedOn w:val="Normal"/>
    <w:next w:val="Normal"/>
    <w:link w:val="TitleChar"/>
    <w:uiPriority w:val="10"/>
    <w:qFormat/>
    <w:rsid w:val="002563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3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3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63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63D7"/>
    <w:pPr>
      <w:spacing w:before="160"/>
      <w:jc w:val="center"/>
    </w:pPr>
    <w:rPr>
      <w:i/>
      <w:iCs/>
      <w:color w:val="404040" w:themeColor="text1" w:themeTint="BF"/>
    </w:rPr>
  </w:style>
  <w:style w:type="character" w:customStyle="1" w:styleId="QuoteChar">
    <w:name w:val="Quote Char"/>
    <w:basedOn w:val="DefaultParagraphFont"/>
    <w:link w:val="Quote"/>
    <w:uiPriority w:val="29"/>
    <w:rsid w:val="002563D7"/>
    <w:rPr>
      <w:i/>
      <w:iCs/>
      <w:color w:val="404040" w:themeColor="text1" w:themeTint="BF"/>
    </w:rPr>
  </w:style>
  <w:style w:type="paragraph" w:styleId="ListParagraph">
    <w:name w:val="List Paragraph"/>
    <w:basedOn w:val="Normal"/>
    <w:uiPriority w:val="34"/>
    <w:qFormat/>
    <w:rsid w:val="002563D7"/>
    <w:pPr>
      <w:ind w:left="720"/>
      <w:contextualSpacing/>
    </w:pPr>
  </w:style>
  <w:style w:type="character" w:styleId="IntenseEmphasis">
    <w:name w:val="Intense Emphasis"/>
    <w:basedOn w:val="DefaultParagraphFont"/>
    <w:uiPriority w:val="21"/>
    <w:qFormat/>
    <w:rsid w:val="002563D7"/>
    <w:rPr>
      <w:i/>
      <w:iCs/>
      <w:color w:val="2F5496" w:themeColor="accent1" w:themeShade="BF"/>
    </w:rPr>
  </w:style>
  <w:style w:type="paragraph" w:styleId="IntenseQuote">
    <w:name w:val="Intense Quote"/>
    <w:basedOn w:val="Normal"/>
    <w:next w:val="Normal"/>
    <w:link w:val="IntenseQuoteChar"/>
    <w:uiPriority w:val="30"/>
    <w:qFormat/>
    <w:rsid w:val="002563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63D7"/>
    <w:rPr>
      <w:i/>
      <w:iCs/>
      <w:color w:val="2F5496" w:themeColor="accent1" w:themeShade="BF"/>
    </w:rPr>
  </w:style>
  <w:style w:type="character" w:styleId="IntenseReference">
    <w:name w:val="Intense Reference"/>
    <w:basedOn w:val="DefaultParagraphFont"/>
    <w:uiPriority w:val="32"/>
    <w:qFormat/>
    <w:rsid w:val="002563D7"/>
    <w:rPr>
      <w:b/>
      <w:bCs/>
      <w:smallCaps/>
      <w:color w:val="2F5496" w:themeColor="accent1" w:themeShade="BF"/>
      <w:spacing w:val="5"/>
    </w:rPr>
  </w:style>
  <w:style w:type="character" w:styleId="Hyperlink">
    <w:name w:val="Hyperlink"/>
    <w:basedOn w:val="DefaultParagraphFont"/>
    <w:uiPriority w:val="99"/>
    <w:unhideWhenUsed/>
    <w:rsid w:val="001029AB"/>
    <w:rPr>
      <w:color w:val="0563C1" w:themeColor="hyperlink"/>
      <w:u w:val="single"/>
    </w:rPr>
  </w:style>
  <w:style w:type="character" w:styleId="UnresolvedMention">
    <w:name w:val="Unresolved Mention"/>
    <w:basedOn w:val="DefaultParagraphFont"/>
    <w:uiPriority w:val="99"/>
    <w:semiHidden/>
    <w:unhideWhenUsed/>
    <w:rsid w:val="001029AB"/>
    <w:rPr>
      <w:color w:val="605E5C"/>
      <w:shd w:val="clear" w:color="auto" w:fill="E1DFDD"/>
    </w:rPr>
  </w:style>
  <w:style w:type="paragraph" w:styleId="NoSpacing">
    <w:name w:val="No Spacing"/>
    <w:uiPriority w:val="1"/>
    <w:qFormat/>
    <w:rsid w:val="0030523E"/>
    <w:pPr>
      <w:spacing w:after="0" w:line="240" w:lineRule="auto"/>
    </w:pPr>
  </w:style>
  <w:style w:type="table" w:styleId="TableGrid">
    <w:name w:val="Table Grid"/>
    <w:basedOn w:val="TableNormal"/>
    <w:uiPriority w:val="39"/>
    <w:rsid w:val="00305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1500"/>
    <w:pPr>
      <w:spacing w:after="0" w:line="240" w:lineRule="auto"/>
    </w:pPr>
  </w:style>
  <w:style w:type="character" w:styleId="LineNumber">
    <w:name w:val="line number"/>
    <w:basedOn w:val="DefaultParagraphFont"/>
    <w:uiPriority w:val="99"/>
    <w:semiHidden/>
    <w:unhideWhenUsed/>
    <w:rsid w:val="00F058FF"/>
  </w:style>
  <w:style w:type="paragraph" w:styleId="Header">
    <w:name w:val="header"/>
    <w:basedOn w:val="Normal"/>
    <w:link w:val="HeaderChar"/>
    <w:uiPriority w:val="99"/>
    <w:unhideWhenUsed/>
    <w:rsid w:val="00787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7AB"/>
  </w:style>
  <w:style w:type="paragraph" w:styleId="Footer">
    <w:name w:val="footer"/>
    <w:basedOn w:val="Normal"/>
    <w:link w:val="FooterChar"/>
    <w:uiPriority w:val="99"/>
    <w:unhideWhenUsed/>
    <w:rsid w:val="00787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39055">
      <w:bodyDiv w:val="1"/>
      <w:marLeft w:val="0"/>
      <w:marRight w:val="0"/>
      <w:marTop w:val="0"/>
      <w:marBottom w:val="0"/>
      <w:divBdr>
        <w:top w:val="none" w:sz="0" w:space="0" w:color="auto"/>
        <w:left w:val="none" w:sz="0" w:space="0" w:color="auto"/>
        <w:bottom w:val="none" w:sz="0" w:space="0" w:color="auto"/>
        <w:right w:val="none" w:sz="0" w:space="0" w:color="auto"/>
      </w:divBdr>
    </w:div>
    <w:div w:id="187914326">
      <w:bodyDiv w:val="1"/>
      <w:marLeft w:val="0"/>
      <w:marRight w:val="0"/>
      <w:marTop w:val="0"/>
      <w:marBottom w:val="0"/>
      <w:divBdr>
        <w:top w:val="none" w:sz="0" w:space="0" w:color="auto"/>
        <w:left w:val="none" w:sz="0" w:space="0" w:color="auto"/>
        <w:bottom w:val="none" w:sz="0" w:space="0" w:color="auto"/>
        <w:right w:val="none" w:sz="0" w:space="0" w:color="auto"/>
      </w:divBdr>
    </w:div>
    <w:div w:id="196165117">
      <w:bodyDiv w:val="1"/>
      <w:marLeft w:val="0"/>
      <w:marRight w:val="0"/>
      <w:marTop w:val="0"/>
      <w:marBottom w:val="0"/>
      <w:divBdr>
        <w:top w:val="none" w:sz="0" w:space="0" w:color="auto"/>
        <w:left w:val="none" w:sz="0" w:space="0" w:color="auto"/>
        <w:bottom w:val="none" w:sz="0" w:space="0" w:color="auto"/>
        <w:right w:val="none" w:sz="0" w:space="0" w:color="auto"/>
      </w:divBdr>
    </w:div>
    <w:div w:id="309746343">
      <w:bodyDiv w:val="1"/>
      <w:marLeft w:val="0"/>
      <w:marRight w:val="0"/>
      <w:marTop w:val="0"/>
      <w:marBottom w:val="0"/>
      <w:divBdr>
        <w:top w:val="none" w:sz="0" w:space="0" w:color="auto"/>
        <w:left w:val="none" w:sz="0" w:space="0" w:color="auto"/>
        <w:bottom w:val="none" w:sz="0" w:space="0" w:color="auto"/>
        <w:right w:val="none" w:sz="0" w:space="0" w:color="auto"/>
      </w:divBdr>
    </w:div>
    <w:div w:id="362176048">
      <w:bodyDiv w:val="1"/>
      <w:marLeft w:val="0"/>
      <w:marRight w:val="0"/>
      <w:marTop w:val="0"/>
      <w:marBottom w:val="0"/>
      <w:divBdr>
        <w:top w:val="none" w:sz="0" w:space="0" w:color="auto"/>
        <w:left w:val="none" w:sz="0" w:space="0" w:color="auto"/>
        <w:bottom w:val="none" w:sz="0" w:space="0" w:color="auto"/>
        <w:right w:val="none" w:sz="0" w:space="0" w:color="auto"/>
      </w:divBdr>
    </w:div>
    <w:div w:id="436876102">
      <w:bodyDiv w:val="1"/>
      <w:marLeft w:val="0"/>
      <w:marRight w:val="0"/>
      <w:marTop w:val="0"/>
      <w:marBottom w:val="0"/>
      <w:divBdr>
        <w:top w:val="none" w:sz="0" w:space="0" w:color="auto"/>
        <w:left w:val="none" w:sz="0" w:space="0" w:color="auto"/>
        <w:bottom w:val="none" w:sz="0" w:space="0" w:color="auto"/>
        <w:right w:val="none" w:sz="0" w:space="0" w:color="auto"/>
      </w:divBdr>
    </w:div>
    <w:div w:id="526330859">
      <w:bodyDiv w:val="1"/>
      <w:marLeft w:val="0"/>
      <w:marRight w:val="0"/>
      <w:marTop w:val="0"/>
      <w:marBottom w:val="0"/>
      <w:divBdr>
        <w:top w:val="none" w:sz="0" w:space="0" w:color="auto"/>
        <w:left w:val="none" w:sz="0" w:space="0" w:color="auto"/>
        <w:bottom w:val="none" w:sz="0" w:space="0" w:color="auto"/>
        <w:right w:val="none" w:sz="0" w:space="0" w:color="auto"/>
      </w:divBdr>
    </w:div>
    <w:div w:id="556011687">
      <w:bodyDiv w:val="1"/>
      <w:marLeft w:val="0"/>
      <w:marRight w:val="0"/>
      <w:marTop w:val="0"/>
      <w:marBottom w:val="0"/>
      <w:divBdr>
        <w:top w:val="none" w:sz="0" w:space="0" w:color="auto"/>
        <w:left w:val="none" w:sz="0" w:space="0" w:color="auto"/>
        <w:bottom w:val="none" w:sz="0" w:space="0" w:color="auto"/>
        <w:right w:val="none" w:sz="0" w:space="0" w:color="auto"/>
      </w:divBdr>
    </w:div>
    <w:div w:id="951283737">
      <w:bodyDiv w:val="1"/>
      <w:marLeft w:val="0"/>
      <w:marRight w:val="0"/>
      <w:marTop w:val="0"/>
      <w:marBottom w:val="0"/>
      <w:divBdr>
        <w:top w:val="none" w:sz="0" w:space="0" w:color="auto"/>
        <w:left w:val="none" w:sz="0" w:space="0" w:color="auto"/>
        <w:bottom w:val="none" w:sz="0" w:space="0" w:color="auto"/>
        <w:right w:val="none" w:sz="0" w:space="0" w:color="auto"/>
      </w:divBdr>
    </w:div>
    <w:div w:id="992297387">
      <w:bodyDiv w:val="1"/>
      <w:marLeft w:val="0"/>
      <w:marRight w:val="0"/>
      <w:marTop w:val="0"/>
      <w:marBottom w:val="0"/>
      <w:divBdr>
        <w:top w:val="none" w:sz="0" w:space="0" w:color="auto"/>
        <w:left w:val="none" w:sz="0" w:space="0" w:color="auto"/>
        <w:bottom w:val="none" w:sz="0" w:space="0" w:color="auto"/>
        <w:right w:val="none" w:sz="0" w:space="0" w:color="auto"/>
      </w:divBdr>
      <w:divsChild>
        <w:div w:id="166790069">
          <w:marLeft w:val="480"/>
          <w:marRight w:val="0"/>
          <w:marTop w:val="0"/>
          <w:marBottom w:val="0"/>
          <w:divBdr>
            <w:top w:val="none" w:sz="0" w:space="0" w:color="auto"/>
            <w:left w:val="none" w:sz="0" w:space="0" w:color="auto"/>
            <w:bottom w:val="none" w:sz="0" w:space="0" w:color="auto"/>
            <w:right w:val="none" w:sz="0" w:space="0" w:color="auto"/>
          </w:divBdr>
          <w:divsChild>
            <w:div w:id="1278756394">
              <w:marLeft w:val="0"/>
              <w:marRight w:val="0"/>
              <w:marTop w:val="0"/>
              <w:marBottom w:val="0"/>
              <w:divBdr>
                <w:top w:val="none" w:sz="0" w:space="0" w:color="auto"/>
                <w:left w:val="none" w:sz="0" w:space="0" w:color="auto"/>
                <w:bottom w:val="none" w:sz="0" w:space="0" w:color="auto"/>
                <w:right w:val="none" w:sz="0" w:space="0" w:color="auto"/>
              </w:divBdr>
            </w:div>
            <w:div w:id="1370573340">
              <w:marLeft w:val="0"/>
              <w:marRight w:val="0"/>
              <w:marTop w:val="0"/>
              <w:marBottom w:val="0"/>
              <w:divBdr>
                <w:top w:val="none" w:sz="0" w:space="0" w:color="auto"/>
                <w:left w:val="none" w:sz="0" w:space="0" w:color="auto"/>
                <w:bottom w:val="none" w:sz="0" w:space="0" w:color="auto"/>
                <w:right w:val="none" w:sz="0" w:space="0" w:color="auto"/>
              </w:divBdr>
            </w:div>
            <w:div w:id="609623760">
              <w:marLeft w:val="0"/>
              <w:marRight w:val="0"/>
              <w:marTop w:val="0"/>
              <w:marBottom w:val="0"/>
              <w:divBdr>
                <w:top w:val="none" w:sz="0" w:space="0" w:color="auto"/>
                <w:left w:val="none" w:sz="0" w:space="0" w:color="auto"/>
                <w:bottom w:val="none" w:sz="0" w:space="0" w:color="auto"/>
                <w:right w:val="none" w:sz="0" w:space="0" w:color="auto"/>
              </w:divBdr>
            </w:div>
            <w:div w:id="441848236">
              <w:marLeft w:val="0"/>
              <w:marRight w:val="0"/>
              <w:marTop w:val="0"/>
              <w:marBottom w:val="0"/>
              <w:divBdr>
                <w:top w:val="none" w:sz="0" w:space="0" w:color="auto"/>
                <w:left w:val="none" w:sz="0" w:space="0" w:color="auto"/>
                <w:bottom w:val="none" w:sz="0" w:space="0" w:color="auto"/>
                <w:right w:val="none" w:sz="0" w:space="0" w:color="auto"/>
              </w:divBdr>
            </w:div>
            <w:div w:id="191260637">
              <w:marLeft w:val="0"/>
              <w:marRight w:val="0"/>
              <w:marTop w:val="0"/>
              <w:marBottom w:val="0"/>
              <w:divBdr>
                <w:top w:val="none" w:sz="0" w:space="0" w:color="auto"/>
                <w:left w:val="none" w:sz="0" w:space="0" w:color="auto"/>
                <w:bottom w:val="none" w:sz="0" w:space="0" w:color="auto"/>
                <w:right w:val="none" w:sz="0" w:space="0" w:color="auto"/>
              </w:divBdr>
            </w:div>
            <w:div w:id="608320865">
              <w:marLeft w:val="0"/>
              <w:marRight w:val="0"/>
              <w:marTop w:val="0"/>
              <w:marBottom w:val="0"/>
              <w:divBdr>
                <w:top w:val="none" w:sz="0" w:space="0" w:color="auto"/>
                <w:left w:val="none" w:sz="0" w:space="0" w:color="auto"/>
                <w:bottom w:val="none" w:sz="0" w:space="0" w:color="auto"/>
                <w:right w:val="none" w:sz="0" w:space="0" w:color="auto"/>
              </w:divBdr>
            </w:div>
            <w:div w:id="1040781241">
              <w:marLeft w:val="0"/>
              <w:marRight w:val="0"/>
              <w:marTop w:val="0"/>
              <w:marBottom w:val="0"/>
              <w:divBdr>
                <w:top w:val="none" w:sz="0" w:space="0" w:color="auto"/>
                <w:left w:val="none" w:sz="0" w:space="0" w:color="auto"/>
                <w:bottom w:val="none" w:sz="0" w:space="0" w:color="auto"/>
                <w:right w:val="none" w:sz="0" w:space="0" w:color="auto"/>
              </w:divBdr>
            </w:div>
            <w:div w:id="1058236988">
              <w:marLeft w:val="0"/>
              <w:marRight w:val="0"/>
              <w:marTop w:val="0"/>
              <w:marBottom w:val="0"/>
              <w:divBdr>
                <w:top w:val="none" w:sz="0" w:space="0" w:color="auto"/>
                <w:left w:val="none" w:sz="0" w:space="0" w:color="auto"/>
                <w:bottom w:val="none" w:sz="0" w:space="0" w:color="auto"/>
                <w:right w:val="none" w:sz="0" w:space="0" w:color="auto"/>
              </w:divBdr>
            </w:div>
            <w:div w:id="824011446">
              <w:marLeft w:val="0"/>
              <w:marRight w:val="0"/>
              <w:marTop w:val="0"/>
              <w:marBottom w:val="0"/>
              <w:divBdr>
                <w:top w:val="none" w:sz="0" w:space="0" w:color="auto"/>
                <w:left w:val="none" w:sz="0" w:space="0" w:color="auto"/>
                <w:bottom w:val="none" w:sz="0" w:space="0" w:color="auto"/>
                <w:right w:val="none" w:sz="0" w:space="0" w:color="auto"/>
              </w:divBdr>
            </w:div>
            <w:div w:id="1772697446">
              <w:marLeft w:val="0"/>
              <w:marRight w:val="0"/>
              <w:marTop w:val="0"/>
              <w:marBottom w:val="0"/>
              <w:divBdr>
                <w:top w:val="none" w:sz="0" w:space="0" w:color="auto"/>
                <w:left w:val="none" w:sz="0" w:space="0" w:color="auto"/>
                <w:bottom w:val="none" w:sz="0" w:space="0" w:color="auto"/>
                <w:right w:val="none" w:sz="0" w:space="0" w:color="auto"/>
              </w:divBdr>
            </w:div>
            <w:div w:id="1445004002">
              <w:marLeft w:val="0"/>
              <w:marRight w:val="0"/>
              <w:marTop w:val="0"/>
              <w:marBottom w:val="0"/>
              <w:divBdr>
                <w:top w:val="none" w:sz="0" w:space="0" w:color="auto"/>
                <w:left w:val="none" w:sz="0" w:space="0" w:color="auto"/>
                <w:bottom w:val="none" w:sz="0" w:space="0" w:color="auto"/>
                <w:right w:val="none" w:sz="0" w:space="0" w:color="auto"/>
              </w:divBdr>
            </w:div>
            <w:div w:id="576747053">
              <w:marLeft w:val="0"/>
              <w:marRight w:val="0"/>
              <w:marTop w:val="0"/>
              <w:marBottom w:val="0"/>
              <w:divBdr>
                <w:top w:val="none" w:sz="0" w:space="0" w:color="auto"/>
                <w:left w:val="none" w:sz="0" w:space="0" w:color="auto"/>
                <w:bottom w:val="none" w:sz="0" w:space="0" w:color="auto"/>
                <w:right w:val="none" w:sz="0" w:space="0" w:color="auto"/>
              </w:divBdr>
            </w:div>
            <w:div w:id="1107505922">
              <w:marLeft w:val="0"/>
              <w:marRight w:val="0"/>
              <w:marTop w:val="0"/>
              <w:marBottom w:val="0"/>
              <w:divBdr>
                <w:top w:val="none" w:sz="0" w:space="0" w:color="auto"/>
                <w:left w:val="none" w:sz="0" w:space="0" w:color="auto"/>
                <w:bottom w:val="none" w:sz="0" w:space="0" w:color="auto"/>
                <w:right w:val="none" w:sz="0" w:space="0" w:color="auto"/>
              </w:divBdr>
            </w:div>
            <w:div w:id="1475757549">
              <w:marLeft w:val="0"/>
              <w:marRight w:val="0"/>
              <w:marTop w:val="0"/>
              <w:marBottom w:val="0"/>
              <w:divBdr>
                <w:top w:val="none" w:sz="0" w:space="0" w:color="auto"/>
                <w:left w:val="none" w:sz="0" w:space="0" w:color="auto"/>
                <w:bottom w:val="none" w:sz="0" w:space="0" w:color="auto"/>
                <w:right w:val="none" w:sz="0" w:space="0" w:color="auto"/>
              </w:divBdr>
            </w:div>
            <w:div w:id="971323015">
              <w:marLeft w:val="0"/>
              <w:marRight w:val="0"/>
              <w:marTop w:val="0"/>
              <w:marBottom w:val="0"/>
              <w:divBdr>
                <w:top w:val="none" w:sz="0" w:space="0" w:color="auto"/>
                <w:left w:val="none" w:sz="0" w:space="0" w:color="auto"/>
                <w:bottom w:val="none" w:sz="0" w:space="0" w:color="auto"/>
                <w:right w:val="none" w:sz="0" w:space="0" w:color="auto"/>
              </w:divBdr>
            </w:div>
            <w:div w:id="71776765">
              <w:marLeft w:val="0"/>
              <w:marRight w:val="0"/>
              <w:marTop w:val="0"/>
              <w:marBottom w:val="0"/>
              <w:divBdr>
                <w:top w:val="none" w:sz="0" w:space="0" w:color="auto"/>
                <w:left w:val="none" w:sz="0" w:space="0" w:color="auto"/>
                <w:bottom w:val="none" w:sz="0" w:space="0" w:color="auto"/>
                <w:right w:val="none" w:sz="0" w:space="0" w:color="auto"/>
              </w:divBdr>
            </w:div>
            <w:div w:id="1209105069">
              <w:marLeft w:val="0"/>
              <w:marRight w:val="0"/>
              <w:marTop w:val="0"/>
              <w:marBottom w:val="0"/>
              <w:divBdr>
                <w:top w:val="none" w:sz="0" w:space="0" w:color="auto"/>
                <w:left w:val="none" w:sz="0" w:space="0" w:color="auto"/>
                <w:bottom w:val="none" w:sz="0" w:space="0" w:color="auto"/>
                <w:right w:val="none" w:sz="0" w:space="0" w:color="auto"/>
              </w:divBdr>
            </w:div>
            <w:div w:id="1967589416">
              <w:marLeft w:val="0"/>
              <w:marRight w:val="0"/>
              <w:marTop w:val="0"/>
              <w:marBottom w:val="0"/>
              <w:divBdr>
                <w:top w:val="none" w:sz="0" w:space="0" w:color="auto"/>
                <w:left w:val="none" w:sz="0" w:space="0" w:color="auto"/>
                <w:bottom w:val="none" w:sz="0" w:space="0" w:color="auto"/>
                <w:right w:val="none" w:sz="0" w:space="0" w:color="auto"/>
              </w:divBdr>
            </w:div>
            <w:div w:id="1680614949">
              <w:marLeft w:val="0"/>
              <w:marRight w:val="0"/>
              <w:marTop w:val="0"/>
              <w:marBottom w:val="0"/>
              <w:divBdr>
                <w:top w:val="none" w:sz="0" w:space="0" w:color="auto"/>
                <w:left w:val="none" w:sz="0" w:space="0" w:color="auto"/>
                <w:bottom w:val="none" w:sz="0" w:space="0" w:color="auto"/>
                <w:right w:val="none" w:sz="0" w:space="0" w:color="auto"/>
              </w:divBdr>
            </w:div>
            <w:div w:id="2103640268">
              <w:marLeft w:val="0"/>
              <w:marRight w:val="0"/>
              <w:marTop w:val="0"/>
              <w:marBottom w:val="0"/>
              <w:divBdr>
                <w:top w:val="none" w:sz="0" w:space="0" w:color="auto"/>
                <w:left w:val="none" w:sz="0" w:space="0" w:color="auto"/>
                <w:bottom w:val="none" w:sz="0" w:space="0" w:color="auto"/>
                <w:right w:val="none" w:sz="0" w:space="0" w:color="auto"/>
              </w:divBdr>
            </w:div>
            <w:div w:id="453065600">
              <w:marLeft w:val="0"/>
              <w:marRight w:val="0"/>
              <w:marTop w:val="0"/>
              <w:marBottom w:val="0"/>
              <w:divBdr>
                <w:top w:val="none" w:sz="0" w:space="0" w:color="auto"/>
                <w:left w:val="none" w:sz="0" w:space="0" w:color="auto"/>
                <w:bottom w:val="none" w:sz="0" w:space="0" w:color="auto"/>
                <w:right w:val="none" w:sz="0" w:space="0" w:color="auto"/>
              </w:divBdr>
            </w:div>
            <w:div w:id="691762179">
              <w:marLeft w:val="0"/>
              <w:marRight w:val="0"/>
              <w:marTop w:val="0"/>
              <w:marBottom w:val="0"/>
              <w:divBdr>
                <w:top w:val="none" w:sz="0" w:space="0" w:color="auto"/>
                <w:left w:val="none" w:sz="0" w:space="0" w:color="auto"/>
                <w:bottom w:val="none" w:sz="0" w:space="0" w:color="auto"/>
                <w:right w:val="none" w:sz="0" w:space="0" w:color="auto"/>
              </w:divBdr>
            </w:div>
            <w:div w:id="999306791">
              <w:marLeft w:val="0"/>
              <w:marRight w:val="0"/>
              <w:marTop w:val="0"/>
              <w:marBottom w:val="0"/>
              <w:divBdr>
                <w:top w:val="none" w:sz="0" w:space="0" w:color="auto"/>
                <w:left w:val="none" w:sz="0" w:space="0" w:color="auto"/>
                <w:bottom w:val="none" w:sz="0" w:space="0" w:color="auto"/>
                <w:right w:val="none" w:sz="0" w:space="0" w:color="auto"/>
              </w:divBdr>
            </w:div>
            <w:div w:id="251665777">
              <w:marLeft w:val="0"/>
              <w:marRight w:val="0"/>
              <w:marTop w:val="0"/>
              <w:marBottom w:val="0"/>
              <w:divBdr>
                <w:top w:val="none" w:sz="0" w:space="0" w:color="auto"/>
                <w:left w:val="none" w:sz="0" w:space="0" w:color="auto"/>
                <w:bottom w:val="none" w:sz="0" w:space="0" w:color="auto"/>
                <w:right w:val="none" w:sz="0" w:space="0" w:color="auto"/>
              </w:divBdr>
            </w:div>
            <w:div w:id="263005419">
              <w:marLeft w:val="0"/>
              <w:marRight w:val="0"/>
              <w:marTop w:val="0"/>
              <w:marBottom w:val="0"/>
              <w:divBdr>
                <w:top w:val="none" w:sz="0" w:space="0" w:color="auto"/>
                <w:left w:val="none" w:sz="0" w:space="0" w:color="auto"/>
                <w:bottom w:val="none" w:sz="0" w:space="0" w:color="auto"/>
                <w:right w:val="none" w:sz="0" w:space="0" w:color="auto"/>
              </w:divBdr>
            </w:div>
            <w:div w:id="1586569108">
              <w:marLeft w:val="0"/>
              <w:marRight w:val="0"/>
              <w:marTop w:val="0"/>
              <w:marBottom w:val="0"/>
              <w:divBdr>
                <w:top w:val="none" w:sz="0" w:space="0" w:color="auto"/>
                <w:left w:val="none" w:sz="0" w:space="0" w:color="auto"/>
                <w:bottom w:val="none" w:sz="0" w:space="0" w:color="auto"/>
                <w:right w:val="none" w:sz="0" w:space="0" w:color="auto"/>
              </w:divBdr>
            </w:div>
            <w:div w:id="263536920">
              <w:marLeft w:val="0"/>
              <w:marRight w:val="0"/>
              <w:marTop w:val="0"/>
              <w:marBottom w:val="0"/>
              <w:divBdr>
                <w:top w:val="none" w:sz="0" w:space="0" w:color="auto"/>
                <w:left w:val="none" w:sz="0" w:space="0" w:color="auto"/>
                <w:bottom w:val="none" w:sz="0" w:space="0" w:color="auto"/>
                <w:right w:val="none" w:sz="0" w:space="0" w:color="auto"/>
              </w:divBdr>
            </w:div>
            <w:div w:id="1051736332">
              <w:marLeft w:val="0"/>
              <w:marRight w:val="0"/>
              <w:marTop w:val="0"/>
              <w:marBottom w:val="0"/>
              <w:divBdr>
                <w:top w:val="none" w:sz="0" w:space="0" w:color="auto"/>
                <w:left w:val="none" w:sz="0" w:space="0" w:color="auto"/>
                <w:bottom w:val="none" w:sz="0" w:space="0" w:color="auto"/>
                <w:right w:val="none" w:sz="0" w:space="0" w:color="auto"/>
              </w:divBdr>
            </w:div>
            <w:div w:id="700594438">
              <w:marLeft w:val="0"/>
              <w:marRight w:val="0"/>
              <w:marTop w:val="0"/>
              <w:marBottom w:val="0"/>
              <w:divBdr>
                <w:top w:val="none" w:sz="0" w:space="0" w:color="auto"/>
                <w:left w:val="none" w:sz="0" w:space="0" w:color="auto"/>
                <w:bottom w:val="none" w:sz="0" w:space="0" w:color="auto"/>
                <w:right w:val="none" w:sz="0" w:space="0" w:color="auto"/>
              </w:divBdr>
            </w:div>
            <w:div w:id="607280331">
              <w:marLeft w:val="0"/>
              <w:marRight w:val="0"/>
              <w:marTop w:val="0"/>
              <w:marBottom w:val="0"/>
              <w:divBdr>
                <w:top w:val="none" w:sz="0" w:space="0" w:color="auto"/>
                <w:left w:val="none" w:sz="0" w:space="0" w:color="auto"/>
                <w:bottom w:val="none" w:sz="0" w:space="0" w:color="auto"/>
                <w:right w:val="none" w:sz="0" w:space="0" w:color="auto"/>
              </w:divBdr>
            </w:div>
            <w:div w:id="111631619">
              <w:marLeft w:val="0"/>
              <w:marRight w:val="0"/>
              <w:marTop w:val="0"/>
              <w:marBottom w:val="0"/>
              <w:divBdr>
                <w:top w:val="none" w:sz="0" w:space="0" w:color="auto"/>
                <w:left w:val="none" w:sz="0" w:space="0" w:color="auto"/>
                <w:bottom w:val="none" w:sz="0" w:space="0" w:color="auto"/>
                <w:right w:val="none" w:sz="0" w:space="0" w:color="auto"/>
              </w:divBdr>
            </w:div>
            <w:div w:id="1883856599">
              <w:marLeft w:val="0"/>
              <w:marRight w:val="0"/>
              <w:marTop w:val="0"/>
              <w:marBottom w:val="0"/>
              <w:divBdr>
                <w:top w:val="none" w:sz="0" w:space="0" w:color="auto"/>
                <w:left w:val="none" w:sz="0" w:space="0" w:color="auto"/>
                <w:bottom w:val="none" w:sz="0" w:space="0" w:color="auto"/>
                <w:right w:val="none" w:sz="0" w:space="0" w:color="auto"/>
              </w:divBdr>
            </w:div>
            <w:div w:id="154957296">
              <w:marLeft w:val="0"/>
              <w:marRight w:val="0"/>
              <w:marTop w:val="0"/>
              <w:marBottom w:val="0"/>
              <w:divBdr>
                <w:top w:val="none" w:sz="0" w:space="0" w:color="auto"/>
                <w:left w:val="none" w:sz="0" w:space="0" w:color="auto"/>
                <w:bottom w:val="none" w:sz="0" w:space="0" w:color="auto"/>
                <w:right w:val="none" w:sz="0" w:space="0" w:color="auto"/>
              </w:divBdr>
            </w:div>
            <w:div w:id="697438670">
              <w:marLeft w:val="0"/>
              <w:marRight w:val="0"/>
              <w:marTop w:val="0"/>
              <w:marBottom w:val="0"/>
              <w:divBdr>
                <w:top w:val="none" w:sz="0" w:space="0" w:color="auto"/>
                <w:left w:val="none" w:sz="0" w:space="0" w:color="auto"/>
                <w:bottom w:val="none" w:sz="0" w:space="0" w:color="auto"/>
                <w:right w:val="none" w:sz="0" w:space="0" w:color="auto"/>
              </w:divBdr>
            </w:div>
            <w:div w:id="592082888">
              <w:marLeft w:val="0"/>
              <w:marRight w:val="0"/>
              <w:marTop w:val="0"/>
              <w:marBottom w:val="0"/>
              <w:divBdr>
                <w:top w:val="none" w:sz="0" w:space="0" w:color="auto"/>
                <w:left w:val="none" w:sz="0" w:space="0" w:color="auto"/>
                <w:bottom w:val="none" w:sz="0" w:space="0" w:color="auto"/>
                <w:right w:val="none" w:sz="0" w:space="0" w:color="auto"/>
              </w:divBdr>
            </w:div>
            <w:div w:id="1778328042">
              <w:marLeft w:val="0"/>
              <w:marRight w:val="0"/>
              <w:marTop w:val="0"/>
              <w:marBottom w:val="0"/>
              <w:divBdr>
                <w:top w:val="none" w:sz="0" w:space="0" w:color="auto"/>
                <w:left w:val="none" w:sz="0" w:space="0" w:color="auto"/>
                <w:bottom w:val="none" w:sz="0" w:space="0" w:color="auto"/>
                <w:right w:val="none" w:sz="0" w:space="0" w:color="auto"/>
              </w:divBdr>
            </w:div>
            <w:div w:id="521364711">
              <w:marLeft w:val="0"/>
              <w:marRight w:val="0"/>
              <w:marTop w:val="0"/>
              <w:marBottom w:val="0"/>
              <w:divBdr>
                <w:top w:val="none" w:sz="0" w:space="0" w:color="auto"/>
                <w:left w:val="none" w:sz="0" w:space="0" w:color="auto"/>
                <w:bottom w:val="none" w:sz="0" w:space="0" w:color="auto"/>
                <w:right w:val="none" w:sz="0" w:space="0" w:color="auto"/>
              </w:divBdr>
            </w:div>
            <w:div w:id="98262091">
              <w:marLeft w:val="0"/>
              <w:marRight w:val="0"/>
              <w:marTop w:val="0"/>
              <w:marBottom w:val="0"/>
              <w:divBdr>
                <w:top w:val="none" w:sz="0" w:space="0" w:color="auto"/>
                <w:left w:val="none" w:sz="0" w:space="0" w:color="auto"/>
                <w:bottom w:val="none" w:sz="0" w:space="0" w:color="auto"/>
                <w:right w:val="none" w:sz="0" w:space="0" w:color="auto"/>
              </w:divBdr>
            </w:div>
            <w:div w:id="1560748730">
              <w:marLeft w:val="0"/>
              <w:marRight w:val="0"/>
              <w:marTop w:val="0"/>
              <w:marBottom w:val="0"/>
              <w:divBdr>
                <w:top w:val="none" w:sz="0" w:space="0" w:color="auto"/>
                <w:left w:val="none" w:sz="0" w:space="0" w:color="auto"/>
                <w:bottom w:val="none" w:sz="0" w:space="0" w:color="auto"/>
                <w:right w:val="none" w:sz="0" w:space="0" w:color="auto"/>
              </w:divBdr>
            </w:div>
            <w:div w:id="1552228079">
              <w:marLeft w:val="0"/>
              <w:marRight w:val="0"/>
              <w:marTop w:val="0"/>
              <w:marBottom w:val="0"/>
              <w:divBdr>
                <w:top w:val="none" w:sz="0" w:space="0" w:color="auto"/>
                <w:left w:val="none" w:sz="0" w:space="0" w:color="auto"/>
                <w:bottom w:val="none" w:sz="0" w:space="0" w:color="auto"/>
                <w:right w:val="none" w:sz="0" w:space="0" w:color="auto"/>
              </w:divBdr>
            </w:div>
            <w:div w:id="1151750544">
              <w:marLeft w:val="0"/>
              <w:marRight w:val="0"/>
              <w:marTop w:val="0"/>
              <w:marBottom w:val="0"/>
              <w:divBdr>
                <w:top w:val="none" w:sz="0" w:space="0" w:color="auto"/>
                <w:left w:val="none" w:sz="0" w:space="0" w:color="auto"/>
                <w:bottom w:val="none" w:sz="0" w:space="0" w:color="auto"/>
                <w:right w:val="none" w:sz="0" w:space="0" w:color="auto"/>
              </w:divBdr>
            </w:div>
            <w:div w:id="423694991">
              <w:marLeft w:val="0"/>
              <w:marRight w:val="0"/>
              <w:marTop w:val="0"/>
              <w:marBottom w:val="0"/>
              <w:divBdr>
                <w:top w:val="none" w:sz="0" w:space="0" w:color="auto"/>
                <w:left w:val="none" w:sz="0" w:space="0" w:color="auto"/>
                <w:bottom w:val="none" w:sz="0" w:space="0" w:color="auto"/>
                <w:right w:val="none" w:sz="0" w:space="0" w:color="auto"/>
              </w:divBdr>
            </w:div>
            <w:div w:id="1964384002">
              <w:marLeft w:val="0"/>
              <w:marRight w:val="0"/>
              <w:marTop w:val="0"/>
              <w:marBottom w:val="0"/>
              <w:divBdr>
                <w:top w:val="none" w:sz="0" w:space="0" w:color="auto"/>
                <w:left w:val="none" w:sz="0" w:space="0" w:color="auto"/>
                <w:bottom w:val="none" w:sz="0" w:space="0" w:color="auto"/>
                <w:right w:val="none" w:sz="0" w:space="0" w:color="auto"/>
              </w:divBdr>
            </w:div>
            <w:div w:id="677193138">
              <w:marLeft w:val="0"/>
              <w:marRight w:val="0"/>
              <w:marTop w:val="0"/>
              <w:marBottom w:val="0"/>
              <w:divBdr>
                <w:top w:val="none" w:sz="0" w:space="0" w:color="auto"/>
                <w:left w:val="none" w:sz="0" w:space="0" w:color="auto"/>
                <w:bottom w:val="none" w:sz="0" w:space="0" w:color="auto"/>
                <w:right w:val="none" w:sz="0" w:space="0" w:color="auto"/>
              </w:divBdr>
            </w:div>
            <w:div w:id="1066992027">
              <w:marLeft w:val="0"/>
              <w:marRight w:val="0"/>
              <w:marTop w:val="0"/>
              <w:marBottom w:val="0"/>
              <w:divBdr>
                <w:top w:val="none" w:sz="0" w:space="0" w:color="auto"/>
                <w:left w:val="none" w:sz="0" w:space="0" w:color="auto"/>
                <w:bottom w:val="none" w:sz="0" w:space="0" w:color="auto"/>
                <w:right w:val="none" w:sz="0" w:space="0" w:color="auto"/>
              </w:divBdr>
            </w:div>
            <w:div w:id="793719019">
              <w:marLeft w:val="0"/>
              <w:marRight w:val="0"/>
              <w:marTop w:val="0"/>
              <w:marBottom w:val="0"/>
              <w:divBdr>
                <w:top w:val="none" w:sz="0" w:space="0" w:color="auto"/>
                <w:left w:val="none" w:sz="0" w:space="0" w:color="auto"/>
                <w:bottom w:val="none" w:sz="0" w:space="0" w:color="auto"/>
                <w:right w:val="none" w:sz="0" w:space="0" w:color="auto"/>
              </w:divBdr>
            </w:div>
            <w:div w:id="10358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2812">
      <w:bodyDiv w:val="1"/>
      <w:marLeft w:val="0"/>
      <w:marRight w:val="0"/>
      <w:marTop w:val="0"/>
      <w:marBottom w:val="0"/>
      <w:divBdr>
        <w:top w:val="none" w:sz="0" w:space="0" w:color="auto"/>
        <w:left w:val="none" w:sz="0" w:space="0" w:color="auto"/>
        <w:bottom w:val="none" w:sz="0" w:space="0" w:color="auto"/>
        <w:right w:val="none" w:sz="0" w:space="0" w:color="auto"/>
      </w:divBdr>
    </w:div>
    <w:div w:id="1040518374">
      <w:bodyDiv w:val="1"/>
      <w:marLeft w:val="0"/>
      <w:marRight w:val="0"/>
      <w:marTop w:val="0"/>
      <w:marBottom w:val="0"/>
      <w:divBdr>
        <w:top w:val="none" w:sz="0" w:space="0" w:color="auto"/>
        <w:left w:val="none" w:sz="0" w:space="0" w:color="auto"/>
        <w:bottom w:val="none" w:sz="0" w:space="0" w:color="auto"/>
        <w:right w:val="none" w:sz="0" w:space="0" w:color="auto"/>
      </w:divBdr>
      <w:divsChild>
        <w:div w:id="2000380853">
          <w:marLeft w:val="480"/>
          <w:marRight w:val="0"/>
          <w:marTop w:val="0"/>
          <w:marBottom w:val="0"/>
          <w:divBdr>
            <w:top w:val="none" w:sz="0" w:space="0" w:color="auto"/>
            <w:left w:val="none" w:sz="0" w:space="0" w:color="auto"/>
            <w:bottom w:val="none" w:sz="0" w:space="0" w:color="auto"/>
            <w:right w:val="none" w:sz="0" w:space="0" w:color="auto"/>
          </w:divBdr>
          <w:divsChild>
            <w:div w:id="992487728">
              <w:marLeft w:val="0"/>
              <w:marRight w:val="0"/>
              <w:marTop w:val="0"/>
              <w:marBottom w:val="0"/>
              <w:divBdr>
                <w:top w:val="none" w:sz="0" w:space="0" w:color="auto"/>
                <w:left w:val="none" w:sz="0" w:space="0" w:color="auto"/>
                <w:bottom w:val="none" w:sz="0" w:space="0" w:color="auto"/>
                <w:right w:val="none" w:sz="0" w:space="0" w:color="auto"/>
              </w:divBdr>
            </w:div>
            <w:div w:id="899830916">
              <w:marLeft w:val="0"/>
              <w:marRight w:val="0"/>
              <w:marTop w:val="0"/>
              <w:marBottom w:val="0"/>
              <w:divBdr>
                <w:top w:val="none" w:sz="0" w:space="0" w:color="auto"/>
                <w:left w:val="none" w:sz="0" w:space="0" w:color="auto"/>
                <w:bottom w:val="none" w:sz="0" w:space="0" w:color="auto"/>
                <w:right w:val="none" w:sz="0" w:space="0" w:color="auto"/>
              </w:divBdr>
            </w:div>
            <w:div w:id="2033530894">
              <w:marLeft w:val="0"/>
              <w:marRight w:val="0"/>
              <w:marTop w:val="0"/>
              <w:marBottom w:val="0"/>
              <w:divBdr>
                <w:top w:val="none" w:sz="0" w:space="0" w:color="auto"/>
                <w:left w:val="none" w:sz="0" w:space="0" w:color="auto"/>
                <w:bottom w:val="none" w:sz="0" w:space="0" w:color="auto"/>
                <w:right w:val="none" w:sz="0" w:space="0" w:color="auto"/>
              </w:divBdr>
            </w:div>
            <w:div w:id="291374984">
              <w:marLeft w:val="0"/>
              <w:marRight w:val="0"/>
              <w:marTop w:val="0"/>
              <w:marBottom w:val="0"/>
              <w:divBdr>
                <w:top w:val="none" w:sz="0" w:space="0" w:color="auto"/>
                <w:left w:val="none" w:sz="0" w:space="0" w:color="auto"/>
                <w:bottom w:val="none" w:sz="0" w:space="0" w:color="auto"/>
                <w:right w:val="none" w:sz="0" w:space="0" w:color="auto"/>
              </w:divBdr>
            </w:div>
            <w:div w:id="1883591426">
              <w:marLeft w:val="0"/>
              <w:marRight w:val="0"/>
              <w:marTop w:val="0"/>
              <w:marBottom w:val="0"/>
              <w:divBdr>
                <w:top w:val="none" w:sz="0" w:space="0" w:color="auto"/>
                <w:left w:val="none" w:sz="0" w:space="0" w:color="auto"/>
                <w:bottom w:val="none" w:sz="0" w:space="0" w:color="auto"/>
                <w:right w:val="none" w:sz="0" w:space="0" w:color="auto"/>
              </w:divBdr>
            </w:div>
            <w:div w:id="519122947">
              <w:marLeft w:val="0"/>
              <w:marRight w:val="0"/>
              <w:marTop w:val="0"/>
              <w:marBottom w:val="0"/>
              <w:divBdr>
                <w:top w:val="none" w:sz="0" w:space="0" w:color="auto"/>
                <w:left w:val="none" w:sz="0" w:space="0" w:color="auto"/>
                <w:bottom w:val="none" w:sz="0" w:space="0" w:color="auto"/>
                <w:right w:val="none" w:sz="0" w:space="0" w:color="auto"/>
              </w:divBdr>
            </w:div>
            <w:div w:id="1898080547">
              <w:marLeft w:val="0"/>
              <w:marRight w:val="0"/>
              <w:marTop w:val="0"/>
              <w:marBottom w:val="0"/>
              <w:divBdr>
                <w:top w:val="none" w:sz="0" w:space="0" w:color="auto"/>
                <w:left w:val="none" w:sz="0" w:space="0" w:color="auto"/>
                <w:bottom w:val="none" w:sz="0" w:space="0" w:color="auto"/>
                <w:right w:val="none" w:sz="0" w:space="0" w:color="auto"/>
              </w:divBdr>
            </w:div>
            <w:div w:id="40205650">
              <w:marLeft w:val="0"/>
              <w:marRight w:val="0"/>
              <w:marTop w:val="0"/>
              <w:marBottom w:val="0"/>
              <w:divBdr>
                <w:top w:val="none" w:sz="0" w:space="0" w:color="auto"/>
                <w:left w:val="none" w:sz="0" w:space="0" w:color="auto"/>
                <w:bottom w:val="none" w:sz="0" w:space="0" w:color="auto"/>
                <w:right w:val="none" w:sz="0" w:space="0" w:color="auto"/>
              </w:divBdr>
            </w:div>
            <w:div w:id="1571190380">
              <w:marLeft w:val="0"/>
              <w:marRight w:val="0"/>
              <w:marTop w:val="0"/>
              <w:marBottom w:val="0"/>
              <w:divBdr>
                <w:top w:val="none" w:sz="0" w:space="0" w:color="auto"/>
                <w:left w:val="none" w:sz="0" w:space="0" w:color="auto"/>
                <w:bottom w:val="none" w:sz="0" w:space="0" w:color="auto"/>
                <w:right w:val="none" w:sz="0" w:space="0" w:color="auto"/>
              </w:divBdr>
            </w:div>
            <w:div w:id="1060132317">
              <w:marLeft w:val="0"/>
              <w:marRight w:val="0"/>
              <w:marTop w:val="0"/>
              <w:marBottom w:val="0"/>
              <w:divBdr>
                <w:top w:val="none" w:sz="0" w:space="0" w:color="auto"/>
                <w:left w:val="none" w:sz="0" w:space="0" w:color="auto"/>
                <w:bottom w:val="none" w:sz="0" w:space="0" w:color="auto"/>
                <w:right w:val="none" w:sz="0" w:space="0" w:color="auto"/>
              </w:divBdr>
            </w:div>
            <w:div w:id="764494996">
              <w:marLeft w:val="0"/>
              <w:marRight w:val="0"/>
              <w:marTop w:val="0"/>
              <w:marBottom w:val="0"/>
              <w:divBdr>
                <w:top w:val="none" w:sz="0" w:space="0" w:color="auto"/>
                <w:left w:val="none" w:sz="0" w:space="0" w:color="auto"/>
                <w:bottom w:val="none" w:sz="0" w:space="0" w:color="auto"/>
                <w:right w:val="none" w:sz="0" w:space="0" w:color="auto"/>
              </w:divBdr>
            </w:div>
            <w:div w:id="62265393">
              <w:marLeft w:val="0"/>
              <w:marRight w:val="0"/>
              <w:marTop w:val="0"/>
              <w:marBottom w:val="0"/>
              <w:divBdr>
                <w:top w:val="none" w:sz="0" w:space="0" w:color="auto"/>
                <w:left w:val="none" w:sz="0" w:space="0" w:color="auto"/>
                <w:bottom w:val="none" w:sz="0" w:space="0" w:color="auto"/>
                <w:right w:val="none" w:sz="0" w:space="0" w:color="auto"/>
              </w:divBdr>
            </w:div>
            <w:div w:id="825322172">
              <w:marLeft w:val="0"/>
              <w:marRight w:val="0"/>
              <w:marTop w:val="0"/>
              <w:marBottom w:val="0"/>
              <w:divBdr>
                <w:top w:val="none" w:sz="0" w:space="0" w:color="auto"/>
                <w:left w:val="none" w:sz="0" w:space="0" w:color="auto"/>
                <w:bottom w:val="none" w:sz="0" w:space="0" w:color="auto"/>
                <w:right w:val="none" w:sz="0" w:space="0" w:color="auto"/>
              </w:divBdr>
            </w:div>
            <w:div w:id="1563979380">
              <w:marLeft w:val="0"/>
              <w:marRight w:val="0"/>
              <w:marTop w:val="0"/>
              <w:marBottom w:val="0"/>
              <w:divBdr>
                <w:top w:val="none" w:sz="0" w:space="0" w:color="auto"/>
                <w:left w:val="none" w:sz="0" w:space="0" w:color="auto"/>
                <w:bottom w:val="none" w:sz="0" w:space="0" w:color="auto"/>
                <w:right w:val="none" w:sz="0" w:space="0" w:color="auto"/>
              </w:divBdr>
            </w:div>
            <w:div w:id="195310341">
              <w:marLeft w:val="0"/>
              <w:marRight w:val="0"/>
              <w:marTop w:val="0"/>
              <w:marBottom w:val="0"/>
              <w:divBdr>
                <w:top w:val="none" w:sz="0" w:space="0" w:color="auto"/>
                <w:left w:val="none" w:sz="0" w:space="0" w:color="auto"/>
                <w:bottom w:val="none" w:sz="0" w:space="0" w:color="auto"/>
                <w:right w:val="none" w:sz="0" w:space="0" w:color="auto"/>
              </w:divBdr>
            </w:div>
            <w:div w:id="1636254520">
              <w:marLeft w:val="0"/>
              <w:marRight w:val="0"/>
              <w:marTop w:val="0"/>
              <w:marBottom w:val="0"/>
              <w:divBdr>
                <w:top w:val="none" w:sz="0" w:space="0" w:color="auto"/>
                <w:left w:val="none" w:sz="0" w:space="0" w:color="auto"/>
                <w:bottom w:val="none" w:sz="0" w:space="0" w:color="auto"/>
                <w:right w:val="none" w:sz="0" w:space="0" w:color="auto"/>
              </w:divBdr>
            </w:div>
            <w:div w:id="1278411830">
              <w:marLeft w:val="0"/>
              <w:marRight w:val="0"/>
              <w:marTop w:val="0"/>
              <w:marBottom w:val="0"/>
              <w:divBdr>
                <w:top w:val="none" w:sz="0" w:space="0" w:color="auto"/>
                <w:left w:val="none" w:sz="0" w:space="0" w:color="auto"/>
                <w:bottom w:val="none" w:sz="0" w:space="0" w:color="auto"/>
                <w:right w:val="none" w:sz="0" w:space="0" w:color="auto"/>
              </w:divBdr>
            </w:div>
            <w:div w:id="331836836">
              <w:marLeft w:val="0"/>
              <w:marRight w:val="0"/>
              <w:marTop w:val="0"/>
              <w:marBottom w:val="0"/>
              <w:divBdr>
                <w:top w:val="none" w:sz="0" w:space="0" w:color="auto"/>
                <w:left w:val="none" w:sz="0" w:space="0" w:color="auto"/>
                <w:bottom w:val="none" w:sz="0" w:space="0" w:color="auto"/>
                <w:right w:val="none" w:sz="0" w:space="0" w:color="auto"/>
              </w:divBdr>
            </w:div>
            <w:div w:id="1210143622">
              <w:marLeft w:val="0"/>
              <w:marRight w:val="0"/>
              <w:marTop w:val="0"/>
              <w:marBottom w:val="0"/>
              <w:divBdr>
                <w:top w:val="none" w:sz="0" w:space="0" w:color="auto"/>
                <w:left w:val="none" w:sz="0" w:space="0" w:color="auto"/>
                <w:bottom w:val="none" w:sz="0" w:space="0" w:color="auto"/>
                <w:right w:val="none" w:sz="0" w:space="0" w:color="auto"/>
              </w:divBdr>
            </w:div>
            <w:div w:id="1254896855">
              <w:marLeft w:val="0"/>
              <w:marRight w:val="0"/>
              <w:marTop w:val="0"/>
              <w:marBottom w:val="0"/>
              <w:divBdr>
                <w:top w:val="none" w:sz="0" w:space="0" w:color="auto"/>
                <w:left w:val="none" w:sz="0" w:space="0" w:color="auto"/>
                <w:bottom w:val="none" w:sz="0" w:space="0" w:color="auto"/>
                <w:right w:val="none" w:sz="0" w:space="0" w:color="auto"/>
              </w:divBdr>
            </w:div>
            <w:div w:id="898517346">
              <w:marLeft w:val="0"/>
              <w:marRight w:val="0"/>
              <w:marTop w:val="0"/>
              <w:marBottom w:val="0"/>
              <w:divBdr>
                <w:top w:val="none" w:sz="0" w:space="0" w:color="auto"/>
                <w:left w:val="none" w:sz="0" w:space="0" w:color="auto"/>
                <w:bottom w:val="none" w:sz="0" w:space="0" w:color="auto"/>
                <w:right w:val="none" w:sz="0" w:space="0" w:color="auto"/>
              </w:divBdr>
            </w:div>
            <w:div w:id="1624387253">
              <w:marLeft w:val="0"/>
              <w:marRight w:val="0"/>
              <w:marTop w:val="0"/>
              <w:marBottom w:val="0"/>
              <w:divBdr>
                <w:top w:val="none" w:sz="0" w:space="0" w:color="auto"/>
                <w:left w:val="none" w:sz="0" w:space="0" w:color="auto"/>
                <w:bottom w:val="none" w:sz="0" w:space="0" w:color="auto"/>
                <w:right w:val="none" w:sz="0" w:space="0" w:color="auto"/>
              </w:divBdr>
            </w:div>
            <w:div w:id="1775050477">
              <w:marLeft w:val="0"/>
              <w:marRight w:val="0"/>
              <w:marTop w:val="0"/>
              <w:marBottom w:val="0"/>
              <w:divBdr>
                <w:top w:val="none" w:sz="0" w:space="0" w:color="auto"/>
                <w:left w:val="none" w:sz="0" w:space="0" w:color="auto"/>
                <w:bottom w:val="none" w:sz="0" w:space="0" w:color="auto"/>
                <w:right w:val="none" w:sz="0" w:space="0" w:color="auto"/>
              </w:divBdr>
            </w:div>
            <w:div w:id="66852947">
              <w:marLeft w:val="0"/>
              <w:marRight w:val="0"/>
              <w:marTop w:val="0"/>
              <w:marBottom w:val="0"/>
              <w:divBdr>
                <w:top w:val="none" w:sz="0" w:space="0" w:color="auto"/>
                <w:left w:val="none" w:sz="0" w:space="0" w:color="auto"/>
                <w:bottom w:val="none" w:sz="0" w:space="0" w:color="auto"/>
                <w:right w:val="none" w:sz="0" w:space="0" w:color="auto"/>
              </w:divBdr>
            </w:div>
            <w:div w:id="819924139">
              <w:marLeft w:val="0"/>
              <w:marRight w:val="0"/>
              <w:marTop w:val="0"/>
              <w:marBottom w:val="0"/>
              <w:divBdr>
                <w:top w:val="none" w:sz="0" w:space="0" w:color="auto"/>
                <w:left w:val="none" w:sz="0" w:space="0" w:color="auto"/>
                <w:bottom w:val="none" w:sz="0" w:space="0" w:color="auto"/>
                <w:right w:val="none" w:sz="0" w:space="0" w:color="auto"/>
              </w:divBdr>
            </w:div>
            <w:div w:id="109983738">
              <w:marLeft w:val="0"/>
              <w:marRight w:val="0"/>
              <w:marTop w:val="0"/>
              <w:marBottom w:val="0"/>
              <w:divBdr>
                <w:top w:val="none" w:sz="0" w:space="0" w:color="auto"/>
                <w:left w:val="none" w:sz="0" w:space="0" w:color="auto"/>
                <w:bottom w:val="none" w:sz="0" w:space="0" w:color="auto"/>
                <w:right w:val="none" w:sz="0" w:space="0" w:color="auto"/>
              </w:divBdr>
            </w:div>
            <w:div w:id="120727756">
              <w:marLeft w:val="0"/>
              <w:marRight w:val="0"/>
              <w:marTop w:val="0"/>
              <w:marBottom w:val="0"/>
              <w:divBdr>
                <w:top w:val="none" w:sz="0" w:space="0" w:color="auto"/>
                <w:left w:val="none" w:sz="0" w:space="0" w:color="auto"/>
                <w:bottom w:val="none" w:sz="0" w:space="0" w:color="auto"/>
                <w:right w:val="none" w:sz="0" w:space="0" w:color="auto"/>
              </w:divBdr>
            </w:div>
            <w:div w:id="668487542">
              <w:marLeft w:val="0"/>
              <w:marRight w:val="0"/>
              <w:marTop w:val="0"/>
              <w:marBottom w:val="0"/>
              <w:divBdr>
                <w:top w:val="none" w:sz="0" w:space="0" w:color="auto"/>
                <w:left w:val="none" w:sz="0" w:space="0" w:color="auto"/>
                <w:bottom w:val="none" w:sz="0" w:space="0" w:color="auto"/>
                <w:right w:val="none" w:sz="0" w:space="0" w:color="auto"/>
              </w:divBdr>
            </w:div>
            <w:div w:id="1918053812">
              <w:marLeft w:val="0"/>
              <w:marRight w:val="0"/>
              <w:marTop w:val="0"/>
              <w:marBottom w:val="0"/>
              <w:divBdr>
                <w:top w:val="none" w:sz="0" w:space="0" w:color="auto"/>
                <w:left w:val="none" w:sz="0" w:space="0" w:color="auto"/>
                <w:bottom w:val="none" w:sz="0" w:space="0" w:color="auto"/>
                <w:right w:val="none" w:sz="0" w:space="0" w:color="auto"/>
              </w:divBdr>
            </w:div>
            <w:div w:id="1736465955">
              <w:marLeft w:val="0"/>
              <w:marRight w:val="0"/>
              <w:marTop w:val="0"/>
              <w:marBottom w:val="0"/>
              <w:divBdr>
                <w:top w:val="none" w:sz="0" w:space="0" w:color="auto"/>
                <w:left w:val="none" w:sz="0" w:space="0" w:color="auto"/>
                <w:bottom w:val="none" w:sz="0" w:space="0" w:color="auto"/>
                <w:right w:val="none" w:sz="0" w:space="0" w:color="auto"/>
              </w:divBdr>
            </w:div>
            <w:div w:id="30540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73515">
      <w:bodyDiv w:val="1"/>
      <w:marLeft w:val="0"/>
      <w:marRight w:val="0"/>
      <w:marTop w:val="0"/>
      <w:marBottom w:val="0"/>
      <w:divBdr>
        <w:top w:val="none" w:sz="0" w:space="0" w:color="auto"/>
        <w:left w:val="none" w:sz="0" w:space="0" w:color="auto"/>
        <w:bottom w:val="none" w:sz="0" w:space="0" w:color="auto"/>
        <w:right w:val="none" w:sz="0" w:space="0" w:color="auto"/>
      </w:divBdr>
    </w:div>
    <w:div w:id="1192572338">
      <w:bodyDiv w:val="1"/>
      <w:marLeft w:val="0"/>
      <w:marRight w:val="0"/>
      <w:marTop w:val="0"/>
      <w:marBottom w:val="0"/>
      <w:divBdr>
        <w:top w:val="none" w:sz="0" w:space="0" w:color="auto"/>
        <w:left w:val="none" w:sz="0" w:space="0" w:color="auto"/>
        <w:bottom w:val="none" w:sz="0" w:space="0" w:color="auto"/>
        <w:right w:val="none" w:sz="0" w:space="0" w:color="auto"/>
      </w:divBdr>
    </w:div>
    <w:div w:id="1200317089">
      <w:bodyDiv w:val="1"/>
      <w:marLeft w:val="0"/>
      <w:marRight w:val="0"/>
      <w:marTop w:val="0"/>
      <w:marBottom w:val="0"/>
      <w:divBdr>
        <w:top w:val="none" w:sz="0" w:space="0" w:color="auto"/>
        <w:left w:val="none" w:sz="0" w:space="0" w:color="auto"/>
        <w:bottom w:val="none" w:sz="0" w:space="0" w:color="auto"/>
        <w:right w:val="none" w:sz="0" w:space="0" w:color="auto"/>
      </w:divBdr>
    </w:div>
    <w:div w:id="1305892882">
      <w:bodyDiv w:val="1"/>
      <w:marLeft w:val="0"/>
      <w:marRight w:val="0"/>
      <w:marTop w:val="0"/>
      <w:marBottom w:val="0"/>
      <w:divBdr>
        <w:top w:val="none" w:sz="0" w:space="0" w:color="auto"/>
        <w:left w:val="none" w:sz="0" w:space="0" w:color="auto"/>
        <w:bottom w:val="none" w:sz="0" w:space="0" w:color="auto"/>
        <w:right w:val="none" w:sz="0" w:space="0" w:color="auto"/>
      </w:divBdr>
    </w:div>
    <w:div w:id="1314599055">
      <w:bodyDiv w:val="1"/>
      <w:marLeft w:val="0"/>
      <w:marRight w:val="0"/>
      <w:marTop w:val="0"/>
      <w:marBottom w:val="0"/>
      <w:divBdr>
        <w:top w:val="none" w:sz="0" w:space="0" w:color="auto"/>
        <w:left w:val="none" w:sz="0" w:space="0" w:color="auto"/>
        <w:bottom w:val="none" w:sz="0" w:space="0" w:color="auto"/>
        <w:right w:val="none" w:sz="0" w:space="0" w:color="auto"/>
      </w:divBdr>
    </w:div>
    <w:div w:id="1366246875">
      <w:bodyDiv w:val="1"/>
      <w:marLeft w:val="0"/>
      <w:marRight w:val="0"/>
      <w:marTop w:val="0"/>
      <w:marBottom w:val="0"/>
      <w:divBdr>
        <w:top w:val="none" w:sz="0" w:space="0" w:color="auto"/>
        <w:left w:val="none" w:sz="0" w:space="0" w:color="auto"/>
        <w:bottom w:val="none" w:sz="0" w:space="0" w:color="auto"/>
        <w:right w:val="none" w:sz="0" w:space="0" w:color="auto"/>
      </w:divBdr>
    </w:div>
    <w:div w:id="1471240264">
      <w:bodyDiv w:val="1"/>
      <w:marLeft w:val="0"/>
      <w:marRight w:val="0"/>
      <w:marTop w:val="0"/>
      <w:marBottom w:val="0"/>
      <w:divBdr>
        <w:top w:val="none" w:sz="0" w:space="0" w:color="auto"/>
        <w:left w:val="none" w:sz="0" w:space="0" w:color="auto"/>
        <w:bottom w:val="none" w:sz="0" w:space="0" w:color="auto"/>
        <w:right w:val="none" w:sz="0" w:space="0" w:color="auto"/>
      </w:divBdr>
    </w:div>
    <w:div w:id="1498110473">
      <w:bodyDiv w:val="1"/>
      <w:marLeft w:val="0"/>
      <w:marRight w:val="0"/>
      <w:marTop w:val="0"/>
      <w:marBottom w:val="0"/>
      <w:divBdr>
        <w:top w:val="none" w:sz="0" w:space="0" w:color="auto"/>
        <w:left w:val="none" w:sz="0" w:space="0" w:color="auto"/>
        <w:bottom w:val="none" w:sz="0" w:space="0" w:color="auto"/>
        <w:right w:val="none" w:sz="0" w:space="0" w:color="auto"/>
      </w:divBdr>
      <w:divsChild>
        <w:div w:id="1920089285">
          <w:marLeft w:val="480"/>
          <w:marRight w:val="0"/>
          <w:marTop w:val="0"/>
          <w:marBottom w:val="0"/>
          <w:divBdr>
            <w:top w:val="none" w:sz="0" w:space="0" w:color="auto"/>
            <w:left w:val="none" w:sz="0" w:space="0" w:color="auto"/>
            <w:bottom w:val="none" w:sz="0" w:space="0" w:color="auto"/>
            <w:right w:val="none" w:sz="0" w:space="0" w:color="auto"/>
          </w:divBdr>
          <w:divsChild>
            <w:div w:id="1461799509">
              <w:marLeft w:val="0"/>
              <w:marRight w:val="0"/>
              <w:marTop w:val="0"/>
              <w:marBottom w:val="0"/>
              <w:divBdr>
                <w:top w:val="none" w:sz="0" w:space="0" w:color="auto"/>
                <w:left w:val="none" w:sz="0" w:space="0" w:color="auto"/>
                <w:bottom w:val="none" w:sz="0" w:space="0" w:color="auto"/>
                <w:right w:val="none" w:sz="0" w:space="0" w:color="auto"/>
              </w:divBdr>
            </w:div>
            <w:div w:id="938562263">
              <w:marLeft w:val="0"/>
              <w:marRight w:val="0"/>
              <w:marTop w:val="0"/>
              <w:marBottom w:val="0"/>
              <w:divBdr>
                <w:top w:val="none" w:sz="0" w:space="0" w:color="auto"/>
                <w:left w:val="none" w:sz="0" w:space="0" w:color="auto"/>
                <w:bottom w:val="none" w:sz="0" w:space="0" w:color="auto"/>
                <w:right w:val="none" w:sz="0" w:space="0" w:color="auto"/>
              </w:divBdr>
            </w:div>
            <w:div w:id="803818712">
              <w:marLeft w:val="0"/>
              <w:marRight w:val="0"/>
              <w:marTop w:val="0"/>
              <w:marBottom w:val="0"/>
              <w:divBdr>
                <w:top w:val="none" w:sz="0" w:space="0" w:color="auto"/>
                <w:left w:val="none" w:sz="0" w:space="0" w:color="auto"/>
                <w:bottom w:val="none" w:sz="0" w:space="0" w:color="auto"/>
                <w:right w:val="none" w:sz="0" w:space="0" w:color="auto"/>
              </w:divBdr>
            </w:div>
            <w:div w:id="530345608">
              <w:marLeft w:val="0"/>
              <w:marRight w:val="0"/>
              <w:marTop w:val="0"/>
              <w:marBottom w:val="0"/>
              <w:divBdr>
                <w:top w:val="none" w:sz="0" w:space="0" w:color="auto"/>
                <w:left w:val="none" w:sz="0" w:space="0" w:color="auto"/>
                <w:bottom w:val="none" w:sz="0" w:space="0" w:color="auto"/>
                <w:right w:val="none" w:sz="0" w:space="0" w:color="auto"/>
              </w:divBdr>
            </w:div>
            <w:div w:id="72701091">
              <w:marLeft w:val="0"/>
              <w:marRight w:val="0"/>
              <w:marTop w:val="0"/>
              <w:marBottom w:val="0"/>
              <w:divBdr>
                <w:top w:val="none" w:sz="0" w:space="0" w:color="auto"/>
                <w:left w:val="none" w:sz="0" w:space="0" w:color="auto"/>
                <w:bottom w:val="none" w:sz="0" w:space="0" w:color="auto"/>
                <w:right w:val="none" w:sz="0" w:space="0" w:color="auto"/>
              </w:divBdr>
            </w:div>
            <w:div w:id="248779518">
              <w:marLeft w:val="0"/>
              <w:marRight w:val="0"/>
              <w:marTop w:val="0"/>
              <w:marBottom w:val="0"/>
              <w:divBdr>
                <w:top w:val="none" w:sz="0" w:space="0" w:color="auto"/>
                <w:left w:val="none" w:sz="0" w:space="0" w:color="auto"/>
                <w:bottom w:val="none" w:sz="0" w:space="0" w:color="auto"/>
                <w:right w:val="none" w:sz="0" w:space="0" w:color="auto"/>
              </w:divBdr>
            </w:div>
            <w:div w:id="369258594">
              <w:marLeft w:val="0"/>
              <w:marRight w:val="0"/>
              <w:marTop w:val="0"/>
              <w:marBottom w:val="0"/>
              <w:divBdr>
                <w:top w:val="none" w:sz="0" w:space="0" w:color="auto"/>
                <w:left w:val="none" w:sz="0" w:space="0" w:color="auto"/>
                <w:bottom w:val="none" w:sz="0" w:space="0" w:color="auto"/>
                <w:right w:val="none" w:sz="0" w:space="0" w:color="auto"/>
              </w:divBdr>
            </w:div>
            <w:div w:id="113066433">
              <w:marLeft w:val="0"/>
              <w:marRight w:val="0"/>
              <w:marTop w:val="0"/>
              <w:marBottom w:val="0"/>
              <w:divBdr>
                <w:top w:val="none" w:sz="0" w:space="0" w:color="auto"/>
                <w:left w:val="none" w:sz="0" w:space="0" w:color="auto"/>
                <w:bottom w:val="none" w:sz="0" w:space="0" w:color="auto"/>
                <w:right w:val="none" w:sz="0" w:space="0" w:color="auto"/>
              </w:divBdr>
            </w:div>
            <w:div w:id="798037025">
              <w:marLeft w:val="0"/>
              <w:marRight w:val="0"/>
              <w:marTop w:val="0"/>
              <w:marBottom w:val="0"/>
              <w:divBdr>
                <w:top w:val="none" w:sz="0" w:space="0" w:color="auto"/>
                <w:left w:val="none" w:sz="0" w:space="0" w:color="auto"/>
                <w:bottom w:val="none" w:sz="0" w:space="0" w:color="auto"/>
                <w:right w:val="none" w:sz="0" w:space="0" w:color="auto"/>
              </w:divBdr>
            </w:div>
            <w:div w:id="1105270418">
              <w:marLeft w:val="0"/>
              <w:marRight w:val="0"/>
              <w:marTop w:val="0"/>
              <w:marBottom w:val="0"/>
              <w:divBdr>
                <w:top w:val="none" w:sz="0" w:space="0" w:color="auto"/>
                <w:left w:val="none" w:sz="0" w:space="0" w:color="auto"/>
                <w:bottom w:val="none" w:sz="0" w:space="0" w:color="auto"/>
                <w:right w:val="none" w:sz="0" w:space="0" w:color="auto"/>
              </w:divBdr>
            </w:div>
            <w:div w:id="1617712115">
              <w:marLeft w:val="0"/>
              <w:marRight w:val="0"/>
              <w:marTop w:val="0"/>
              <w:marBottom w:val="0"/>
              <w:divBdr>
                <w:top w:val="none" w:sz="0" w:space="0" w:color="auto"/>
                <w:left w:val="none" w:sz="0" w:space="0" w:color="auto"/>
                <w:bottom w:val="none" w:sz="0" w:space="0" w:color="auto"/>
                <w:right w:val="none" w:sz="0" w:space="0" w:color="auto"/>
              </w:divBdr>
            </w:div>
            <w:div w:id="665522334">
              <w:marLeft w:val="0"/>
              <w:marRight w:val="0"/>
              <w:marTop w:val="0"/>
              <w:marBottom w:val="0"/>
              <w:divBdr>
                <w:top w:val="none" w:sz="0" w:space="0" w:color="auto"/>
                <w:left w:val="none" w:sz="0" w:space="0" w:color="auto"/>
                <w:bottom w:val="none" w:sz="0" w:space="0" w:color="auto"/>
                <w:right w:val="none" w:sz="0" w:space="0" w:color="auto"/>
              </w:divBdr>
            </w:div>
            <w:div w:id="2036735966">
              <w:marLeft w:val="0"/>
              <w:marRight w:val="0"/>
              <w:marTop w:val="0"/>
              <w:marBottom w:val="0"/>
              <w:divBdr>
                <w:top w:val="none" w:sz="0" w:space="0" w:color="auto"/>
                <w:left w:val="none" w:sz="0" w:space="0" w:color="auto"/>
                <w:bottom w:val="none" w:sz="0" w:space="0" w:color="auto"/>
                <w:right w:val="none" w:sz="0" w:space="0" w:color="auto"/>
              </w:divBdr>
            </w:div>
            <w:div w:id="254630221">
              <w:marLeft w:val="0"/>
              <w:marRight w:val="0"/>
              <w:marTop w:val="0"/>
              <w:marBottom w:val="0"/>
              <w:divBdr>
                <w:top w:val="none" w:sz="0" w:space="0" w:color="auto"/>
                <w:left w:val="none" w:sz="0" w:space="0" w:color="auto"/>
                <w:bottom w:val="none" w:sz="0" w:space="0" w:color="auto"/>
                <w:right w:val="none" w:sz="0" w:space="0" w:color="auto"/>
              </w:divBdr>
            </w:div>
            <w:div w:id="97259820">
              <w:marLeft w:val="0"/>
              <w:marRight w:val="0"/>
              <w:marTop w:val="0"/>
              <w:marBottom w:val="0"/>
              <w:divBdr>
                <w:top w:val="none" w:sz="0" w:space="0" w:color="auto"/>
                <w:left w:val="none" w:sz="0" w:space="0" w:color="auto"/>
                <w:bottom w:val="none" w:sz="0" w:space="0" w:color="auto"/>
                <w:right w:val="none" w:sz="0" w:space="0" w:color="auto"/>
              </w:divBdr>
            </w:div>
            <w:div w:id="1680424808">
              <w:marLeft w:val="0"/>
              <w:marRight w:val="0"/>
              <w:marTop w:val="0"/>
              <w:marBottom w:val="0"/>
              <w:divBdr>
                <w:top w:val="none" w:sz="0" w:space="0" w:color="auto"/>
                <w:left w:val="none" w:sz="0" w:space="0" w:color="auto"/>
                <w:bottom w:val="none" w:sz="0" w:space="0" w:color="auto"/>
                <w:right w:val="none" w:sz="0" w:space="0" w:color="auto"/>
              </w:divBdr>
            </w:div>
            <w:div w:id="497769474">
              <w:marLeft w:val="0"/>
              <w:marRight w:val="0"/>
              <w:marTop w:val="0"/>
              <w:marBottom w:val="0"/>
              <w:divBdr>
                <w:top w:val="none" w:sz="0" w:space="0" w:color="auto"/>
                <w:left w:val="none" w:sz="0" w:space="0" w:color="auto"/>
                <w:bottom w:val="none" w:sz="0" w:space="0" w:color="auto"/>
                <w:right w:val="none" w:sz="0" w:space="0" w:color="auto"/>
              </w:divBdr>
            </w:div>
            <w:div w:id="1717122119">
              <w:marLeft w:val="0"/>
              <w:marRight w:val="0"/>
              <w:marTop w:val="0"/>
              <w:marBottom w:val="0"/>
              <w:divBdr>
                <w:top w:val="none" w:sz="0" w:space="0" w:color="auto"/>
                <w:left w:val="none" w:sz="0" w:space="0" w:color="auto"/>
                <w:bottom w:val="none" w:sz="0" w:space="0" w:color="auto"/>
                <w:right w:val="none" w:sz="0" w:space="0" w:color="auto"/>
              </w:divBdr>
            </w:div>
            <w:div w:id="328026268">
              <w:marLeft w:val="0"/>
              <w:marRight w:val="0"/>
              <w:marTop w:val="0"/>
              <w:marBottom w:val="0"/>
              <w:divBdr>
                <w:top w:val="none" w:sz="0" w:space="0" w:color="auto"/>
                <w:left w:val="none" w:sz="0" w:space="0" w:color="auto"/>
                <w:bottom w:val="none" w:sz="0" w:space="0" w:color="auto"/>
                <w:right w:val="none" w:sz="0" w:space="0" w:color="auto"/>
              </w:divBdr>
            </w:div>
            <w:div w:id="409281323">
              <w:marLeft w:val="0"/>
              <w:marRight w:val="0"/>
              <w:marTop w:val="0"/>
              <w:marBottom w:val="0"/>
              <w:divBdr>
                <w:top w:val="none" w:sz="0" w:space="0" w:color="auto"/>
                <w:left w:val="none" w:sz="0" w:space="0" w:color="auto"/>
                <w:bottom w:val="none" w:sz="0" w:space="0" w:color="auto"/>
                <w:right w:val="none" w:sz="0" w:space="0" w:color="auto"/>
              </w:divBdr>
            </w:div>
            <w:div w:id="1267545628">
              <w:marLeft w:val="0"/>
              <w:marRight w:val="0"/>
              <w:marTop w:val="0"/>
              <w:marBottom w:val="0"/>
              <w:divBdr>
                <w:top w:val="none" w:sz="0" w:space="0" w:color="auto"/>
                <w:left w:val="none" w:sz="0" w:space="0" w:color="auto"/>
                <w:bottom w:val="none" w:sz="0" w:space="0" w:color="auto"/>
                <w:right w:val="none" w:sz="0" w:space="0" w:color="auto"/>
              </w:divBdr>
            </w:div>
            <w:div w:id="1562861535">
              <w:marLeft w:val="0"/>
              <w:marRight w:val="0"/>
              <w:marTop w:val="0"/>
              <w:marBottom w:val="0"/>
              <w:divBdr>
                <w:top w:val="none" w:sz="0" w:space="0" w:color="auto"/>
                <w:left w:val="none" w:sz="0" w:space="0" w:color="auto"/>
                <w:bottom w:val="none" w:sz="0" w:space="0" w:color="auto"/>
                <w:right w:val="none" w:sz="0" w:space="0" w:color="auto"/>
              </w:divBdr>
            </w:div>
            <w:div w:id="19473411">
              <w:marLeft w:val="0"/>
              <w:marRight w:val="0"/>
              <w:marTop w:val="0"/>
              <w:marBottom w:val="0"/>
              <w:divBdr>
                <w:top w:val="none" w:sz="0" w:space="0" w:color="auto"/>
                <w:left w:val="none" w:sz="0" w:space="0" w:color="auto"/>
                <w:bottom w:val="none" w:sz="0" w:space="0" w:color="auto"/>
                <w:right w:val="none" w:sz="0" w:space="0" w:color="auto"/>
              </w:divBdr>
            </w:div>
            <w:div w:id="240407351">
              <w:marLeft w:val="0"/>
              <w:marRight w:val="0"/>
              <w:marTop w:val="0"/>
              <w:marBottom w:val="0"/>
              <w:divBdr>
                <w:top w:val="none" w:sz="0" w:space="0" w:color="auto"/>
                <w:left w:val="none" w:sz="0" w:space="0" w:color="auto"/>
                <w:bottom w:val="none" w:sz="0" w:space="0" w:color="auto"/>
                <w:right w:val="none" w:sz="0" w:space="0" w:color="auto"/>
              </w:divBdr>
            </w:div>
            <w:div w:id="407193725">
              <w:marLeft w:val="0"/>
              <w:marRight w:val="0"/>
              <w:marTop w:val="0"/>
              <w:marBottom w:val="0"/>
              <w:divBdr>
                <w:top w:val="none" w:sz="0" w:space="0" w:color="auto"/>
                <w:left w:val="none" w:sz="0" w:space="0" w:color="auto"/>
                <w:bottom w:val="none" w:sz="0" w:space="0" w:color="auto"/>
                <w:right w:val="none" w:sz="0" w:space="0" w:color="auto"/>
              </w:divBdr>
            </w:div>
            <w:div w:id="301160599">
              <w:marLeft w:val="0"/>
              <w:marRight w:val="0"/>
              <w:marTop w:val="0"/>
              <w:marBottom w:val="0"/>
              <w:divBdr>
                <w:top w:val="none" w:sz="0" w:space="0" w:color="auto"/>
                <w:left w:val="none" w:sz="0" w:space="0" w:color="auto"/>
                <w:bottom w:val="none" w:sz="0" w:space="0" w:color="auto"/>
                <w:right w:val="none" w:sz="0" w:space="0" w:color="auto"/>
              </w:divBdr>
            </w:div>
            <w:div w:id="806976365">
              <w:marLeft w:val="0"/>
              <w:marRight w:val="0"/>
              <w:marTop w:val="0"/>
              <w:marBottom w:val="0"/>
              <w:divBdr>
                <w:top w:val="none" w:sz="0" w:space="0" w:color="auto"/>
                <w:left w:val="none" w:sz="0" w:space="0" w:color="auto"/>
                <w:bottom w:val="none" w:sz="0" w:space="0" w:color="auto"/>
                <w:right w:val="none" w:sz="0" w:space="0" w:color="auto"/>
              </w:divBdr>
            </w:div>
            <w:div w:id="524904510">
              <w:marLeft w:val="0"/>
              <w:marRight w:val="0"/>
              <w:marTop w:val="0"/>
              <w:marBottom w:val="0"/>
              <w:divBdr>
                <w:top w:val="none" w:sz="0" w:space="0" w:color="auto"/>
                <w:left w:val="none" w:sz="0" w:space="0" w:color="auto"/>
                <w:bottom w:val="none" w:sz="0" w:space="0" w:color="auto"/>
                <w:right w:val="none" w:sz="0" w:space="0" w:color="auto"/>
              </w:divBdr>
            </w:div>
            <w:div w:id="1070730104">
              <w:marLeft w:val="0"/>
              <w:marRight w:val="0"/>
              <w:marTop w:val="0"/>
              <w:marBottom w:val="0"/>
              <w:divBdr>
                <w:top w:val="none" w:sz="0" w:space="0" w:color="auto"/>
                <w:left w:val="none" w:sz="0" w:space="0" w:color="auto"/>
                <w:bottom w:val="none" w:sz="0" w:space="0" w:color="auto"/>
                <w:right w:val="none" w:sz="0" w:space="0" w:color="auto"/>
              </w:divBdr>
            </w:div>
            <w:div w:id="1971983107">
              <w:marLeft w:val="0"/>
              <w:marRight w:val="0"/>
              <w:marTop w:val="0"/>
              <w:marBottom w:val="0"/>
              <w:divBdr>
                <w:top w:val="none" w:sz="0" w:space="0" w:color="auto"/>
                <w:left w:val="none" w:sz="0" w:space="0" w:color="auto"/>
                <w:bottom w:val="none" w:sz="0" w:space="0" w:color="auto"/>
                <w:right w:val="none" w:sz="0" w:space="0" w:color="auto"/>
              </w:divBdr>
            </w:div>
            <w:div w:id="175080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443">
      <w:bodyDiv w:val="1"/>
      <w:marLeft w:val="0"/>
      <w:marRight w:val="0"/>
      <w:marTop w:val="0"/>
      <w:marBottom w:val="0"/>
      <w:divBdr>
        <w:top w:val="none" w:sz="0" w:space="0" w:color="auto"/>
        <w:left w:val="none" w:sz="0" w:space="0" w:color="auto"/>
        <w:bottom w:val="none" w:sz="0" w:space="0" w:color="auto"/>
        <w:right w:val="none" w:sz="0" w:space="0" w:color="auto"/>
      </w:divBdr>
    </w:div>
    <w:div w:id="1543635680">
      <w:bodyDiv w:val="1"/>
      <w:marLeft w:val="0"/>
      <w:marRight w:val="0"/>
      <w:marTop w:val="0"/>
      <w:marBottom w:val="0"/>
      <w:divBdr>
        <w:top w:val="none" w:sz="0" w:space="0" w:color="auto"/>
        <w:left w:val="none" w:sz="0" w:space="0" w:color="auto"/>
        <w:bottom w:val="none" w:sz="0" w:space="0" w:color="auto"/>
        <w:right w:val="none" w:sz="0" w:space="0" w:color="auto"/>
      </w:divBdr>
      <w:divsChild>
        <w:div w:id="1504979563">
          <w:marLeft w:val="480"/>
          <w:marRight w:val="0"/>
          <w:marTop w:val="0"/>
          <w:marBottom w:val="0"/>
          <w:divBdr>
            <w:top w:val="none" w:sz="0" w:space="0" w:color="auto"/>
            <w:left w:val="none" w:sz="0" w:space="0" w:color="auto"/>
            <w:bottom w:val="none" w:sz="0" w:space="0" w:color="auto"/>
            <w:right w:val="none" w:sz="0" w:space="0" w:color="auto"/>
          </w:divBdr>
          <w:divsChild>
            <w:div w:id="25376140">
              <w:marLeft w:val="0"/>
              <w:marRight w:val="0"/>
              <w:marTop w:val="0"/>
              <w:marBottom w:val="0"/>
              <w:divBdr>
                <w:top w:val="none" w:sz="0" w:space="0" w:color="auto"/>
                <w:left w:val="none" w:sz="0" w:space="0" w:color="auto"/>
                <w:bottom w:val="none" w:sz="0" w:space="0" w:color="auto"/>
                <w:right w:val="none" w:sz="0" w:space="0" w:color="auto"/>
              </w:divBdr>
            </w:div>
            <w:div w:id="1176382886">
              <w:marLeft w:val="0"/>
              <w:marRight w:val="0"/>
              <w:marTop w:val="0"/>
              <w:marBottom w:val="0"/>
              <w:divBdr>
                <w:top w:val="none" w:sz="0" w:space="0" w:color="auto"/>
                <w:left w:val="none" w:sz="0" w:space="0" w:color="auto"/>
                <w:bottom w:val="none" w:sz="0" w:space="0" w:color="auto"/>
                <w:right w:val="none" w:sz="0" w:space="0" w:color="auto"/>
              </w:divBdr>
            </w:div>
            <w:div w:id="1585993024">
              <w:marLeft w:val="0"/>
              <w:marRight w:val="0"/>
              <w:marTop w:val="0"/>
              <w:marBottom w:val="0"/>
              <w:divBdr>
                <w:top w:val="none" w:sz="0" w:space="0" w:color="auto"/>
                <w:left w:val="none" w:sz="0" w:space="0" w:color="auto"/>
                <w:bottom w:val="none" w:sz="0" w:space="0" w:color="auto"/>
                <w:right w:val="none" w:sz="0" w:space="0" w:color="auto"/>
              </w:divBdr>
            </w:div>
            <w:div w:id="635767221">
              <w:marLeft w:val="0"/>
              <w:marRight w:val="0"/>
              <w:marTop w:val="0"/>
              <w:marBottom w:val="0"/>
              <w:divBdr>
                <w:top w:val="none" w:sz="0" w:space="0" w:color="auto"/>
                <w:left w:val="none" w:sz="0" w:space="0" w:color="auto"/>
                <w:bottom w:val="none" w:sz="0" w:space="0" w:color="auto"/>
                <w:right w:val="none" w:sz="0" w:space="0" w:color="auto"/>
              </w:divBdr>
            </w:div>
            <w:div w:id="2143888481">
              <w:marLeft w:val="0"/>
              <w:marRight w:val="0"/>
              <w:marTop w:val="0"/>
              <w:marBottom w:val="0"/>
              <w:divBdr>
                <w:top w:val="none" w:sz="0" w:space="0" w:color="auto"/>
                <w:left w:val="none" w:sz="0" w:space="0" w:color="auto"/>
                <w:bottom w:val="none" w:sz="0" w:space="0" w:color="auto"/>
                <w:right w:val="none" w:sz="0" w:space="0" w:color="auto"/>
              </w:divBdr>
            </w:div>
            <w:div w:id="886182692">
              <w:marLeft w:val="0"/>
              <w:marRight w:val="0"/>
              <w:marTop w:val="0"/>
              <w:marBottom w:val="0"/>
              <w:divBdr>
                <w:top w:val="none" w:sz="0" w:space="0" w:color="auto"/>
                <w:left w:val="none" w:sz="0" w:space="0" w:color="auto"/>
                <w:bottom w:val="none" w:sz="0" w:space="0" w:color="auto"/>
                <w:right w:val="none" w:sz="0" w:space="0" w:color="auto"/>
              </w:divBdr>
            </w:div>
            <w:div w:id="1437948333">
              <w:marLeft w:val="0"/>
              <w:marRight w:val="0"/>
              <w:marTop w:val="0"/>
              <w:marBottom w:val="0"/>
              <w:divBdr>
                <w:top w:val="none" w:sz="0" w:space="0" w:color="auto"/>
                <w:left w:val="none" w:sz="0" w:space="0" w:color="auto"/>
                <w:bottom w:val="none" w:sz="0" w:space="0" w:color="auto"/>
                <w:right w:val="none" w:sz="0" w:space="0" w:color="auto"/>
              </w:divBdr>
            </w:div>
            <w:div w:id="1570310137">
              <w:marLeft w:val="0"/>
              <w:marRight w:val="0"/>
              <w:marTop w:val="0"/>
              <w:marBottom w:val="0"/>
              <w:divBdr>
                <w:top w:val="none" w:sz="0" w:space="0" w:color="auto"/>
                <w:left w:val="none" w:sz="0" w:space="0" w:color="auto"/>
                <w:bottom w:val="none" w:sz="0" w:space="0" w:color="auto"/>
                <w:right w:val="none" w:sz="0" w:space="0" w:color="auto"/>
              </w:divBdr>
            </w:div>
            <w:div w:id="1482965036">
              <w:marLeft w:val="0"/>
              <w:marRight w:val="0"/>
              <w:marTop w:val="0"/>
              <w:marBottom w:val="0"/>
              <w:divBdr>
                <w:top w:val="none" w:sz="0" w:space="0" w:color="auto"/>
                <w:left w:val="none" w:sz="0" w:space="0" w:color="auto"/>
                <w:bottom w:val="none" w:sz="0" w:space="0" w:color="auto"/>
                <w:right w:val="none" w:sz="0" w:space="0" w:color="auto"/>
              </w:divBdr>
            </w:div>
            <w:div w:id="1667052325">
              <w:marLeft w:val="0"/>
              <w:marRight w:val="0"/>
              <w:marTop w:val="0"/>
              <w:marBottom w:val="0"/>
              <w:divBdr>
                <w:top w:val="none" w:sz="0" w:space="0" w:color="auto"/>
                <w:left w:val="none" w:sz="0" w:space="0" w:color="auto"/>
                <w:bottom w:val="none" w:sz="0" w:space="0" w:color="auto"/>
                <w:right w:val="none" w:sz="0" w:space="0" w:color="auto"/>
              </w:divBdr>
            </w:div>
            <w:div w:id="497817850">
              <w:marLeft w:val="0"/>
              <w:marRight w:val="0"/>
              <w:marTop w:val="0"/>
              <w:marBottom w:val="0"/>
              <w:divBdr>
                <w:top w:val="none" w:sz="0" w:space="0" w:color="auto"/>
                <w:left w:val="none" w:sz="0" w:space="0" w:color="auto"/>
                <w:bottom w:val="none" w:sz="0" w:space="0" w:color="auto"/>
                <w:right w:val="none" w:sz="0" w:space="0" w:color="auto"/>
              </w:divBdr>
            </w:div>
            <w:div w:id="1274362056">
              <w:marLeft w:val="0"/>
              <w:marRight w:val="0"/>
              <w:marTop w:val="0"/>
              <w:marBottom w:val="0"/>
              <w:divBdr>
                <w:top w:val="none" w:sz="0" w:space="0" w:color="auto"/>
                <w:left w:val="none" w:sz="0" w:space="0" w:color="auto"/>
                <w:bottom w:val="none" w:sz="0" w:space="0" w:color="auto"/>
                <w:right w:val="none" w:sz="0" w:space="0" w:color="auto"/>
              </w:divBdr>
            </w:div>
            <w:div w:id="1899632423">
              <w:marLeft w:val="0"/>
              <w:marRight w:val="0"/>
              <w:marTop w:val="0"/>
              <w:marBottom w:val="0"/>
              <w:divBdr>
                <w:top w:val="none" w:sz="0" w:space="0" w:color="auto"/>
                <w:left w:val="none" w:sz="0" w:space="0" w:color="auto"/>
                <w:bottom w:val="none" w:sz="0" w:space="0" w:color="auto"/>
                <w:right w:val="none" w:sz="0" w:space="0" w:color="auto"/>
              </w:divBdr>
            </w:div>
            <w:div w:id="1145388615">
              <w:marLeft w:val="0"/>
              <w:marRight w:val="0"/>
              <w:marTop w:val="0"/>
              <w:marBottom w:val="0"/>
              <w:divBdr>
                <w:top w:val="none" w:sz="0" w:space="0" w:color="auto"/>
                <w:left w:val="none" w:sz="0" w:space="0" w:color="auto"/>
                <w:bottom w:val="none" w:sz="0" w:space="0" w:color="auto"/>
                <w:right w:val="none" w:sz="0" w:space="0" w:color="auto"/>
              </w:divBdr>
            </w:div>
            <w:div w:id="1242449158">
              <w:marLeft w:val="0"/>
              <w:marRight w:val="0"/>
              <w:marTop w:val="0"/>
              <w:marBottom w:val="0"/>
              <w:divBdr>
                <w:top w:val="none" w:sz="0" w:space="0" w:color="auto"/>
                <w:left w:val="none" w:sz="0" w:space="0" w:color="auto"/>
                <w:bottom w:val="none" w:sz="0" w:space="0" w:color="auto"/>
                <w:right w:val="none" w:sz="0" w:space="0" w:color="auto"/>
              </w:divBdr>
            </w:div>
            <w:div w:id="483205551">
              <w:marLeft w:val="0"/>
              <w:marRight w:val="0"/>
              <w:marTop w:val="0"/>
              <w:marBottom w:val="0"/>
              <w:divBdr>
                <w:top w:val="none" w:sz="0" w:space="0" w:color="auto"/>
                <w:left w:val="none" w:sz="0" w:space="0" w:color="auto"/>
                <w:bottom w:val="none" w:sz="0" w:space="0" w:color="auto"/>
                <w:right w:val="none" w:sz="0" w:space="0" w:color="auto"/>
              </w:divBdr>
            </w:div>
            <w:div w:id="1068652886">
              <w:marLeft w:val="0"/>
              <w:marRight w:val="0"/>
              <w:marTop w:val="0"/>
              <w:marBottom w:val="0"/>
              <w:divBdr>
                <w:top w:val="none" w:sz="0" w:space="0" w:color="auto"/>
                <w:left w:val="none" w:sz="0" w:space="0" w:color="auto"/>
                <w:bottom w:val="none" w:sz="0" w:space="0" w:color="auto"/>
                <w:right w:val="none" w:sz="0" w:space="0" w:color="auto"/>
              </w:divBdr>
            </w:div>
            <w:div w:id="1773086891">
              <w:marLeft w:val="0"/>
              <w:marRight w:val="0"/>
              <w:marTop w:val="0"/>
              <w:marBottom w:val="0"/>
              <w:divBdr>
                <w:top w:val="none" w:sz="0" w:space="0" w:color="auto"/>
                <w:left w:val="none" w:sz="0" w:space="0" w:color="auto"/>
                <w:bottom w:val="none" w:sz="0" w:space="0" w:color="auto"/>
                <w:right w:val="none" w:sz="0" w:space="0" w:color="auto"/>
              </w:divBdr>
            </w:div>
            <w:div w:id="863833762">
              <w:marLeft w:val="0"/>
              <w:marRight w:val="0"/>
              <w:marTop w:val="0"/>
              <w:marBottom w:val="0"/>
              <w:divBdr>
                <w:top w:val="none" w:sz="0" w:space="0" w:color="auto"/>
                <w:left w:val="none" w:sz="0" w:space="0" w:color="auto"/>
                <w:bottom w:val="none" w:sz="0" w:space="0" w:color="auto"/>
                <w:right w:val="none" w:sz="0" w:space="0" w:color="auto"/>
              </w:divBdr>
            </w:div>
            <w:div w:id="1703824530">
              <w:marLeft w:val="0"/>
              <w:marRight w:val="0"/>
              <w:marTop w:val="0"/>
              <w:marBottom w:val="0"/>
              <w:divBdr>
                <w:top w:val="none" w:sz="0" w:space="0" w:color="auto"/>
                <w:left w:val="none" w:sz="0" w:space="0" w:color="auto"/>
                <w:bottom w:val="none" w:sz="0" w:space="0" w:color="auto"/>
                <w:right w:val="none" w:sz="0" w:space="0" w:color="auto"/>
              </w:divBdr>
            </w:div>
            <w:div w:id="437217777">
              <w:marLeft w:val="0"/>
              <w:marRight w:val="0"/>
              <w:marTop w:val="0"/>
              <w:marBottom w:val="0"/>
              <w:divBdr>
                <w:top w:val="none" w:sz="0" w:space="0" w:color="auto"/>
                <w:left w:val="none" w:sz="0" w:space="0" w:color="auto"/>
                <w:bottom w:val="none" w:sz="0" w:space="0" w:color="auto"/>
                <w:right w:val="none" w:sz="0" w:space="0" w:color="auto"/>
              </w:divBdr>
            </w:div>
            <w:div w:id="1658261672">
              <w:marLeft w:val="0"/>
              <w:marRight w:val="0"/>
              <w:marTop w:val="0"/>
              <w:marBottom w:val="0"/>
              <w:divBdr>
                <w:top w:val="none" w:sz="0" w:space="0" w:color="auto"/>
                <w:left w:val="none" w:sz="0" w:space="0" w:color="auto"/>
                <w:bottom w:val="none" w:sz="0" w:space="0" w:color="auto"/>
                <w:right w:val="none" w:sz="0" w:space="0" w:color="auto"/>
              </w:divBdr>
            </w:div>
            <w:div w:id="375667336">
              <w:marLeft w:val="0"/>
              <w:marRight w:val="0"/>
              <w:marTop w:val="0"/>
              <w:marBottom w:val="0"/>
              <w:divBdr>
                <w:top w:val="none" w:sz="0" w:space="0" w:color="auto"/>
                <w:left w:val="none" w:sz="0" w:space="0" w:color="auto"/>
                <w:bottom w:val="none" w:sz="0" w:space="0" w:color="auto"/>
                <w:right w:val="none" w:sz="0" w:space="0" w:color="auto"/>
              </w:divBdr>
            </w:div>
            <w:div w:id="2098669910">
              <w:marLeft w:val="0"/>
              <w:marRight w:val="0"/>
              <w:marTop w:val="0"/>
              <w:marBottom w:val="0"/>
              <w:divBdr>
                <w:top w:val="none" w:sz="0" w:space="0" w:color="auto"/>
                <w:left w:val="none" w:sz="0" w:space="0" w:color="auto"/>
                <w:bottom w:val="none" w:sz="0" w:space="0" w:color="auto"/>
                <w:right w:val="none" w:sz="0" w:space="0" w:color="auto"/>
              </w:divBdr>
            </w:div>
            <w:div w:id="1727994610">
              <w:marLeft w:val="0"/>
              <w:marRight w:val="0"/>
              <w:marTop w:val="0"/>
              <w:marBottom w:val="0"/>
              <w:divBdr>
                <w:top w:val="none" w:sz="0" w:space="0" w:color="auto"/>
                <w:left w:val="none" w:sz="0" w:space="0" w:color="auto"/>
                <w:bottom w:val="none" w:sz="0" w:space="0" w:color="auto"/>
                <w:right w:val="none" w:sz="0" w:space="0" w:color="auto"/>
              </w:divBdr>
            </w:div>
            <w:div w:id="1489128795">
              <w:marLeft w:val="0"/>
              <w:marRight w:val="0"/>
              <w:marTop w:val="0"/>
              <w:marBottom w:val="0"/>
              <w:divBdr>
                <w:top w:val="none" w:sz="0" w:space="0" w:color="auto"/>
                <w:left w:val="none" w:sz="0" w:space="0" w:color="auto"/>
                <w:bottom w:val="none" w:sz="0" w:space="0" w:color="auto"/>
                <w:right w:val="none" w:sz="0" w:space="0" w:color="auto"/>
              </w:divBdr>
            </w:div>
            <w:div w:id="738135311">
              <w:marLeft w:val="0"/>
              <w:marRight w:val="0"/>
              <w:marTop w:val="0"/>
              <w:marBottom w:val="0"/>
              <w:divBdr>
                <w:top w:val="none" w:sz="0" w:space="0" w:color="auto"/>
                <w:left w:val="none" w:sz="0" w:space="0" w:color="auto"/>
                <w:bottom w:val="none" w:sz="0" w:space="0" w:color="auto"/>
                <w:right w:val="none" w:sz="0" w:space="0" w:color="auto"/>
              </w:divBdr>
            </w:div>
            <w:div w:id="194005214">
              <w:marLeft w:val="0"/>
              <w:marRight w:val="0"/>
              <w:marTop w:val="0"/>
              <w:marBottom w:val="0"/>
              <w:divBdr>
                <w:top w:val="none" w:sz="0" w:space="0" w:color="auto"/>
                <w:left w:val="none" w:sz="0" w:space="0" w:color="auto"/>
                <w:bottom w:val="none" w:sz="0" w:space="0" w:color="auto"/>
                <w:right w:val="none" w:sz="0" w:space="0" w:color="auto"/>
              </w:divBdr>
            </w:div>
            <w:div w:id="382021421">
              <w:marLeft w:val="0"/>
              <w:marRight w:val="0"/>
              <w:marTop w:val="0"/>
              <w:marBottom w:val="0"/>
              <w:divBdr>
                <w:top w:val="none" w:sz="0" w:space="0" w:color="auto"/>
                <w:left w:val="none" w:sz="0" w:space="0" w:color="auto"/>
                <w:bottom w:val="none" w:sz="0" w:space="0" w:color="auto"/>
                <w:right w:val="none" w:sz="0" w:space="0" w:color="auto"/>
              </w:divBdr>
            </w:div>
            <w:div w:id="1482652537">
              <w:marLeft w:val="0"/>
              <w:marRight w:val="0"/>
              <w:marTop w:val="0"/>
              <w:marBottom w:val="0"/>
              <w:divBdr>
                <w:top w:val="none" w:sz="0" w:space="0" w:color="auto"/>
                <w:left w:val="none" w:sz="0" w:space="0" w:color="auto"/>
                <w:bottom w:val="none" w:sz="0" w:space="0" w:color="auto"/>
                <w:right w:val="none" w:sz="0" w:space="0" w:color="auto"/>
              </w:divBdr>
            </w:div>
            <w:div w:id="1854030939">
              <w:marLeft w:val="0"/>
              <w:marRight w:val="0"/>
              <w:marTop w:val="0"/>
              <w:marBottom w:val="0"/>
              <w:divBdr>
                <w:top w:val="none" w:sz="0" w:space="0" w:color="auto"/>
                <w:left w:val="none" w:sz="0" w:space="0" w:color="auto"/>
                <w:bottom w:val="none" w:sz="0" w:space="0" w:color="auto"/>
                <w:right w:val="none" w:sz="0" w:space="0" w:color="auto"/>
              </w:divBdr>
            </w:div>
            <w:div w:id="58528157">
              <w:marLeft w:val="0"/>
              <w:marRight w:val="0"/>
              <w:marTop w:val="0"/>
              <w:marBottom w:val="0"/>
              <w:divBdr>
                <w:top w:val="none" w:sz="0" w:space="0" w:color="auto"/>
                <w:left w:val="none" w:sz="0" w:space="0" w:color="auto"/>
                <w:bottom w:val="none" w:sz="0" w:space="0" w:color="auto"/>
                <w:right w:val="none" w:sz="0" w:space="0" w:color="auto"/>
              </w:divBdr>
            </w:div>
            <w:div w:id="1348171795">
              <w:marLeft w:val="0"/>
              <w:marRight w:val="0"/>
              <w:marTop w:val="0"/>
              <w:marBottom w:val="0"/>
              <w:divBdr>
                <w:top w:val="none" w:sz="0" w:space="0" w:color="auto"/>
                <w:left w:val="none" w:sz="0" w:space="0" w:color="auto"/>
                <w:bottom w:val="none" w:sz="0" w:space="0" w:color="auto"/>
                <w:right w:val="none" w:sz="0" w:space="0" w:color="auto"/>
              </w:divBdr>
            </w:div>
            <w:div w:id="539245424">
              <w:marLeft w:val="0"/>
              <w:marRight w:val="0"/>
              <w:marTop w:val="0"/>
              <w:marBottom w:val="0"/>
              <w:divBdr>
                <w:top w:val="none" w:sz="0" w:space="0" w:color="auto"/>
                <w:left w:val="none" w:sz="0" w:space="0" w:color="auto"/>
                <w:bottom w:val="none" w:sz="0" w:space="0" w:color="auto"/>
                <w:right w:val="none" w:sz="0" w:space="0" w:color="auto"/>
              </w:divBdr>
            </w:div>
            <w:div w:id="1349913369">
              <w:marLeft w:val="0"/>
              <w:marRight w:val="0"/>
              <w:marTop w:val="0"/>
              <w:marBottom w:val="0"/>
              <w:divBdr>
                <w:top w:val="none" w:sz="0" w:space="0" w:color="auto"/>
                <w:left w:val="none" w:sz="0" w:space="0" w:color="auto"/>
                <w:bottom w:val="none" w:sz="0" w:space="0" w:color="auto"/>
                <w:right w:val="none" w:sz="0" w:space="0" w:color="auto"/>
              </w:divBdr>
            </w:div>
            <w:div w:id="1032345658">
              <w:marLeft w:val="0"/>
              <w:marRight w:val="0"/>
              <w:marTop w:val="0"/>
              <w:marBottom w:val="0"/>
              <w:divBdr>
                <w:top w:val="none" w:sz="0" w:space="0" w:color="auto"/>
                <w:left w:val="none" w:sz="0" w:space="0" w:color="auto"/>
                <w:bottom w:val="none" w:sz="0" w:space="0" w:color="auto"/>
                <w:right w:val="none" w:sz="0" w:space="0" w:color="auto"/>
              </w:divBdr>
            </w:div>
            <w:div w:id="1520315862">
              <w:marLeft w:val="0"/>
              <w:marRight w:val="0"/>
              <w:marTop w:val="0"/>
              <w:marBottom w:val="0"/>
              <w:divBdr>
                <w:top w:val="none" w:sz="0" w:space="0" w:color="auto"/>
                <w:left w:val="none" w:sz="0" w:space="0" w:color="auto"/>
                <w:bottom w:val="none" w:sz="0" w:space="0" w:color="auto"/>
                <w:right w:val="none" w:sz="0" w:space="0" w:color="auto"/>
              </w:divBdr>
            </w:div>
            <w:div w:id="1870680615">
              <w:marLeft w:val="0"/>
              <w:marRight w:val="0"/>
              <w:marTop w:val="0"/>
              <w:marBottom w:val="0"/>
              <w:divBdr>
                <w:top w:val="none" w:sz="0" w:space="0" w:color="auto"/>
                <w:left w:val="none" w:sz="0" w:space="0" w:color="auto"/>
                <w:bottom w:val="none" w:sz="0" w:space="0" w:color="auto"/>
                <w:right w:val="none" w:sz="0" w:space="0" w:color="auto"/>
              </w:divBdr>
            </w:div>
            <w:div w:id="1240405166">
              <w:marLeft w:val="0"/>
              <w:marRight w:val="0"/>
              <w:marTop w:val="0"/>
              <w:marBottom w:val="0"/>
              <w:divBdr>
                <w:top w:val="none" w:sz="0" w:space="0" w:color="auto"/>
                <w:left w:val="none" w:sz="0" w:space="0" w:color="auto"/>
                <w:bottom w:val="none" w:sz="0" w:space="0" w:color="auto"/>
                <w:right w:val="none" w:sz="0" w:space="0" w:color="auto"/>
              </w:divBdr>
            </w:div>
            <w:div w:id="1522625507">
              <w:marLeft w:val="0"/>
              <w:marRight w:val="0"/>
              <w:marTop w:val="0"/>
              <w:marBottom w:val="0"/>
              <w:divBdr>
                <w:top w:val="none" w:sz="0" w:space="0" w:color="auto"/>
                <w:left w:val="none" w:sz="0" w:space="0" w:color="auto"/>
                <w:bottom w:val="none" w:sz="0" w:space="0" w:color="auto"/>
                <w:right w:val="none" w:sz="0" w:space="0" w:color="auto"/>
              </w:divBdr>
            </w:div>
            <w:div w:id="374501617">
              <w:marLeft w:val="0"/>
              <w:marRight w:val="0"/>
              <w:marTop w:val="0"/>
              <w:marBottom w:val="0"/>
              <w:divBdr>
                <w:top w:val="none" w:sz="0" w:space="0" w:color="auto"/>
                <w:left w:val="none" w:sz="0" w:space="0" w:color="auto"/>
                <w:bottom w:val="none" w:sz="0" w:space="0" w:color="auto"/>
                <w:right w:val="none" w:sz="0" w:space="0" w:color="auto"/>
              </w:divBdr>
            </w:div>
            <w:div w:id="98574841">
              <w:marLeft w:val="0"/>
              <w:marRight w:val="0"/>
              <w:marTop w:val="0"/>
              <w:marBottom w:val="0"/>
              <w:divBdr>
                <w:top w:val="none" w:sz="0" w:space="0" w:color="auto"/>
                <w:left w:val="none" w:sz="0" w:space="0" w:color="auto"/>
                <w:bottom w:val="none" w:sz="0" w:space="0" w:color="auto"/>
                <w:right w:val="none" w:sz="0" w:space="0" w:color="auto"/>
              </w:divBdr>
            </w:div>
            <w:div w:id="1422066091">
              <w:marLeft w:val="0"/>
              <w:marRight w:val="0"/>
              <w:marTop w:val="0"/>
              <w:marBottom w:val="0"/>
              <w:divBdr>
                <w:top w:val="none" w:sz="0" w:space="0" w:color="auto"/>
                <w:left w:val="none" w:sz="0" w:space="0" w:color="auto"/>
                <w:bottom w:val="none" w:sz="0" w:space="0" w:color="auto"/>
                <w:right w:val="none" w:sz="0" w:space="0" w:color="auto"/>
              </w:divBdr>
            </w:div>
            <w:div w:id="2079740436">
              <w:marLeft w:val="0"/>
              <w:marRight w:val="0"/>
              <w:marTop w:val="0"/>
              <w:marBottom w:val="0"/>
              <w:divBdr>
                <w:top w:val="none" w:sz="0" w:space="0" w:color="auto"/>
                <w:left w:val="none" w:sz="0" w:space="0" w:color="auto"/>
                <w:bottom w:val="none" w:sz="0" w:space="0" w:color="auto"/>
                <w:right w:val="none" w:sz="0" w:space="0" w:color="auto"/>
              </w:divBdr>
            </w:div>
            <w:div w:id="1816023005">
              <w:marLeft w:val="0"/>
              <w:marRight w:val="0"/>
              <w:marTop w:val="0"/>
              <w:marBottom w:val="0"/>
              <w:divBdr>
                <w:top w:val="none" w:sz="0" w:space="0" w:color="auto"/>
                <w:left w:val="none" w:sz="0" w:space="0" w:color="auto"/>
                <w:bottom w:val="none" w:sz="0" w:space="0" w:color="auto"/>
                <w:right w:val="none" w:sz="0" w:space="0" w:color="auto"/>
              </w:divBdr>
            </w:div>
            <w:div w:id="1969240543">
              <w:marLeft w:val="0"/>
              <w:marRight w:val="0"/>
              <w:marTop w:val="0"/>
              <w:marBottom w:val="0"/>
              <w:divBdr>
                <w:top w:val="none" w:sz="0" w:space="0" w:color="auto"/>
                <w:left w:val="none" w:sz="0" w:space="0" w:color="auto"/>
                <w:bottom w:val="none" w:sz="0" w:space="0" w:color="auto"/>
                <w:right w:val="none" w:sz="0" w:space="0" w:color="auto"/>
              </w:divBdr>
            </w:div>
            <w:div w:id="6741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90509">
      <w:bodyDiv w:val="1"/>
      <w:marLeft w:val="0"/>
      <w:marRight w:val="0"/>
      <w:marTop w:val="0"/>
      <w:marBottom w:val="0"/>
      <w:divBdr>
        <w:top w:val="none" w:sz="0" w:space="0" w:color="auto"/>
        <w:left w:val="none" w:sz="0" w:space="0" w:color="auto"/>
        <w:bottom w:val="none" w:sz="0" w:space="0" w:color="auto"/>
        <w:right w:val="none" w:sz="0" w:space="0" w:color="auto"/>
      </w:divBdr>
    </w:div>
    <w:div w:id="1666321414">
      <w:bodyDiv w:val="1"/>
      <w:marLeft w:val="0"/>
      <w:marRight w:val="0"/>
      <w:marTop w:val="0"/>
      <w:marBottom w:val="0"/>
      <w:divBdr>
        <w:top w:val="none" w:sz="0" w:space="0" w:color="auto"/>
        <w:left w:val="none" w:sz="0" w:space="0" w:color="auto"/>
        <w:bottom w:val="none" w:sz="0" w:space="0" w:color="auto"/>
        <w:right w:val="none" w:sz="0" w:space="0" w:color="auto"/>
      </w:divBdr>
    </w:div>
    <w:div w:id="1897543208">
      <w:bodyDiv w:val="1"/>
      <w:marLeft w:val="0"/>
      <w:marRight w:val="0"/>
      <w:marTop w:val="0"/>
      <w:marBottom w:val="0"/>
      <w:divBdr>
        <w:top w:val="none" w:sz="0" w:space="0" w:color="auto"/>
        <w:left w:val="none" w:sz="0" w:space="0" w:color="auto"/>
        <w:bottom w:val="none" w:sz="0" w:space="0" w:color="auto"/>
        <w:right w:val="none" w:sz="0" w:space="0" w:color="auto"/>
      </w:divBdr>
    </w:div>
    <w:div w:id="2039620462">
      <w:bodyDiv w:val="1"/>
      <w:marLeft w:val="0"/>
      <w:marRight w:val="0"/>
      <w:marTop w:val="0"/>
      <w:marBottom w:val="0"/>
      <w:divBdr>
        <w:top w:val="none" w:sz="0" w:space="0" w:color="auto"/>
        <w:left w:val="none" w:sz="0" w:space="0" w:color="auto"/>
        <w:bottom w:val="none" w:sz="0" w:space="0" w:color="auto"/>
        <w:right w:val="none" w:sz="0" w:space="0" w:color="auto"/>
      </w:divBdr>
    </w:div>
    <w:div w:id="2107849612">
      <w:bodyDiv w:val="1"/>
      <w:marLeft w:val="0"/>
      <w:marRight w:val="0"/>
      <w:marTop w:val="0"/>
      <w:marBottom w:val="0"/>
      <w:divBdr>
        <w:top w:val="none" w:sz="0" w:space="0" w:color="auto"/>
        <w:left w:val="none" w:sz="0" w:space="0" w:color="auto"/>
        <w:bottom w:val="none" w:sz="0" w:space="0" w:color="auto"/>
        <w:right w:val="none" w:sz="0" w:space="0" w:color="auto"/>
      </w:divBdr>
    </w:div>
    <w:div w:id="214696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i.org/10.1128/JCM.02520-15" TargetMode="External"/><Relationship Id="rId26" Type="http://schemas.openxmlformats.org/officeDocument/2006/relationships/hyperlink" Target="https://doi.org/10.1371/journal.pone.0169659" TargetMode="External"/><Relationship Id="rId39" Type="http://schemas.openxmlformats.org/officeDocument/2006/relationships/hyperlink" Target="https://doi.org/10.2166/wh.2021.011" TargetMode="External"/><Relationship Id="rId21" Type="http://schemas.openxmlformats.org/officeDocument/2006/relationships/hyperlink" Target="https://doi.org/10.5530/ami.2015.1.34" TargetMode="External"/><Relationship Id="rId34" Type="http://schemas.openxmlformats.org/officeDocument/2006/relationships/hyperlink" Target="https://doi.org/10.1007/s12639-019-01165-9" TargetMode="External"/><Relationship Id="rId42" Type="http://schemas.openxmlformats.org/officeDocument/2006/relationships/hyperlink" Target="https://doi.org/10.1016/j.heliyon.2020.e05729" TargetMode="External"/><Relationship Id="rId47" Type="http://schemas.openxmlformats.org/officeDocument/2006/relationships/hyperlink" Target="https://doi.org/10.1186/s12879-024-10423-y" TargetMode="External"/><Relationship Id="rId50" Type="http://schemas.openxmlformats.org/officeDocument/2006/relationships/hyperlink" Target="https://doi.org/10.3390/pathogens8010038" TargetMode="External"/><Relationship Id="rId55" Type="http://schemas.openxmlformats.org/officeDocument/2006/relationships/hyperlink" Target="https://doi.org/10.1186/s40249-018-0504-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heliyon.2024.e29019" TargetMode="External"/><Relationship Id="rId29" Type="http://schemas.openxmlformats.org/officeDocument/2006/relationships/hyperlink" Target="https://doi.org/10.4103/2229-5070.149919" TargetMode="External"/><Relationship Id="rId11" Type="http://schemas.openxmlformats.org/officeDocument/2006/relationships/footer" Target="footer1.xml"/><Relationship Id="rId24" Type="http://schemas.openxmlformats.org/officeDocument/2006/relationships/hyperlink" Target="https://doi.org/10.56557/upjoz/2024/v45i33883" TargetMode="External"/><Relationship Id="rId32" Type="http://schemas.openxmlformats.org/officeDocument/2006/relationships/hyperlink" Target="https://doi.org/10.3390/tropicalmed9020038" TargetMode="External"/><Relationship Id="rId37" Type="http://schemas.openxmlformats.org/officeDocument/2006/relationships/hyperlink" Target="https://doi.org/10.1186/1756-3305-5-130" TargetMode="External"/><Relationship Id="rId40" Type="http://schemas.openxmlformats.org/officeDocument/2006/relationships/hyperlink" Target="https://doi.org/10.12692/ijb/26.2.1-8" TargetMode="External"/><Relationship Id="rId45" Type="http://schemas.openxmlformats.org/officeDocument/2006/relationships/hyperlink" Target="https://doi.org/10.32734/sumej.v2i2.724" TargetMode="External"/><Relationship Id="rId53" Type="http://schemas.openxmlformats.org/officeDocument/2006/relationships/hyperlink" Target="https://doi.org/10.62986/dp2024.19" TargetMode="External"/><Relationship Id="rId58" Type="http://schemas.openxmlformats.org/officeDocument/2006/relationships/hyperlink" Target="https://doi.org/10.1007/s00436-011-2607-x"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doi.org/10.4178/epih.e2019009" TargetMode="External"/><Relationship Id="rId14" Type="http://schemas.openxmlformats.org/officeDocument/2006/relationships/footer" Target="footer3.xml"/><Relationship Id="rId22" Type="http://schemas.openxmlformats.org/officeDocument/2006/relationships/hyperlink" Target="https://doi.org/10.1155/2015/894297" TargetMode="External"/><Relationship Id="rId27" Type="http://schemas.openxmlformats.org/officeDocument/2006/relationships/hyperlink" Target="https://doi.org/10.5897/JPVB12.014" TargetMode="External"/><Relationship Id="rId30" Type="http://schemas.openxmlformats.org/officeDocument/2006/relationships/hyperlink" Target="https://doi.org/10.1016/S2222-1808(14)60626-5" TargetMode="External"/><Relationship Id="rId35" Type="http://schemas.openxmlformats.org/officeDocument/2006/relationships/hyperlink" Target="https://doi.org/10.1038/s41598-024-70907-4" TargetMode="External"/><Relationship Id="rId43" Type="http://schemas.openxmlformats.org/officeDocument/2006/relationships/hyperlink" Target="https://doi.org/10.56557/upjoz/2025/v46i24776" TargetMode="External"/><Relationship Id="rId48" Type="http://schemas.openxmlformats.org/officeDocument/2006/relationships/hyperlink" Target="https://doi.org/10.1016/S1995-7645(13)60138-8" TargetMode="External"/><Relationship Id="rId56" Type="http://schemas.openxmlformats.org/officeDocument/2006/relationships/hyperlink" Target="https://doi.org/10.1016/j.parint.2016.04.004" TargetMode="External"/><Relationship Id="rId8" Type="http://schemas.openxmlformats.org/officeDocument/2006/relationships/image" Target="media/image1.jpeg"/><Relationship Id="rId51" Type="http://schemas.openxmlformats.org/officeDocument/2006/relationships/hyperlink" Target="https://doi.org/10.22190/FUMB161027001T"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doi.org/10.13105/wjma.v12.i3.95631" TargetMode="External"/><Relationship Id="rId25" Type="http://schemas.openxmlformats.org/officeDocument/2006/relationships/hyperlink" Target="https://doi.org/10.1007/s00436-024-08288-w" TargetMode="External"/><Relationship Id="rId33" Type="http://schemas.openxmlformats.org/officeDocument/2006/relationships/hyperlink" Target="https://doi.org/10.1051/parasite/2019046" TargetMode="External"/><Relationship Id="rId38" Type="http://schemas.openxmlformats.org/officeDocument/2006/relationships/hyperlink" Target="https://doi.org/10.3390/tropicalmed7090226" TargetMode="External"/><Relationship Id="rId46" Type="http://schemas.openxmlformats.org/officeDocument/2006/relationships/hyperlink" Target="https://doi.org/10.3390/pathogens12081050" TargetMode="External"/><Relationship Id="rId59" Type="http://schemas.openxmlformats.org/officeDocument/2006/relationships/hyperlink" Target="https://doi.org/10.1088/1742-6596/884/1/012031" TargetMode="External"/><Relationship Id="rId20" Type="http://schemas.openxmlformats.org/officeDocument/2006/relationships/hyperlink" Target="https://doi.org/10.2166/wh.2010.127" TargetMode="External"/><Relationship Id="rId41" Type="http://schemas.openxmlformats.org/officeDocument/2006/relationships/hyperlink" Target="https://doi.org/10.4103/2229-5070.113894" TargetMode="External"/><Relationship Id="rId54" Type="http://schemas.openxmlformats.org/officeDocument/2006/relationships/hyperlink" Target="https://doi.org/10.4269/ajtmh.22-066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7420/ap6203.53" TargetMode="External"/><Relationship Id="rId23" Type="http://schemas.openxmlformats.org/officeDocument/2006/relationships/hyperlink" Target="https://doi.org/10.1016/j.parint.2016.02.009" TargetMode="External"/><Relationship Id="rId28" Type="http://schemas.openxmlformats.org/officeDocument/2006/relationships/hyperlink" Target="https://doi.org/10.1007/s00436-014-4208-y" TargetMode="External"/><Relationship Id="rId36" Type="http://schemas.openxmlformats.org/officeDocument/2006/relationships/hyperlink" Target="https://doi.org/10.1016/j.jiph.2017.03.009" TargetMode="External"/><Relationship Id="rId49" Type="http://schemas.openxmlformats.org/officeDocument/2006/relationships/hyperlink" Target="https://doi.org/10.31254/jmr.2015.1110" TargetMode="External"/><Relationship Id="rId57" Type="http://schemas.openxmlformats.org/officeDocument/2006/relationships/hyperlink" Target="https://doi.org/10.1007/s00436-004-1230-5" TargetMode="External"/><Relationship Id="rId10" Type="http://schemas.openxmlformats.org/officeDocument/2006/relationships/header" Target="header2.xml"/><Relationship Id="rId31" Type="http://schemas.openxmlformats.org/officeDocument/2006/relationships/hyperlink" Target="https://doi.org/10.21608/jesp.2019.68145" TargetMode="External"/><Relationship Id="rId44" Type="http://schemas.openxmlformats.org/officeDocument/2006/relationships/hyperlink" Target="https://doi.org/10.4269/ajtmh.2011.10-0447" TargetMode="External"/><Relationship Id="rId52" Type="http://schemas.openxmlformats.org/officeDocument/2006/relationships/hyperlink" Target="https://doi.org/10.12688/openreseurope.18046.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C265B-09AA-4DB8-BB2B-7FC40DBFB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41</Pages>
  <Words>11738</Words>
  <Characters>66910</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Mark Ronald T.</dc:creator>
  <cp:keywords/>
  <dc:description/>
  <cp:lastModifiedBy>Rolando Pakingking</cp:lastModifiedBy>
  <cp:revision>10</cp:revision>
  <dcterms:created xsi:type="dcterms:W3CDTF">2025-07-15T01:58:00Z</dcterms:created>
  <dcterms:modified xsi:type="dcterms:W3CDTF">2025-07-15T08:31:00Z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37862221-d5e2-499d-bf22-58b7a819a052</vt:lpwstr>
  </property>
</Properties>
</file>