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5B4E2" w14:textId="77777777" w:rsidR="00873702" w:rsidRPr="00873702" w:rsidRDefault="00873702" w:rsidP="00873702">
      <w:pPr>
        <w:spacing w:line="240" w:lineRule="auto"/>
        <w:jc w:val="center"/>
        <w:rPr>
          <w:rFonts w:ascii="Times New Roman" w:eastAsia="Times New Roman" w:hAnsi="Times New Roman" w:cs="Times New Roman"/>
          <w:b/>
          <w:bCs/>
          <w:i/>
          <w:iCs/>
          <w:sz w:val="24"/>
          <w:szCs w:val="24"/>
          <w:u w:val="single"/>
          <w:lang w:val="en-US"/>
        </w:rPr>
      </w:pPr>
      <w:r w:rsidRPr="00873702">
        <w:rPr>
          <w:rFonts w:ascii="Times New Roman" w:eastAsia="Times New Roman" w:hAnsi="Times New Roman" w:cs="Times New Roman"/>
          <w:b/>
          <w:bCs/>
          <w:i/>
          <w:iCs/>
          <w:sz w:val="24"/>
          <w:szCs w:val="24"/>
          <w:u w:val="single"/>
          <w:lang w:val="en-US"/>
        </w:rPr>
        <w:t>Original Research Article</w:t>
      </w:r>
    </w:p>
    <w:p w14:paraId="12778B92" w14:textId="3CD764A4" w:rsidR="003F6B58" w:rsidRDefault="00460C8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Effects of multi-strain probiotics and early life </w:t>
      </w:r>
      <w:r w:rsidR="00D70AB5" w:rsidRPr="00496C47">
        <w:rPr>
          <w:rFonts w:ascii="Times New Roman" w:eastAsia="Times New Roman" w:hAnsi="Times New Roman" w:cs="Times New Roman"/>
          <w:b/>
          <w:sz w:val="24"/>
          <w:szCs w:val="24"/>
          <w:highlight w:val="yellow"/>
        </w:rPr>
        <w:t>multi-</w:t>
      </w:r>
      <w:r w:rsidRPr="00496C47">
        <w:rPr>
          <w:rFonts w:ascii="Times New Roman" w:eastAsia="Times New Roman" w:hAnsi="Times New Roman" w:cs="Times New Roman"/>
          <w:b/>
          <w:sz w:val="24"/>
          <w:szCs w:val="24"/>
          <w:highlight w:val="yellow"/>
        </w:rPr>
        <w:t>mineralization</w:t>
      </w:r>
      <w:r>
        <w:rPr>
          <w:rFonts w:ascii="Times New Roman" w:eastAsia="Times New Roman" w:hAnsi="Times New Roman" w:cs="Times New Roman"/>
          <w:b/>
          <w:sz w:val="24"/>
          <w:szCs w:val="24"/>
        </w:rPr>
        <w:t xml:space="preserve"> on iron-zinc homeostasis in neonatal piglets</w:t>
      </w:r>
    </w:p>
    <w:p w14:paraId="4B66CD0F" w14:textId="77777777" w:rsidR="003F6B58" w:rsidRDefault="003F6B58">
      <w:pPr>
        <w:spacing w:line="240" w:lineRule="auto"/>
        <w:rPr>
          <w:rFonts w:ascii="Times New Roman" w:eastAsia="Times New Roman" w:hAnsi="Times New Roman" w:cs="Times New Roman"/>
          <w:b/>
          <w:sz w:val="24"/>
          <w:szCs w:val="24"/>
        </w:rPr>
      </w:pPr>
    </w:p>
    <w:p w14:paraId="41D59E6D" w14:textId="77777777" w:rsidR="003F6B58" w:rsidRDefault="00460C8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B2B9D9B" w14:textId="3AA20A5B" w:rsidR="003F6B58" w:rsidRDefault="00460C8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was conducted to investigate the effect of multi-strain probiotics and </w:t>
      </w:r>
      <w:r w:rsidRPr="00496C47">
        <w:rPr>
          <w:rFonts w:ascii="Times New Roman" w:eastAsia="Times New Roman" w:hAnsi="Times New Roman" w:cs="Times New Roman"/>
          <w:sz w:val="24"/>
          <w:szCs w:val="24"/>
          <w:highlight w:val="yellow"/>
        </w:rPr>
        <w:t>multi</w:t>
      </w:r>
      <w:r w:rsidR="00D70AB5" w:rsidRPr="00496C47">
        <w:rPr>
          <w:rFonts w:ascii="Times New Roman" w:eastAsia="Times New Roman" w:hAnsi="Times New Roman" w:cs="Times New Roman"/>
          <w:sz w:val="24"/>
          <w:szCs w:val="24"/>
          <w:highlight w:val="yellow"/>
        </w:rPr>
        <w:t>-</w:t>
      </w:r>
      <w:r w:rsidRPr="00496C47">
        <w:rPr>
          <w:rFonts w:ascii="Times New Roman" w:eastAsia="Times New Roman" w:hAnsi="Times New Roman" w:cs="Times New Roman"/>
          <w:sz w:val="24"/>
          <w:szCs w:val="24"/>
          <w:highlight w:val="yellow"/>
        </w:rPr>
        <w:t>mineral</w:t>
      </w:r>
      <w:r w:rsidR="00D70AB5" w:rsidRPr="00496C47">
        <w:rPr>
          <w:rFonts w:ascii="Times New Roman" w:eastAsia="Times New Roman" w:hAnsi="Times New Roman" w:cs="Times New Roman"/>
          <w:sz w:val="24"/>
          <w:szCs w:val="24"/>
          <w:highlight w:val="yellow"/>
        </w:rPr>
        <w:t>s</w:t>
      </w:r>
      <w:r>
        <w:rPr>
          <w:rFonts w:ascii="Times New Roman" w:eastAsia="Times New Roman" w:hAnsi="Times New Roman" w:cs="Times New Roman"/>
          <w:sz w:val="24"/>
          <w:szCs w:val="24"/>
        </w:rPr>
        <w:t xml:space="preserve"> on iron-zinc homeostasis in neonatal piglets. </w:t>
      </w:r>
      <w:r w:rsidR="00173BB0">
        <w:rPr>
          <w:rFonts w:ascii="Times New Roman" w:eastAsia="Times New Roman" w:hAnsi="Times New Roman" w:cs="Times New Roman"/>
          <w:sz w:val="24"/>
          <w:szCs w:val="24"/>
        </w:rPr>
        <w:t>E</w:t>
      </w:r>
      <w:r w:rsidRPr="00105F98">
        <w:rPr>
          <w:rFonts w:ascii="Times New Roman" w:eastAsia="Times New Roman" w:hAnsi="Times New Roman" w:cs="Times New Roman"/>
          <w:sz w:val="24"/>
          <w:szCs w:val="24"/>
          <w:highlight w:val="yellow"/>
        </w:rPr>
        <w:t>ight apparently</w:t>
      </w:r>
      <w:r>
        <w:rPr>
          <w:rFonts w:ascii="Times New Roman" w:eastAsia="Times New Roman" w:hAnsi="Times New Roman" w:cs="Times New Roman"/>
          <w:sz w:val="24"/>
          <w:szCs w:val="24"/>
        </w:rPr>
        <w:t xml:space="preserve"> healthy sows were selected and randomly divided into four equal groups</w:t>
      </w:r>
      <w:r w:rsidR="005B06AA">
        <w:rPr>
          <w:rFonts w:ascii="Times New Roman" w:eastAsia="Times New Roman" w:hAnsi="Times New Roman" w:cs="Times New Roman"/>
          <w:sz w:val="24"/>
          <w:szCs w:val="24"/>
        </w:rPr>
        <w:t xml:space="preserve">. </w:t>
      </w:r>
      <w:r w:rsidR="005B06AA" w:rsidRPr="00A24BD0">
        <w:rPr>
          <w:rFonts w:ascii="Times New Roman" w:eastAsia="Times New Roman" w:hAnsi="Times New Roman" w:cs="Times New Roman"/>
          <w:sz w:val="24"/>
          <w:szCs w:val="24"/>
          <w:highlight w:val="yellow"/>
        </w:rPr>
        <w:t>P</w:t>
      </w:r>
      <w:r w:rsidR="00A67C56" w:rsidRPr="00A24BD0">
        <w:rPr>
          <w:rFonts w:ascii="Times New Roman" w:eastAsia="Times New Roman" w:hAnsi="Times New Roman" w:cs="Times New Roman"/>
          <w:sz w:val="24"/>
          <w:szCs w:val="24"/>
          <w:highlight w:val="yellow"/>
        </w:rPr>
        <w:t>iglets from two sows of each group were taken for study</w:t>
      </w:r>
      <w:r w:rsidRPr="00A24BD0">
        <w:rPr>
          <w:rFonts w:ascii="Times New Roman" w:eastAsia="Times New Roman" w:hAnsi="Times New Roman" w:cs="Times New Roman"/>
          <w:sz w:val="24"/>
          <w:szCs w:val="24"/>
          <w:highlight w:val="yellow"/>
        </w:rPr>
        <w:t xml:space="preserve"> </w:t>
      </w:r>
      <w:r w:rsidR="00A67C56" w:rsidRPr="00A24BD0">
        <w:rPr>
          <w:rFonts w:ascii="Times New Roman" w:eastAsia="Times New Roman" w:hAnsi="Times New Roman" w:cs="Times New Roman"/>
          <w:sz w:val="24"/>
          <w:szCs w:val="24"/>
          <w:highlight w:val="yellow"/>
        </w:rPr>
        <w:t>[</w:t>
      </w:r>
      <w:r w:rsidRPr="00A24BD0">
        <w:rPr>
          <w:rFonts w:ascii="Times New Roman" w:eastAsia="Times New Roman" w:hAnsi="Times New Roman" w:cs="Times New Roman"/>
          <w:sz w:val="24"/>
          <w:szCs w:val="24"/>
          <w:highlight w:val="yellow"/>
        </w:rPr>
        <w:t>Control</w:t>
      </w:r>
      <w:r w:rsidR="00A67C56" w:rsidRPr="00A24BD0">
        <w:rPr>
          <w:rFonts w:ascii="Times New Roman" w:eastAsia="Times New Roman" w:hAnsi="Times New Roman" w:cs="Times New Roman"/>
          <w:sz w:val="24"/>
          <w:szCs w:val="24"/>
          <w:highlight w:val="yellow"/>
        </w:rPr>
        <w:t xml:space="preserve"> (total piglets-17)</w:t>
      </w:r>
      <w:r w:rsidRPr="00A24BD0">
        <w:rPr>
          <w:rFonts w:ascii="Times New Roman" w:eastAsia="Times New Roman" w:hAnsi="Times New Roman" w:cs="Times New Roman"/>
          <w:sz w:val="24"/>
          <w:szCs w:val="24"/>
          <w:highlight w:val="yellow"/>
        </w:rPr>
        <w:t xml:space="preserve">, </w:t>
      </w:r>
      <w:r w:rsidR="00A67C56" w:rsidRPr="00A24BD0">
        <w:rPr>
          <w:rFonts w:ascii="Times New Roman" w:eastAsia="Times New Roman" w:hAnsi="Times New Roman" w:cs="Times New Roman"/>
          <w:sz w:val="24"/>
          <w:szCs w:val="24"/>
          <w:highlight w:val="yellow"/>
        </w:rPr>
        <w:t>multi-minerals (total piglets-22)</w:t>
      </w:r>
      <w:r w:rsidRPr="00A24BD0">
        <w:rPr>
          <w:rFonts w:ascii="Times New Roman" w:eastAsia="Times New Roman" w:hAnsi="Times New Roman" w:cs="Times New Roman"/>
          <w:sz w:val="24"/>
          <w:szCs w:val="24"/>
          <w:highlight w:val="yellow"/>
        </w:rPr>
        <w:t xml:space="preserve">, </w:t>
      </w:r>
      <w:r w:rsidR="00A67C56" w:rsidRPr="00A24BD0">
        <w:rPr>
          <w:rFonts w:ascii="Times New Roman" w:eastAsia="Times New Roman" w:hAnsi="Times New Roman" w:cs="Times New Roman"/>
          <w:bCs/>
          <w:sz w:val="24"/>
          <w:szCs w:val="24"/>
          <w:highlight w:val="yellow"/>
        </w:rPr>
        <w:t>multi-strain probiotics (total piglets-15)</w:t>
      </w:r>
      <w:r w:rsidR="00A67C56" w:rsidRPr="00A24BD0">
        <w:rPr>
          <w:rFonts w:ascii="Times New Roman" w:eastAsia="Times New Roman" w:hAnsi="Times New Roman" w:cs="Times New Roman"/>
          <w:sz w:val="24"/>
          <w:szCs w:val="24"/>
          <w:highlight w:val="yellow"/>
        </w:rPr>
        <w:t xml:space="preserve"> </w:t>
      </w:r>
      <w:r w:rsidRPr="00A24BD0">
        <w:rPr>
          <w:rFonts w:ascii="Times New Roman" w:eastAsia="Times New Roman" w:hAnsi="Times New Roman" w:cs="Times New Roman"/>
          <w:sz w:val="24"/>
          <w:szCs w:val="24"/>
          <w:highlight w:val="yellow"/>
        </w:rPr>
        <w:t xml:space="preserve">and </w:t>
      </w:r>
      <w:r w:rsidR="00A67C56" w:rsidRPr="00A24BD0">
        <w:rPr>
          <w:rFonts w:ascii="Times New Roman" w:eastAsia="Times New Roman" w:hAnsi="Times New Roman" w:cs="Times New Roman"/>
          <w:sz w:val="24"/>
          <w:szCs w:val="24"/>
          <w:highlight w:val="yellow"/>
        </w:rPr>
        <w:t xml:space="preserve">multi-minerals </w:t>
      </w:r>
      <w:r w:rsidRPr="00A24BD0">
        <w:rPr>
          <w:rFonts w:ascii="Times New Roman" w:eastAsia="Times New Roman" w:hAnsi="Times New Roman" w:cs="Times New Roman"/>
          <w:sz w:val="24"/>
          <w:szCs w:val="24"/>
          <w:highlight w:val="yellow"/>
        </w:rPr>
        <w:t>+</w:t>
      </w:r>
      <w:r w:rsidR="00A67C56" w:rsidRPr="00A24BD0">
        <w:rPr>
          <w:rFonts w:ascii="Times New Roman" w:eastAsia="Times New Roman" w:hAnsi="Times New Roman" w:cs="Times New Roman"/>
          <w:bCs/>
          <w:sz w:val="24"/>
          <w:szCs w:val="24"/>
          <w:highlight w:val="yellow"/>
        </w:rPr>
        <w:t xml:space="preserve"> multi-strain probiotics (total piglets-23</w:t>
      </w:r>
      <w:r w:rsidRPr="00A24BD0">
        <w:rPr>
          <w:rFonts w:ascii="Times New Roman" w:eastAsia="Times New Roman" w:hAnsi="Times New Roman" w:cs="Times New Roman"/>
          <w:sz w:val="24"/>
          <w:szCs w:val="24"/>
          <w:highlight w:val="yellow"/>
        </w:rPr>
        <w:t>)</w:t>
      </w:r>
      <w:r w:rsidR="00A67C56" w:rsidRPr="00A24BD0">
        <w:rPr>
          <w:rFonts w:ascii="Times New Roman" w:eastAsia="Times New Roman" w:hAnsi="Times New Roman" w:cs="Times New Roman"/>
          <w:sz w:val="24"/>
          <w:szCs w:val="24"/>
          <w:highlight w:val="yellow"/>
        </w:rPr>
        <w:t>]</w:t>
      </w:r>
      <w:r w:rsidRPr="00A24BD0">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The Blood samples were collected from anterior vena cava of piglets on day 0, 7, 14 and 21 post-farrowing. The zinc and iron concentration were measured using spectrophotometer. The results revealed that the mean </w:t>
      </w:r>
      <w:r w:rsidR="009C5CA9">
        <w:rPr>
          <w:rFonts w:ascii="Times New Roman" w:eastAsia="Times New Roman" w:hAnsi="Times New Roman" w:cs="Times New Roman"/>
          <w:sz w:val="24"/>
          <w:szCs w:val="24"/>
        </w:rPr>
        <w:t>zinc</w:t>
      </w:r>
      <w:r w:rsidRPr="00244A72">
        <w:rPr>
          <w:rFonts w:ascii="Times New Roman" w:eastAsia="Times New Roman" w:hAnsi="Times New Roman" w:cs="Times New Roman"/>
          <w:sz w:val="24"/>
          <w:szCs w:val="24"/>
        </w:rPr>
        <w:t xml:space="preserve"> and </w:t>
      </w:r>
      <w:r w:rsidR="009C5CA9">
        <w:rPr>
          <w:rFonts w:ascii="Times New Roman" w:eastAsia="Times New Roman" w:hAnsi="Times New Roman" w:cs="Times New Roman"/>
          <w:sz w:val="24"/>
          <w:szCs w:val="24"/>
        </w:rPr>
        <w:t>iron</w:t>
      </w:r>
      <w:r w:rsidRPr="00244A72">
        <w:rPr>
          <w:rFonts w:ascii="Times New Roman" w:eastAsia="Times New Roman" w:hAnsi="Times New Roman" w:cs="Times New Roman"/>
          <w:sz w:val="24"/>
          <w:szCs w:val="24"/>
        </w:rPr>
        <w:t xml:space="preserve"> concentrations were markedly higher in </w:t>
      </w:r>
      <w:r w:rsidR="009C5CA9" w:rsidRPr="00A24BD0">
        <w:rPr>
          <w:rFonts w:ascii="Times New Roman" w:eastAsia="Times New Roman" w:hAnsi="Times New Roman" w:cs="Times New Roman"/>
          <w:sz w:val="24"/>
          <w:szCs w:val="24"/>
          <w:highlight w:val="yellow"/>
        </w:rPr>
        <w:t>multi-minerals</w:t>
      </w:r>
      <w:r w:rsidRPr="00244A72">
        <w:rPr>
          <w:rFonts w:ascii="Times New Roman" w:eastAsia="Times New Roman" w:hAnsi="Times New Roman" w:cs="Times New Roman"/>
          <w:sz w:val="24"/>
          <w:szCs w:val="24"/>
        </w:rPr>
        <w:t xml:space="preserve"> group as compare to control, </w:t>
      </w:r>
      <w:r w:rsidR="009C5CA9" w:rsidRPr="00A24BD0">
        <w:rPr>
          <w:rFonts w:ascii="Times New Roman" w:eastAsia="Times New Roman" w:hAnsi="Times New Roman" w:cs="Times New Roman"/>
          <w:bCs/>
          <w:sz w:val="24"/>
          <w:szCs w:val="24"/>
          <w:highlight w:val="yellow"/>
        </w:rPr>
        <w:t>multi-strain probiotics</w:t>
      </w:r>
      <w:r w:rsidRPr="00244A72">
        <w:rPr>
          <w:rFonts w:ascii="Times New Roman" w:eastAsia="Times New Roman" w:hAnsi="Times New Roman" w:cs="Times New Roman"/>
          <w:sz w:val="24"/>
          <w:szCs w:val="24"/>
        </w:rPr>
        <w:t xml:space="preserve"> and </w:t>
      </w:r>
      <w:r w:rsidR="009C5CA9" w:rsidRPr="00A24BD0">
        <w:rPr>
          <w:rFonts w:ascii="Times New Roman" w:eastAsia="Times New Roman" w:hAnsi="Times New Roman" w:cs="Times New Roman"/>
          <w:sz w:val="24"/>
          <w:szCs w:val="24"/>
          <w:highlight w:val="yellow"/>
        </w:rPr>
        <w:t>multi-minerals +</w:t>
      </w:r>
      <w:r w:rsidR="009C5CA9" w:rsidRPr="00A24BD0">
        <w:rPr>
          <w:rFonts w:ascii="Times New Roman" w:eastAsia="Times New Roman" w:hAnsi="Times New Roman" w:cs="Times New Roman"/>
          <w:bCs/>
          <w:sz w:val="24"/>
          <w:szCs w:val="24"/>
          <w:highlight w:val="yellow"/>
        </w:rPr>
        <w:t xml:space="preserve"> multi-strain probiotics </w:t>
      </w:r>
      <w:r w:rsidRPr="00244A72">
        <w:rPr>
          <w:rFonts w:ascii="Times New Roman" w:eastAsia="Times New Roman" w:hAnsi="Times New Roman" w:cs="Times New Roman"/>
          <w:sz w:val="24"/>
          <w:szCs w:val="24"/>
        </w:rPr>
        <w:t xml:space="preserve">groups on day 0. Moreover, that in MM group, Zn concentration on day 14 and 21 and </w:t>
      </w:r>
      <w:r w:rsidR="009C5CA9" w:rsidRPr="009C5CA9">
        <w:rPr>
          <w:rFonts w:ascii="Times New Roman" w:eastAsia="Times New Roman" w:hAnsi="Times New Roman" w:cs="Times New Roman"/>
          <w:sz w:val="24"/>
          <w:szCs w:val="24"/>
          <w:highlight w:val="yellow"/>
        </w:rPr>
        <w:t>iron</w:t>
      </w:r>
      <w:r w:rsidR="009C5CA9">
        <w:rPr>
          <w:rFonts w:ascii="Times New Roman" w:eastAsia="Times New Roman" w:hAnsi="Times New Roman" w:cs="Times New Roman"/>
          <w:sz w:val="24"/>
          <w:szCs w:val="24"/>
          <w:highlight w:val="yellow"/>
        </w:rPr>
        <w:t xml:space="preserve"> </w:t>
      </w:r>
      <w:r w:rsidRPr="00244A72">
        <w:rPr>
          <w:rFonts w:ascii="Times New Roman" w:eastAsia="Times New Roman" w:hAnsi="Times New Roman" w:cs="Times New Roman"/>
          <w:sz w:val="24"/>
          <w:szCs w:val="24"/>
        </w:rPr>
        <w:t xml:space="preserve">values on day 21 were significantly lower as compared to day 0. The mean concentration of iron on day 7 and </w:t>
      </w:r>
      <w:r w:rsidR="009C5CA9" w:rsidRPr="009C5CA9">
        <w:rPr>
          <w:rFonts w:ascii="Times New Roman" w:eastAsia="Times New Roman" w:hAnsi="Times New Roman" w:cs="Times New Roman"/>
          <w:sz w:val="24"/>
          <w:szCs w:val="24"/>
          <w:highlight w:val="yellow"/>
        </w:rPr>
        <w:t>zinc</w:t>
      </w:r>
      <w:r w:rsidRPr="00244A72">
        <w:rPr>
          <w:rFonts w:ascii="Times New Roman" w:eastAsia="Times New Roman" w:hAnsi="Times New Roman" w:cs="Times New Roman"/>
          <w:sz w:val="24"/>
          <w:szCs w:val="24"/>
        </w:rPr>
        <w:t xml:space="preserve"> on day 7 and 21 were significantly higher as compared to day 0 in </w:t>
      </w:r>
      <w:r w:rsidR="009C5CA9" w:rsidRPr="00A24BD0">
        <w:rPr>
          <w:rFonts w:ascii="Times New Roman" w:eastAsia="Times New Roman" w:hAnsi="Times New Roman" w:cs="Times New Roman"/>
          <w:bCs/>
          <w:sz w:val="24"/>
          <w:szCs w:val="24"/>
          <w:highlight w:val="yellow"/>
        </w:rPr>
        <w:t>multi-strain probiotics</w:t>
      </w:r>
      <w:r w:rsidRPr="00244A72">
        <w:rPr>
          <w:rFonts w:ascii="Times New Roman" w:eastAsia="Times New Roman" w:hAnsi="Times New Roman" w:cs="Times New Roman"/>
          <w:sz w:val="24"/>
          <w:szCs w:val="24"/>
        </w:rPr>
        <w:t xml:space="preserve"> group. In </w:t>
      </w:r>
      <w:r w:rsidR="009C5CA9" w:rsidRPr="00A24BD0">
        <w:rPr>
          <w:rFonts w:ascii="Times New Roman" w:eastAsia="Times New Roman" w:hAnsi="Times New Roman" w:cs="Times New Roman"/>
          <w:sz w:val="24"/>
          <w:szCs w:val="24"/>
          <w:highlight w:val="yellow"/>
        </w:rPr>
        <w:t>multi-minerals +</w:t>
      </w:r>
      <w:r w:rsidR="009C5CA9" w:rsidRPr="00A24BD0">
        <w:rPr>
          <w:rFonts w:ascii="Times New Roman" w:eastAsia="Times New Roman" w:hAnsi="Times New Roman" w:cs="Times New Roman"/>
          <w:bCs/>
          <w:sz w:val="24"/>
          <w:szCs w:val="24"/>
          <w:highlight w:val="yellow"/>
        </w:rPr>
        <w:t xml:space="preserve"> multi-strain probiotics </w:t>
      </w:r>
      <w:r w:rsidRPr="00244A72">
        <w:rPr>
          <w:rFonts w:ascii="Times New Roman" w:eastAsia="Times New Roman" w:hAnsi="Times New Roman" w:cs="Times New Roman"/>
          <w:sz w:val="24"/>
          <w:szCs w:val="24"/>
        </w:rPr>
        <w:t>group</w:t>
      </w:r>
      <w:r>
        <w:rPr>
          <w:rFonts w:ascii="Times New Roman" w:eastAsia="Times New Roman" w:hAnsi="Times New Roman" w:cs="Times New Roman"/>
          <w:sz w:val="24"/>
          <w:szCs w:val="24"/>
        </w:rPr>
        <w:t xml:space="preserve">, mean concentration of </w:t>
      </w:r>
      <w:r w:rsidR="009C5CA9" w:rsidRPr="009C5CA9">
        <w:rPr>
          <w:rFonts w:ascii="Times New Roman" w:eastAsia="Times New Roman" w:hAnsi="Times New Roman" w:cs="Times New Roman"/>
          <w:sz w:val="24"/>
          <w:szCs w:val="24"/>
          <w:highlight w:val="yellow"/>
        </w:rPr>
        <w:t>iron</w:t>
      </w:r>
      <w:r>
        <w:rPr>
          <w:rFonts w:ascii="Times New Roman" w:eastAsia="Times New Roman" w:hAnsi="Times New Roman" w:cs="Times New Roman"/>
          <w:sz w:val="24"/>
          <w:szCs w:val="24"/>
        </w:rPr>
        <w:t xml:space="preserve"> on day 14 and 21 and </w:t>
      </w:r>
      <w:r w:rsidR="009C5CA9" w:rsidRPr="009C5CA9">
        <w:rPr>
          <w:rFonts w:ascii="Times New Roman" w:eastAsia="Times New Roman" w:hAnsi="Times New Roman" w:cs="Times New Roman"/>
          <w:sz w:val="24"/>
          <w:szCs w:val="24"/>
          <w:highlight w:val="yellow"/>
        </w:rPr>
        <w:t>zinc</w:t>
      </w:r>
      <w:r>
        <w:rPr>
          <w:rFonts w:ascii="Times New Roman" w:eastAsia="Times New Roman" w:hAnsi="Times New Roman" w:cs="Times New Roman"/>
          <w:sz w:val="24"/>
          <w:szCs w:val="24"/>
        </w:rPr>
        <w:t xml:space="preserve"> value on day 14 were significantly lower as compared to day 0 and day 7. It is concluded that </w:t>
      </w:r>
      <w:r>
        <w:rPr>
          <w:rFonts w:ascii="Times New Roman" w:eastAsia="Times New Roman" w:hAnsi="Times New Roman" w:cs="Times New Roman"/>
          <w:color w:val="000000"/>
          <w:sz w:val="24"/>
          <w:szCs w:val="24"/>
        </w:rPr>
        <w:t>the s</w:t>
      </w:r>
      <w:r>
        <w:rPr>
          <w:rFonts w:ascii="Times New Roman" w:eastAsia="Times New Roman" w:hAnsi="Times New Roman" w:cs="Times New Roman"/>
          <w:sz w:val="24"/>
          <w:szCs w:val="24"/>
        </w:rPr>
        <w:t xml:space="preserve">upplementation of </w:t>
      </w:r>
      <w:r w:rsidR="009C5CA9" w:rsidRPr="00A24BD0">
        <w:rPr>
          <w:rFonts w:ascii="Times New Roman" w:eastAsia="Times New Roman" w:hAnsi="Times New Roman" w:cs="Times New Roman"/>
          <w:bCs/>
          <w:sz w:val="24"/>
          <w:szCs w:val="24"/>
          <w:highlight w:val="yellow"/>
        </w:rPr>
        <w:t>multi-strain probiotics</w:t>
      </w:r>
      <w:r>
        <w:rPr>
          <w:rFonts w:ascii="Times New Roman" w:eastAsia="Times New Roman" w:hAnsi="Times New Roman" w:cs="Times New Roman"/>
          <w:sz w:val="24"/>
          <w:szCs w:val="24"/>
        </w:rPr>
        <w:t xml:space="preserve"> has better effect on iron zinc homeostasis as compare to </w:t>
      </w:r>
      <w:r w:rsidR="009C5CA9" w:rsidRPr="00A24BD0">
        <w:rPr>
          <w:rFonts w:ascii="Times New Roman" w:eastAsia="Times New Roman" w:hAnsi="Times New Roman" w:cs="Times New Roman"/>
          <w:sz w:val="24"/>
          <w:szCs w:val="24"/>
          <w:highlight w:val="yellow"/>
        </w:rPr>
        <w:t>multi-minerals</w:t>
      </w:r>
      <w:r>
        <w:rPr>
          <w:rFonts w:ascii="Times New Roman" w:eastAsia="Times New Roman" w:hAnsi="Times New Roman" w:cs="Times New Roman"/>
          <w:sz w:val="24"/>
          <w:szCs w:val="24"/>
        </w:rPr>
        <w:t xml:space="preserve"> and </w:t>
      </w:r>
      <w:r w:rsidR="009C5CA9" w:rsidRPr="00A24BD0">
        <w:rPr>
          <w:rFonts w:ascii="Times New Roman" w:eastAsia="Times New Roman" w:hAnsi="Times New Roman" w:cs="Times New Roman"/>
          <w:sz w:val="24"/>
          <w:szCs w:val="24"/>
          <w:highlight w:val="yellow"/>
        </w:rPr>
        <w:t>multi-minerals +</w:t>
      </w:r>
      <w:r w:rsidR="009C5CA9" w:rsidRPr="00A24BD0">
        <w:rPr>
          <w:rFonts w:ascii="Times New Roman" w:eastAsia="Times New Roman" w:hAnsi="Times New Roman" w:cs="Times New Roman"/>
          <w:bCs/>
          <w:sz w:val="24"/>
          <w:szCs w:val="24"/>
          <w:highlight w:val="yellow"/>
        </w:rPr>
        <w:t xml:space="preserve"> multi-strain probiotics </w:t>
      </w:r>
      <w:r>
        <w:rPr>
          <w:rFonts w:ascii="Times New Roman" w:eastAsia="Times New Roman" w:hAnsi="Times New Roman" w:cs="Times New Roman"/>
          <w:sz w:val="24"/>
          <w:szCs w:val="24"/>
        </w:rPr>
        <w:t xml:space="preserve">supplementations. </w:t>
      </w:r>
    </w:p>
    <w:p w14:paraId="134A0D44" w14:textId="77777777"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Multi-strain probiotics, multi-minerals, neonatal piglets.</w:t>
      </w:r>
    </w:p>
    <w:p w14:paraId="1AEBA7E5" w14:textId="77777777" w:rsidR="003F6B58" w:rsidRDefault="003F6B58">
      <w:pPr>
        <w:spacing w:line="240" w:lineRule="auto"/>
        <w:jc w:val="center"/>
        <w:rPr>
          <w:rFonts w:ascii="Times New Roman" w:eastAsia="Times New Roman" w:hAnsi="Times New Roman" w:cs="Times New Roman"/>
          <w:b/>
          <w:sz w:val="24"/>
          <w:szCs w:val="24"/>
        </w:rPr>
      </w:pPr>
    </w:p>
    <w:p w14:paraId="5D94CCE3" w14:textId="77777777" w:rsidR="003F6B58" w:rsidRDefault="003F6B58">
      <w:pPr>
        <w:spacing w:line="240" w:lineRule="auto"/>
        <w:jc w:val="center"/>
        <w:rPr>
          <w:rFonts w:ascii="Times New Roman" w:eastAsia="Times New Roman" w:hAnsi="Times New Roman" w:cs="Times New Roman"/>
          <w:b/>
          <w:sz w:val="24"/>
          <w:szCs w:val="24"/>
        </w:rPr>
      </w:pPr>
    </w:p>
    <w:p w14:paraId="3085125B" w14:textId="77777777" w:rsidR="003F6B58" w:rsidRDefault="003F6B58">
      <w:pPr>
        <w:spacing w:line="240" w:lineRule="auto"/>
        <w:jc w:val="center"/>
        <w:rPr>
          <w:rFonts w:ascii="Times New Roman" w:eastAsia="Times New Roman" w:hAnsi="Times New Roman" w:cs="Times New Roman"/>
          <w:b/>
          <w:sz w:val="24"/>
          <w:szCs w:val="24"/>
        </w:rPr>
      </w:pPr>
    </w:p>
    <w:p w14:paraId="7C1E0A7E" w14:textId="77777777" w:rsidR="003F6B58" w:rsidRDefault="003F6B58">
      <w:pPr>
        <w:spacing w:line="240" w:lineRule="auto"/>
        <w:jc w:val="center"/>
        <w:rPr>
          <w:rFonts w:ascii="Times New Roman" w:eastAsia="Times New Roman" w:hAnsi="Times New Roman" w:cs="Times New Roman"/>
          <w:b/>
          <w:sz w:val="24"/>
          <w:szCs w:val="24"/>
        </w:rPr>
      </w:pPr>
    </w:p>
    <w:p w14:paraId="27857105" w14:textId="77777777" w:rsidR="003F6B58" w:rsidRDefault="003F6B58">
      <w:pPr>
        <w:spacing w:line="240" w:lineRule="auto"/>
        <w:jc w:val="center"/>
        <w:rPr>
          <w:rFonts w:ascii="Times New Roman" w:eastAsia="Times New Roman" w:hAnsi="Times New Roman" w:cs="Times New Roman"/>
          <w:b/>
          <w:sz w:val="24"/>
          <w:szCs w:val="24"/>
        </w:rPr>
      </w:pPr>
    </w:p>
    <w:p w14:paraId="454DA05D" w14:textId="77777777" w:rsidR="003F6B58" w:rsidRDefault="003F6B58">
      <w:pPr>
        <w:spacing w:line="240" w:lineRule="auto"/>
        <w:jc w:val="center"/>
        <w:rPr>
          <w:rFonts w:ascii="Times New Roman" w:eastAsia="Times New Roman" w:hAnsi="Times New Roman" w:cs="Times New Roman"/>
          <w:b/>
          <w:sz w:val="24"/>
          <w:szCs w:val="24"/>
        </w:rPr>
      </w:pPr>
    </w:p>
    <w:p w14:paraId="4E0DD791" w14:textId="77777777" w:rsidR="003F6B58" w:rsidRDefault="003F6B58">
      <w:pPr>
        <w:spacing w:line="240" w:lineRule="auto"/>
        <w:jc w:val="center"/>
        <w:rPr>
          <w:rFonts w:ascii="Times New Roman" w:eastAsia="Times New Roman" w:hAnsi="Times New Roman" w:cs="Times New Roman"/>
          <w:b/>
          <w:sz w:val="24"/>
          <w:szCs w:val="24"/>
        </w:rPr>
      </w:pPr>
    </w:p>
    <w:p w14:paraId="0413AFF8" w14:textId="77777777" w:rsidR="003F6B58" w:rsidRDefault="003F6B58">
      <w:pPr>
        <w:spacing w:line="240" w:lineRule="auto"/>
        <w:jc w:val="center"/>
        <w:rPr>
          <w:rFonts w:ascii="Times New Roman" w:eastAsia="Times New Roman" w:hAnsi="Times New Roman" w:cs="Times New Roman"/>
          <w:b/>
          <w:sz w:val="24"/>
          <w:szCs w:val="24"/>
        </w:rPr>
      </w:pPr>
    </w:p>
    <w:p w14:paraId="02526BDA" w14:textId="77777777" w:rsidR="003F6B58" w:rsidRDefault="003F6B58">
      <w:pPr>
        <w:spacing w:line="240" w:lineRule="auto"/>
        <w:jc w:val="center"/>
        <w:rPr>
          <w:rFonts w:ascii="Times New Roman" w:eastAsia="Times New Roman" w:hAnsi="Times New Roman" w:cs="Times New Roman"/>
          <w:b/>
          <w:sz w:val="24"/>
          <w:szCs w:val="24"/>
        </w:rPr>
      </w:pPr>
    </w:p>
    <w:p w14:paraId="2F004ADC" w14:textId="77777777" w:rsidR="003F6B58" w:rsidRDefault="003F6B58">
      <w:pPr>
        <w:spacing w:line="240" w:lineRule="auto"/>
        <w:jc w:val="center"/>
        <w:rPr>
          <w:rFonts w:ascii="Times New Roman" w:eastAsia="Times New Roman" w:hAnsi="Times New Roman" w:cs="Times New Roman"/>
          <w:b/>
          <w:sz w:val="24"/>
          <w:szCs w:val="24"/>
        </w:rPr>
      </w:pPr>
    </w:p>
    <w:p w14:paraId="3944AA66" w14:textId="77777777" w:rsidR="003F6B58" w:rsidRDefault="003F6B58">
      <w:pPr>
        <w:spacing w:line="240" w:lineRule="auto"/>
        <w:jc w:val="center"/>
        <w:rPr>
          <w:rFonts w:ascii="Times New Roman" w:eastAsia="Times New Roman" w:hAnsi="Times New Roman" w:cs="Times New Roman"/>
          <w:b/>
          <w:sz w:val="24"/>
          <w:szCs w:val="24"/>
        </w:rPr>
      </w:pPr>
    </w:p>
    <w:p w14:paraId="1A49D8AF" w14:textId="77777777" w:rsidR="003F6B58" w:rsidRDefault="003F6B58">
      <w:pPr>
        <w:spacing w:line="240" w:lineRule="auto"/>
        <w:jc w:val="center"/>
        <w:rPr>
          <w:rFonts w:ascii="Times New Roman" w:eastAsia="Times New Roman" w:hAnsi="Times New Roman" w:cs="Times New Roman"/>
          <w:b/>
          <w:sz w:val="24"/>
          <w:szCs w:val="24"/>
        </w:rPr>
      </w:pPr>
    </w:p>
    <w:p w14:paraId="1E0A6BF2" w14:textId="77777777" w:rsidR="003F6B58" w:rsidRDefault="003F6B58">
      <w:pPr>
        <w:spacing w:line="240" w:lineRule="auto"/>
        <w:jc w:val="center"/>
        <w:rPr>
          <w:rFonts w:ascii="Times New Roman" w:eastAsia="Times New Roman" w:hAnsi="Times New Roman" w:cs="Times New Roman"/>
          <w:b/>
          <w:sz w:val="24"/>
          <w:szCs w:val="24"/>
        </w:rPr>
      </w:pPr>
    </w:p>
    <w:p w14:paraId="10DBE980" w14:textId="77777777" w:rsidR="003F6B58" w:rsidRDefault="003F6B58">
      <w:pPr>
        <w:spacing w:line="240" w:lineRule="auto"/>
        <w:jc w:val="center"/>
        <w:rPr>
          <w:rFonts w:ascii="Times New Roman" w:eastAsia="Times New Roman" w:hAnsi="Times New Roman" w:cs="Times New Roman"/>
          <w:b/>
          <w:sz w:val="24"/>
          <w:szCs w:val="24"/>
        </w:rPr>
      </w:pPr>
    </w:p>
    <w:p w14:paraId="5F998B05" w14:textId="77777777" w:rsidR="003F6B58" w:rsidRDefault="003F6B58">
      <w:pPr>
        <w:spacing w:line="240" w:lineRule="auto"/>
        <w:jc w:val="center"/>
        <w:rPr>
          <w:rFonts w:ascii="Times New Roman" w:eastAsia="Times New Roman" w:hAnsi="Times New Roman" w:cs="Times New Roman"/>
          <w:b/>
          <w:sz w:val="24"/>
          <w:szCs w:val="24"/>
        </w:rPr>
      </w:pPr>
    </w:p>
    <w:p w14:paraId="20772F83" w14:textId="77777777" w:rsidR="003F6B58" w:rsidRDefault="003F6B58">
      <w:pPr>
        <w:spacing w:line="240" w:lineRule="auto"/>
        <w:jc w:val="center"/>
        <w:rPr>
          <w:rFonts w:ascii="Times New Roman" w:eastAsia="Times New Roman" w:hAnsi="Times New Roman" w:cs="Times New Roman"/>
          <w:b/>
          <w:sz w:val="24"/>
          <w:szCs w:val="24"/>
        </w:rPr>
      </w:pPr>
    </w:p>
    <w:p w14:paraId="17666F43" w14:textId="77777777" w:rsidR="003F6B58" w:rsidRDefault="003F6B58">
      <w:pPr>
        <w:spacing w:line="240" w:lineRule="auto"/>
        <w:jc w:val="center"/>
        <w:rPr>
          <w:rFonts w:ascii="Times New Roman" w:eastAsia="Times New Roman" w:hAnsi="Times New Roman" w:cs="Times New Roman"/>
          <w:b/>
          <w:sz w:val="24"/>
          <w:szCs w:val="24"/>
        </w:rPr>
      </w:pPr>
    </w:p>
    <w:p w14:paraId="1B1B9F66" w14:textId="77777777" w:rsidR="003F6B58" w:rsidRDefault="003F6B58">
      <w:pPr>
        <w:spacing w:line="240" w:lineRule="auto"/>
        <w:jc w:val="center"/>
        <w:rPr>
          <w:rFonts w:ascii="Times New Roman" w:eastAsia="Times New Roman" w:hAnsi="Times New Roman" w:cs="Times New Roman"/>
          <w:b/>
          <w:sz w:val="24"/>
          <w:szCs w:val="24"/>
        </w:rPr>
      </w:pPr>
    </w:p>
    <w:p w14:paraId="6E7DDFC2" w14:textId="77777777" w:rsidR="003F6B58" w:rsidRDefault="00460C86">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42F01376" w14:textId="77777777" w:rsidR="00496C47" w:rsidRDefault="00460C8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Pig husbandry has a tremendous potential for a faster economic return because of some specific intrinsic traits including high fertility, superior feed conversion capacity, early maturity, and short generation interval </w:t>
      </w:r>
      <w:r w:rsidRPr="00496C47">
        <w:rPr>
          <w:rFonts w:ascii="Times New Roman" w:eastAsia="Times New Roman" w:hAnsi="Times New Roman" w:cs="Times New Roman"/>
          <w:sz w:val="24"/>
          <w:szCs w:val="24"/>
          <w:highlight w:val="yellow"/>
        </w:rPr>
        <w:t>(</w:t>
      </w:r>
      <w:r w:rsidRPr="00496C47">
        <w:rPr>
          <w:rFonts w:ascii="Times New Roman" w:eastAsia="Times New Roman" w:hAnsi="Times New Roman" w:cs="Times New Roman"/>
          <w:color w:val="000000"/>
          <w:sz w:val="24"/>
          <w:szCs w:val="24"/>
          <w:highlight w:val="yellow"/>
        </w:rPr>
        <w:t>Byrne</w:t>
      </w:r>
      <w:r w:rsidR="00071777" w:rsidRPr="00496C47">
        <w:rPr>
          <w:rFonts w:ascii="Times New Roman" w:eastAsia="Times New Roman" w:hAnsi="Times New Roman" w:cs="Times New Roman"/>
          <w:color w:val="000000"/>
          <w:sz w:val="24"/>
          <w:szCs w:val="24"/>
          <w:highlight w:val="yellow"/>
        </w:rPr>
        <w:t xml:space="preserve"> and Murphy</w:t>
      </w:r>
      <w:r w:rsidRPr="00496C47">
        <w:rPr>
          <w:rFonts w:ascii="Times New Roman" w:eastAsia="Times New Roman" w:hAnsi="Times New Roman" w:cs="Times New Roman"/>
          <w:i/>
          <w:color w:val="000000"/>
          <w:sz w:val="24"/>
          <w:szCs w:val="24"/>
          <w:highlight w:val="yellow"/>
        </w:rPr>
        <w:t>,</w:t>
      </w:r>
      <w:r w:rsidRPr="00496C47">
        <w:rPr>
          <w:rFonts w:ascii="Times New Roman" w:eastAsia="Times New Roman" w:hAnsi="Times New Roman" w:cs="Times New Roman"/>
          <w:color w:val="000000"/>
          <w:sz w:val="24"/>
          <w:szCs w:val="24"/>
          <w:highlight w:val="yellow"/>
        </w:rPr>
        <w:t xml:space="preserve"> 2022</w:t>
      </w:r>
      <w:r w:rsidRPr="00496C47">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Currently, one of the biggest obstacles to pig production being a profitable business is neonatal piglet mortality. Furthermore, inadequate mineralization is identified as a key factor for compromised health and elevated neonatal mortality. In hyper-prolific sows, this perinatal transfer of nutrients is not be optimal, although there is an active placental transfer of zinc (Zn) but limited for other trace minerals such as iron (Fe), copper (Cu), and selenium (Se) (Matte and Audet, 2020). </w:t>
      </w:r>
    </w:p>
    <w:p w14:paraId="6DFE10BB" w14:textId="2DA2EA56" w:rsidR="003F6B58" w:rsidRPr="00496C47" w:rsidRDefault="00460C8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Therefore, maintenance of adequate trace mineral levels in systemic circulation after birth is crucial to provide systemic protection against infection and stimulate intestinal growth and function (Cabrera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w:t>
      </w:r>
      <w:r w:rsidR="00496C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Among the microminerals, iron (Fe), copper (Cu), zinc (Zn), chromium (Cr), manganese (Mn) and selenium (Se) are essential trace minerals in pig nutrition</w:t>
      </w:r>
      <w:r w:rsidR="00483C08">
        <w:rPr>
          <w:rFonts w:ascii="Times New Roman" w:eastAsia="Times New Roman" w:hAnsi="Times New Roman" w:cs="Times New Roman"/>
          <w:sz w:val="24"/>
          <w:szCs w:val="24"/>
        </w:rPr>
        <w:t xml:space="preserve"> </w:t>
      </w:r>
      <w:r w:rsidR="00483C08" w:rsidRPr="00F23CF5">
        <w:rPr>
          <w:rFonts w:ascii="Times New Roman" w:eastAsia="Times New Roman" w:hAnsi="Times New Roman" w:cs="Times New Roman"/>
          <w:sz w:val="24"/>
          <w:szCs w:val="24"/>
          <w:highlight w:val="yellow"/>
        </w:rPr>
        <w:t xml:space="preserve">(Sampath </w:t>
      </w:r>
      <w:r w:rsidR="00483C08" w:rsidRPr="00F23CF5">
        <w:rPr>
          <w:rFonts w:ascii="Times New Roman" w:eastAsia="Times New Roman" w:hAnsi="Times New Roman" w:cs="Times New Roman"/>
          <w:i/>
          <w:iCs/>
          <w:sz w:val="24"/>
          <w:szCs w:val="24"/>
          <w:highlight w:val="yellow"/>
        </w:rPr>
        <w:t>et al.,</w:t>
      </w:r>
      <w:r w:rsidR="00483C08" w:rsidRPr="00F23CF5">
        <w:rPr>
          <w:rFonts w:ascii="Times New Roman" w:eastAsia="Times New Roman" w:hAnsi="Times New Roman" w:cs="Times New Roman"/>
          <w:sz w:val="24"/>
          <w:szCs w:val="24"/>
          <w:highlight w:val="yellow"/>
        </w:rPr>
        <w:t xml:space="preserve"> 2023</w:t>
      </w:r>
      <w:r w:rsidR="00483C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Incorporating these organic minerals into pig diets can yield notable benefits in terms of reproductive efficiency. Fe supplementation in the early life enhances pre-weaning survival because newborn piglets are susceptible to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since sow milk is a poor source of Fe</w:t>
      </w:r>
      <w:r w:rsidR="00CE15A6">
        <w:rPr>
          <w:rFonts w:ascii="Times New Roman" w:eastAsia="Times New Roman" w:hAnsi="Times New Roman" w:cs="Times New Roman"/>
          <w:sz w:val="24"/>
          <w:szCs w:val="24"/>
        </w:rPr>
        <w:t xml:space="preserve"> </w:t>
      </w:r>
      <w:r w:rsidR="00CE15A6" w:rsidRPr="00C54789">
        <w:rPr>
          <w:rFonts w:ascii="Times New Roman" w:eastAsia="Times New Roman" w:hAnsi="Times New Roman" w:cs="Times New Roman"/>
          <w:sz w:val="24"/>
          <w:szCs w:val="24"/>
          <w:highlight w:val="yellow"/>
        </w:rPr>
        <w:t>(</w:t>
      </w:r>
      <w:proofErr w:type="spellStart"/>
      <w:r w:rsidR="00CE15A6" w:rsidRPr="00C54789">
        <w:rPr>
          <w:rFonts w:ascii="Times New Roman" w:eastAsia="Times New Roman" w:hAnsi="Times New Roman" w:cs="Times New Roman"/>
          <w:sz w:val="24"/>
          <w:szCs w:val="24"/>
          <w:highlight w:val="yellow"/>
        </w:rPr>
        <w:t>Szudzik</w:t>
      </w:r>
      <w:proofErr w:type="spellEnd"/>
      <w:r w:rsidR="00CE15A6" w:rsidRPr="00C54789">
        <w:rPr>
          <w:rFonts w:ascii="Times New Roman" w:eastAsia="Times New Roman" w:hAnsi="Times New Roman" w:cs="Times New Roman"/>
          <w:sz w:val="24"/>
          <w:szCs w:val="24"/>
          <w:highlight w:val="yellow"/>
        </w:rPr>
        <w:t xml:space="preserve"> </w:t>
      </w:r>
      <w:r w:rsidR="00CE15A6" w:rsidRPr="00C54789">
        <w:rPr>
          <w:rFonts w:ascii="Times New Roman" w:eastAsia="Times New Roman" w:hAnsi="Times New Roman" w:cs="Times New Roman"/>
          <w:i/>
          <w:iCs/>
          <w:sz w:val="24"/>
          <w:szCs w:val="24"/>
          <w:highlight w:val="yellow"/>
        </w:rPr>
        <w:t>et al</w:t>
      </w:r>
      <w:r w:rsidR="00CE15A6" w:rsidRPr="00C54789">
        <w:rPr>
          <w:rFonts w:ascii="Times New Roman" w:eastAsia="Times New Roman" w:hAnsi="Times New Roman" w:cs="Times New Roman"/>
          <w:sz w:val="24"/>
          <w:szCs w:val="24"/>
          <w:highlight w:val="yellow"/>
        </w:rPr>
        <w:t>., 2018)</w:t>
      </w:r>
      <w:r>
        <w:rPr>
          <w:rFonts w:ascii="Times New Roman" w:eastAsia="Times New Roman" w:hAnsi="Times New Roman" w:cs="Times New Roman"/>
          <w:sz w:val="24"/>
          <w:szCs w:val="24"/>
        </w:rPr>
        <w:t xml:space="preserve">. Zinc is a crucial trace mineral found in diet and feed. It is essential for the production of cell nucleic acids, cell division, immunological response, cognitive function, and </w:t>
      </w:r>
      <w:r w:rsidRPr="008301E4">
        <w:rPr>
          <w:rFonts w:ascii="Times New Roman" w:eastAsia="Times New Roman" w:hAnsi="Times New Roman" w:cs="Times New Roman"/>
          <w:sz w:val="24"/>
          <w:szCs w:val="24"/>
          <w:highlight w:val="yellow"/>
        </w:rPr>
        <w:t>blood coagulation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Ciesinski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Zinc ions must enter cells in order for the intestinal barrier to function normally and for injured epithelium to heal. Moreover, intracellular zinc reduces inflammation of the gut mucosa (Ou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2007). </w:t>
      </w:r>
    </w:p>
    <w:p w14:paraId="46D4CE7E" w14:textId="2CBC7BF9" w:rsidR="003F6B58" w:rsidRDefault="00460C86">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suckling piglets, the first seven days of birth are crucial for the colonization of their gut microbiota</w:t>
      </w:r>
      <w:r w:rsidR="009E6201">
        <w:rPr>
          <w:rFonts w:ascii="Times New Roman" w:eastAsia="Times New Roman" w:hAnsi="Times New Roman" w:cs="Times New Roman"/>
          <w:color w:val="000000"/>
          <w:sz w:val="24"/>
          <w:szCs w:val="24"/>
        </w:rPr>
        <w:t xml:space="preserve"> </w:t>
      </w:r>
      <w:r w:rsidR="009E6201" w:rsidRPr="00FE65A8">
        <w:rPr>
          <w:rFonts w:ascii="Times New Roman" w:eastAsia="Times New Roman" w:hAnsi="Times New Roman" w:cs="Times New Roman"/>
          <w:color w:val="000000"/>
          <w:sz w:val="24"/>
          <w:szCs w:val="24"/>
          <w:highlight w:val="yellow"/>
        </w:rPr>
        <w:t xml:space="preserve">(Lim </w:t>
      </w:r>
      <w:r w:rsidR="009E6201" w:rsidRPr="00FE65A8">
        <w:rPr>
          <w:rFonts w:ascii="Times New Roman" w:eastAsia="Times New Roman" w:hAnsi="Times New Roman" w:cs="Times New Roman"/>
          <w:i/>
          <w:iCs/>
          <w:color w:val="000000"/>
          <w:sz w:val="24"/>
          <w:szCs w:val="24"/>
          <w:highlight w:val="yellow"/>
        </w:rPr>
        <w:t>et al</w:t>
      </w:r>
      <w:r w:rsidR="009E6201" w:rsidRPr="00FE65A8">
        <w:rPr>
          <w:rFonts w:ascii="Times New Roman" w:eastAsia="Times New Roman" w:hAnsi="Times New Roman" w:cs="Times New Roman"/>
          <w:color w:val="000000"/>
          <w:sz w:val="24"/>
          <w:szCs w:val="24"/>
          <w:highlight w:val="yellow"/>
        </w:rPr>
        <w:t>., 2023)</w:t>
      </w:r>
      <w:r w:rsidR="009E620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Because of their unstable gut flora, newborn pigs are more prone to enteric and other infections, which increases their mortality rate. Probiotics and Zn operate through distinct pathways, thus combining the two could have a beneficial combination effect</w:t>
      </w:r>
      <w:r w:rsidR="004B1496">
        <w:rPr>
          <w:rFonts w:ascii="Times New Roman" w:eastAsia="Times New Roman" w:hAnsi="Times New Roman" w:cs="Times New Roman"/>
          <w:color w:val="000000"/>
          <w:sz w:val="24"/>
          <w:szCs w:val="24"/>
        </w:rPr>
        <w:t xml:space="preserve"> </w:t>
      </w:r>
      <w:r w:rsidR="004B1496" w:rsidRPr="00FE65A8">
        <w:rPr>
          <w:rFonts w:ascii="Times New Roman" w:eastAsia="Times New Roman" w:hAnsi="Times New Roman" w:cs="Times New Roman"/>
          <w:color w:val="000000"/>
          <w:sz w:val="24"/>
          <w:szCs w:val="24"/>
          <w:highlight w:val="yellow"/>
        </w:rPr>
        <w:t xml:space="preserve">(Wang </w:t>
      </w:r>
      <w:r w:rsidR="004B1496" w:rsidRPr="00FE65A8">
        <w:rPr>
          <w:rFonts w:ascii="Times New Roman" w:eastAsia="Times New Roman" w:hAnsi="Times New Roman" w:cs="Times New Roman"/>
          <w:i/>
          <w:iCs/>
          <w:color w:val="000000"/>
          <w:sz w:val="24"/>
          <w:szCs w:val="24"/>
          <w:highlight w:val="yellow"/>
        </w:rPr>
        <w:t>et al</w:t>
      </w:r>
      <w:r w:rsidR="004B1496" w:rsidRPr="00FE65A8">
        <w:rPr>
          <w:rFonts w:ascii="Times New Roman" w:eastAsia="Times New Roman" w:hAnsi="Times New Roman" w:cs="Times New Roman"/>
          <w:color w:val="000000"/>
          <w:sz w:val="24"/>
          <w:szCs w:val="24"/>
          <w:highlight w:val="yellow"/>
        </w:rPr>
        <w:t>., 2021)</w:t>
      </w:r>
      <w:r w:rsidRPr="00FE65A8">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It has previously been documented that probiotics and Zn have synergistic effects on the host due to the Zn’s increased bioavailability (</w:t>
      </w:r>
      <w:proofErr w:type="spellStart"/>
      <w:r>
        <w:rPr>
          <w:rFonts w:ascii="Times New Roman" w:eastAsia="Times New Roman" w:hAnsi="Times New Roman" w:cs="Times New Roman"/>
          <w:color w:val="000000"/>
          <w:sz w:val="24"/>
          <w:szCs w:val="24"/>
        </w:rPr>
        <w:t>Tesan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2011). The findings of some study also demonstrated that selenium-probiotics supplementation had a greater impact on IL-2 secretion and lymphocyte count than did probiotics (P) or selenium (Se) supplementation alone, indicating that SP is a more potent immune system booster for pigs than P or Se used alone</w:t>
      </w:r>
      <w:r w:rsidR="00FD116C">
        <w:rPr>
          <w:rFonts w:ascii="Times New Roman" w:eastAsia="Times New Roman" w:hAnsi="Times New Roman" w:cs="Times New Roman"/>
          <w:color w:val="000000"/>
          <w:sz w:val="24"/>
          <w:szCs w:val="24"/>
        </w:rPr>
        <w:t xml:space="preserve"> </w:t>
      </w:r>
      <w:r w:rsidR="00FD116C" w:rsidRPr="003B4FCE">
        <w:rPr>
          <w:rFonts w:ascii="Times New Roman" w:eastAsia="Times New Roman" w:hAnsi="Times New Roman" w:cs="Times New Roman"/>
          <w:color w:val="000000"/>
          <w:sz w:val="24"/>
          <w:szCs w:val="24"/>
          <w:highlight w:val="yellow"/>
        </w:rPr>
        <w:t xml:space="preserve">(Gan </w:t>
      </w:r>
      <w:r w:rsidR="00FD116C" w:rsidRPr="003B4FCE">
        <w:rPr>
          <w:rFonts w:ascii="Times New Roman" w:eastAsia="Times New Roman" w:hAnsi="Times New Roman" w:cs="Times New Roman"/>
          <w:i/>
          <w:iCs/>
          <w:color w:val="000000"/>
          <w:sz w:val="24"/>
          <w:szCs w:val="24"/>
          <w:highlight w:val="yellow"/>
        </w:rPr>
        <w:t>et al</w:t>
      </w:r>
      <w:r w:rsidR="00FD116C" w:rsidRPr="003B4FCE">
        <w:rPr>
          <w:rFonts w:ascii="Times New Roman" w:eastAsia="Times New Roman" w:hAnsi="Times New Roman" w:cs="Times New Roman"/>
          <w:color w:val="000000"/>
          <w:sz w:val="24"/>
          <w:szCs w:val="24"/>
          <w:highlight w:val="yellow"/>
        </w:rPr>
        <w:t>.,201</w:t>
      </w:r>
      <w:r w:rsidR="003B4FCE">
        <w:rPr>
          <w:rFonts w:ascii="Times New Roman" w:eastAsia="Times New Roman" w:hAnsi="Times New Roman" w:cs="Times New Roman"/>
          <w:color w:val="000000"/>
          <w:sz w:val="24"/>
          <w:szCs w:val="24"/>
          <w:highlight w:val="yellow"/>
        </w:rPr>
        <w:t>4</w:t>
      </w:r>
      <w:r w:rsidR="00FD116C" w:rsidRPr="003B4FCE">
        <w:rPr>
          <w:rFonts w:ascii="Times New Roman" w:eastAsia="Times New Roman" w:hAnsi="Times New Roman" w:cs="Times New Roman"/>
          <w:color w:val="000000"/>
          <w:sz w:val="24"/>
          <w:szCs w:val="24"/>
          <w:highlight w:val="yellow"/>
        </w:rPr>
        <w:t>)</w:t>
      </w:r>
      <w:r w:rsidRPr="003B4FCE">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Based on these, the current study focused </w:t>
      </w:r>
      <w:r w:rsidRPr="00547833">
        <w:rPr>
          <w:rFonts w:ascii="Times New Roman" w:eastAsia="Times New Roman" w:hAnsi="Times New Roman" w:cs="Times New Roman"/>
          <w:color w:val="000000"/>
          <w:sz w:val="24"/>
          <w:szCs w:val="24"/>
          <w:highlight w:val="yellow"/>
        </w:rPr>
        <w:t xml:space="preserve">on </w:t>
      </w:r>
      <w:r w:rsidRPr="00547833">
        <w:rPr>
          <w:rFonts w:ascii="Times New Roman" w:eastAsia="Times New Roman" w:hAnsi="Times New Roman" w:cs="Times New Roman"/>
          <w:sz w:val="24"/>
          <w:szCs w:val="24"/>
          <w:highlight w:val="yellow"/>
        </w:rPr>
        <w:t>investigat</w:t>
      </w:r>
      <w:r w:rsidR="00547833" w:rsidRPr="00547833">
        <w:rPr>
          <w:rFonts w:ascii="Times New Roman" w:eastAsia="Times New Roman" w:hAnsi="Times New Roman" w:cs="Times New Roman"/>
          <w:sz w:val="24"/>
          <w:szCs w:val="24"/>
          <w:highlight w:val="yellow"/>
        </w:rPr>
        <w:t>ing</w:t>
      </w:r>
      <w:r>
        <w:rPr>
          <w:rFonts w:ascii="Times New Roman" w:eastAsia="Times New Roman" w:hAnsi="Times New Roman" w:cs="Times New Roman"/>
          <w:sz w:val="24"/>
          <w:szCs w:val="24"/>
        </w:rPr>
        <w:t xml:space="preserve"> the effect of multi-strain probiotics and multi</w:t>
      </w:r>
      <w:r w:rsidR="00496C47">
        <w:rPr>
          <w:rFonts w:ascii="Times New Roman" w:eastAsia="Times New Roman" w:hAnsi="Times New Roman" w:cs="Times New Roman"/>
          <w:sz w:val="24"/>
          <w:szCs w:val="24"/>
        </w:rPr>
        <w:t>-</w:t>
      </w:r>
      <w:r>
        <w:rPr>
          <w:rFonts w:ascii="Times New Roman" w:eastAsia="Times New Roman" w:hAnsi="Times New Roman" w:cs="Times New Roman"/>
          <w:sz w:val="24"/>
          <w:szCs w:val="24"/>
        </w:rPr>
        <w:t>mineral</w:t>
      </w:r>
      <w:r w:rsidR="00496C4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on iron- zinc homeostasis in neonatal piglets.</w:t>
      </w:r>
    </w:p>
    <w:p w14:paraId="6D029BA7" w14:textId="77777777" w:rsidR="003F6B58" w:rsidRDefault="00460C86">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 AND METHODS</w:t>
      </w:r>
    </w:p>
    <w:p w14:paraId="181A3461" w14:textId="77777777" w:rsidR="003F6B58" w:rsidRDefault="00460C8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proofErr w:type="spellStart"/>
      <w:r>
        <w:rPr>
          <w:rFonts w:ascii="Times New Roman" w:eastAsia="Times New Roman" w:hAnsi="Times New Roman" w:cs="Times New Roman"/>
          <w:b/>
          <w:sz w:val="24"/>
          <w:szCs w:val="24"/>
        </w:rPr>
        <w:t>Multistrain</w:t>
      </w:r>
      <w:proofErr w:type="spellEnd"/>
      <w:r>
        <w:rPr>
          <w:rFonts w:ascii="Times New Roman" w:eastAsia="Times New Roman" w:hAnsi="Times New Roman" w:cs="Times New Roman"/>
          <w:b/>
          <w:sz w:val="24"/>
          <w:szCs w:val="24"/>
        </w:rPr>
        <w:t xml:space="preserve"> probiotics preparation and procurement of multi-mineral injection</w:t>
      </w:r>
    </w:p>
    <w:p w14:paraId="4058377E" w14:textId="6C487A5A"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probiotic strain: the mixture of MSP, consist of </w:t>
      </w:r>
      <w:proofErr w:type="spellStart"/>
      <w:r>
        <w:rPr>
          <w:rFonts w:ascii="Times New Roman" w:eastAsia="Times New Roman" w:hAnsi="Times New Roman" w:cs="Times New Roman"/>
          <w:i/>
          <w:sz w:val="24"/>
          <w:szCs w:val="24"/>
        </w:rPr>
        <w:t>Limosilactobacillusreute</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MW 367846.1, </w:t>
      </w:r>
      <w:proofErr w:type="spellStart"/>
      <w:r>
        <w:rPr>
          <w:rFonts w:ascii="Times New Roman" w:eastAsia="Times New Roman" w:hAnsi="Times New Roman" w:cs="Times New Roman"/>
          <w:i/>
          <w:sz w:val="24"/>
          <w:szCs w:val="24"/>
        </w:rPr>
        <w:t>Pediococcus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pentasaceus</w:t>
      </w:r>
      <w:proofErr w:type="spellEnd"/>
      <w:r>
        <w:rPr>
          <w:rFonts w:ascii="Times New Roman" w:eastAsia="Times New Roman" w:hAnsi="Times New Roman" w:cs="Times New Roman"/>
          <w:sz w:val="24"/>
          <w:szCs w:val="24"/>
        </w:rPr>
        <w:t xml:space="preserve"> MK611260.1, L. </w:t>
      </w:r>
      <w:proofErr w:type="spellStart"/>
      <w:r>
        <w:rPr>
          <w:rFonts w:ascii="Times New Roman" w:eastAsia="Times New Roman" w:hAnsi="Times New Roman" w:cs="Times New Roman"/>
          <w:sz w:val="24"/>
          <w:szCs w:val="24"/>
        </w:rPr>
        <w:t>Reuteri</w:t>
      </w:r>
      <w:proofErr w:type="spellEnd"/>
      <w:r>
        <w:rPr>
          <w:rFonts w:ascii="Times New Roman" w:eastAsia="Times New Roman" w:hAnsi="Times New Roman" w:cs="Times New Roman"/>
          <w:sz w:val="24"/>
          <w:szCs w:val="24"/>
        </w:rPr>
        <w:t xml:space="preserve"> KF 149014.1 and L. Johnsoni HM 772969, P. </w:t>
      </w:r>
      <w:proofErr w:type="spellStart"/>
      <w:r>
        <w:rPr>
          <w:rFonts w:ascii="Times New Roman" w:eastAsia="Times New Roman" w:hAnsi="Times New Roman" w:cs="Times New Roman"/>
          <w:sz w:val="24"/>
          <w:szCs w:val="24"/>
        </w:rPr>
        <w:t>acidilactici</w:t>
      </w:r>
      <w:proofErr w:type="spellEnd"/>
      <w:r>
        <w:rPr>
          <w:rFonts w:ascii="Times New Roman" w:eastAsia="Times New Roman" w:hAnsi="Times New Roman" w:cs="Times New Roman"/>
          <w:sz w:val="24"/>
          <w:szCs w:val="24"/>
        </w:rPr>
        <w:t xml:space="preserve"> KU837245.1 was obtained from Division of Animal Nutrition, ICAR-IVRI, </w:t>
      </w:r>
      <w:proofErr w:type="spellStart"/>
      <w:r>
        <w:rPr>
          <w:rFonts w:ascii="Times New Roman" w:eastAsia="Times New Roman" w:hAnsi="Times New Roman" w:cs="Times New Roman"/>
          <w:sz w:val="24"/>
          <w:szCs w:val="24"/>
        </w:rPr>
        <w:t>Izzatnagar</w:t>
      </w:r>
      <w:proofErr w:type="spellEnd"/>
      <w:r>
        <w:rPr>
          <w:rFonts w:ascii="Times New Roman" w:eastAsia="Times New Roman" w:hAnsi="Times New Roman" w:cs="Times New Roman"/>
          <w:sz w:val="24"/>
          <w:szCs w:val="24"/>
        </w:rPr>
        <w:t xml:space="preserve">. Formerly </w:t>
      </w:r>
      <w:proofErr w:type="spellStart"/>
      <w:r>
        <w:rPr>
          <w:rFonts w:ascii="Times New Roman" w:eastAsia="Times New Roman" w:hAnsi="Times New Roman" w:cs="Times New Roman"/>
          <w:sz w:val="24"/>
          <w:szCs w:val="24"/>
        </w:rPr>
        <w:t>isolatedabove-mentionedstrains</w:t>
      </w:r>
      <w:proofErr w:type="spellEnd"/>
      <w:r>
        <w:rPr>
          <w:rFonts w:ascii="Times New Roman" w:eastAsia="Times New Roman" w:hAnsi="Times New Roman" w:cs="Times New Roman"/>
          <w:sz w:val="24"/>
          <w:szCs w:val="24"/>
        </w:rPr>
        <w:t xml:space="preserve"> were kept in 80% glycerol (1:1 v/v) stock at -80°C. Each probiotic was revived in lactobacillus-selective broth, also known as </w:t>
      </w:r>
      <w:proofErr w:type="spellStart"/>
      <w:r>
        <w:rPr>
          <w:rFonts w:ascii="Times New Roman" w:eastAsia="Times New Roman" w:hAnsi="Times New Roman" w:cs="Times New Roman"/>
          <w:sz w:val="24"/>
          <w:szCs w:val="24"/>
        </w:rPr>
        <w:t>deManRogosa</w:t>
      </w:r>
      <w:proofErr w:type="spellEnd"/>
      <w:r>
        <w:rPr>
          <w:rFonts w:ascii="Times New Roman" w:eastAsia="Times New Roman" w:hAnsi="Times New Roman" w:cs="Times New Roman"/>
          <w:sz w:val="24"/>
          <w:szCs w:val="24"/>
        </w:rPr>
        <w:t xml:space="preserve"> and Sharpe (MRS) broth (</w:t>
      </w:r>
      <w:proofErr w:type="spellStart"/>
      <w:r>
        <w:rPr>
          <w:rFonts w:ascii="Times New Roman" w:eastAsia="Times New Roman" w:hAnsi="Times New Roman" w:cs="Times New Roman"/>
          <w:sz w:val="24"/>
          <w:szCs w:val="24"/>
        </w:rPr>
        <w:t>Himedia</w:t>
      </w:r>
      <w:proofErr w:type="spellEnd"/>
      <w:r>
        <w:rPr>
          <w:rFonts w:ascii="Times New Roman" w:eastAsia="Times New Roman" w:hAnsi="Times New Roman" w:cs="Times New Roman"/>
          <w:sz w:val="24"/>
          <w:szCs w:val="24"/>
        </w:rPr>
        <w:t>, Mumbai), and it is then cultured for 24 hours at 37°C. Three passages of the growing culture were required to obtain a colony count of 10</w:t>
      </w:r>
      <w:r>
        <w:rPr>
          <w:rFonts w:ascii="Times New Roman" w:eastAsia="Times New Roman" w:hAnsi="Times New Roman" w:cs="Times New Roman"/>
          <w:sz w:val="24"/>
          <w:szCs w:val="24"/>
          <w:vertAlign w:val="superscript"/>
        </w:rPr>
        <w:t xml:space="preserve">9 </w:t>
      </w:r>
      <w:r>
        <w:rPr>
          <w:rFonts w:ascii="Times New Roman" w:eastAsia="Times New Roman" w:hAnsi="Times New Roman" w:cs="Times New Roman"/>
          <w:sz w:val="24"/>
          <w:szCs w:val="24"/>
        </w:rPr>
        <w:t xml:space="preserve">CFU/ml of bacteria. One </w:t>
      </w:r>
      <w:proofErr w:type="spellStart"/>
      <w:r>
        <w:rPr>
          <w:rFonts w:ascii="Times New Roman" w:eastAsia="Times New Roman" w:hAnsi="Times New Roman" w:cs="Times New Roman"/>
          <w:sz w:val="24"/>
          <w:szCs w:val="24"/>
        </w:rPr>
        <w:t>milliliter</w:t>
      </w:r>
      <w:proofErr w:type="spellEnd"/>
      <w:r>
        <w:rPr>
          <w:rFonts w:ascii="Times New Roman" w:eastAsia="Times New Roman" w:hAnsi="Times New Roman" w:cs="Times New Roman"/>
          <w:sz w:val="24"/>
          <w:szCs w:val="24"/>
        </w:rPr>
        <w:t xml:space="preserve"> of the culture was diluted nine times in NSS (0.9%), dilution </w:t>
      </w:r>
      <w:r>
        <w:rPr>
          <w:rFonts w:ascii="Times New Roman" w:eastAsia="Times New Roman" w:hAnsi="Times New Roman" w:cs="Times New Roman"/>
          <w:sz w:val="24"/>
          <w:szCs w:val="24"/>
        </w:rPr>
        <w:lastRenderedPageBreak/>
        <w:t>after dilution until it reached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 CFU. One </w:t>
      </w:r>
      <w:proofErr w:type="spellStart"/>
      <w:r>
        <w:rPr>
          <w:rFonts w:ascii="Times New Roman" w:eastAsia="Times New Roman" w:hAnsi="Times New Roman" w:cs="Times New Roman"/>
          <w:sz w:val="24"/>
          <w:szCs w:val="24"/>
        </w:rPr>
        <w:t>milliliter</w:t>
      </w:r>
      <w:proofErr w:type="spellEnd"/>
      <w:r>
        <w:rPr>
          <w:rFonts w:ascii="Times New Roman" w:eastAsia="Times New Roman" w:hAnsi="Times New Roman" w:cs="Times New Roman"/>
          <w:sz w:val="24"/>
          <w:szCs w:val="24"/>
        </w:rPr>
        <w:t xml:space="preserve"> of the diluted culture was then added to sterile Petri-plates containing twenty </w:t>
      </w:r>
      <w:proofErr w:type="spellStart"/>
      <w:r>
        <w:rPr>
          <w:rFonts w:ascii="Times New Roman" w:eastAsia="Times New Roman" w:hAnsi="Times New Roman" w:cs="Times New Roman"/>
          <w:sz w:val="24"/>
          <w:szCs w:val="24"/>
        </w:rPr>
        <w:t>milliliters</w:t>
      </w:r>
      <w:proofErr w:type="spellEnd"/>
      <w:r>
        <w:rPr>
          <w:rFonts w:ascii="Times New Roman" w:eastAsia="Times New Roman" w:hAnsi="Times New Roman" w:cs="Times New Roman"/>
          <w:sz w:val="24"/>
          <w:szCs w:val="24"/>
        </w:rPr>
        <w:t xml:space="preserve"> of melted MRS agar, gently mixed, and incubated for twenty-four hours at 37°C</w:t>
      </w:r>
      <w:r w:rsidR="0044233E">
        <w:rPr>
          <w:rFonts w:ascii="Times New Roman" w:eastAsia="Times New Roman" w:hAnsi="Times New Roman" w:cs="Times New Roman"/>
          <w:sz w:val="24"/>
          <w:szCs w:val="24"/>
        </w:rPr>
        <w:t xml:space="preserve"> </w:t>
      </w:r>
      <w:r w:rsidR="0044233E" w:rsidRPr="0044233E">
        <w:rPr>
          <w:rFonts w:ascii="Times New Roman" w:eastAsia="Times New Roman" w:hAnsi="Times New Roman" w:cs="Times New Roman"/>
          <w:sz w:val="24"/>
          <w:szCs w:val="24"/>
          <w:highlight w:val="yellow"/>
        </w:rPr>
        <w:t>(</w:t>
      </w:r>
      <w:proofErr w:type="spellStart"/>
      <w:r w:rsidR="0044233E" w:rsidRPr="0044233E">
        <w:rPr>
          <w:rFonts w:ascii="Times New Roman" w:hAnsi="Times New Roman" w:cs="Times New Roman"/>
          <w:sz w:val="24"/>
          <w:szCs w:val="24"/>
          <w:highlight w:val="yellow"/>
        </w:rPr>
        <w:t>Dowarah</w:t>
      </w:r>
      <w:proofErr w:type="spellEnd"/>
      <w:r w:rsidR="0044233E" w:rsidRPr="0044233E">
        <w:rPr>
          <w:rFonts w:ascii="Times New Roman" w:hAnsi="Times New Roman" w:cs="Times New Roman"/>
          <w:sz w:val="24"/>
          <w:szCs w:val="24"/>
          <w:highlight w:val="yellow"/>
        </w:rPr>
        <w:t xml:space="preserve"> </w:t>
      </w:r>
      <w:r w:rsidR="0044233E" w:rsidRPr="0044233E">
        <w:rPr>
          <w:rFonts w:ascii="Times New Roman" w:hAnsi="Times New Roman" w:cs="Times New Roman"/>
          <w:i/>
          <w:iCs/>
          <w:sz w:val="24"/>
          <w:szCs w:val="24"/>
          <w:highlight w:val="yellow"/>
        </w:rPr>
        <w:t>et al.,</w:t>
      </w:r>
      <w:r w:rsidR="0044233E" w:rsidRPr="0044233E">
        <w:rPr>
          <w:rFonts w:ascii="Times New Roman" w:hAnsi="Times New Roman" w:cs="Times New Roman"/>
          <w:sz w:val="24"/>
          <w:szCs w:val="24"/>
          <w:highlight w:val="yellow"/>
        </w:rPr>
        <w:t xml:space="preserve"> 2018)</w:t>
      </w:r>
      <w:r w:rsidRPr="0044233E">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Cross streaking was done to check synergistic activity of all strains on MRS agar (Fig 1). Multi-minerals (MM) in injectable form (</w:t>
      </w:r>
      <w:proofErr w:type="spellStart"/>
      <w:r>
        <w:rPr>
          <w:rFonts w:ascii="Times New Roman" w:eastAsia="Times New Roman" w:hAnsi="Times New Roman" w:cs="Times New Roman"/>
          <w:sz w:val="24"/>
          <w:szCs w:val="24"/>
        </w:rPr>
        <w:t>Stimvet</w:t>
      </w:r>
      <w:proofErr w:type="spellEnd"/>
      <w:r>
        <w:rPr>
          <w:rFonts w:ascii="Times New Roman" w:eastAsia="Times New Roman" w:hAnsi="Times New Roman" w:cs="Times New Roman"/>
          <w:sz w:val="24"/>
          <w:szCs w:val="24"/>
        </w:rPr>
        <w:t xml:space="preserve">™, Zinc 40 mg/ml, manganese 10 mg/ml, copper 15 mg/ml, selenium 5mg/ml) was procured from </w:t>
      </w:r>
      <w:proofErr w:type="spellStart"/>
      <w:r>
        <w:rPr>
          <w:rFonts w:ascii="Times New Roman" w:eastAsia="Times New Roman" w:hAnsi="Times New Roman" w:cs="Times New Roman"/>
          <w:sz w:val="24"/>
          <w:szCs w:val="24"/>
        </w:rPr>
        <w:t>Wellcon</w:t>
      </w:r>
      <w:proofErr w:type="spellEnd"/>
      <w:r>
        <w:rPr>
          <w:rFonts w:ascii="Times New Roman" w:eastAsia="Times New Roman" w:hAnsi="Times New Roman" w:cs="Times New Roman"/>
          <w:sz w:val="24"/>
          <w:szCs w:val="24"/>
        </w:rPr>
        <w:t xml:space="preserve"> Animal Health Private Limited, Agra, Uttar Pradesh. </w:t>
      </w:r>
    </w:p>
    <w:p w14:paraId="5A541651" w14:textId="77777777" w:rsidR="003F6B58" w:rsidRDefault="00460C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CFBF19" wp14:editId="01FA41C9">
            <wp:extent cx="1800225" cy="1781175"/>
            <wp:effectExtent l="0" t="0" r="9525" b="9525"/>
            <wp:docPr id="3" name="image1.png" descr="F:\MVSc research work\MVSc research images\IMG_20240321_131315.jpg"/>
            <wp:cNvGraphicFramePr/>
            <a:graphic xmlns:a="http://schemas.openxmlformats.org/drawingml/2006/main">
              <a:graphicData uri="http://schemas.openxmlformats.org/drawingml/2006/picture">
                <pic:pic xmlns:pic="http://schemas.openxmlformats.org/drawingml/2006/picture">
                  <pic:nvPicPr>
                    <pic:cNvPr id="0" name="image1.png" descr="F:\MVSc research work\MVSc research images\IMG_20240321_131315.jpg"/>
                    <pic:cNvPicPr preferRelativeResize="0"/>
                  </pic:nvPicPr>
                  <pic:blipFill>
                    <a:blip r:embed="rId7"/>
                    <a:srcRect t="21305" r="10021" b="11225"/>
                    <a:stretch>
                      <a:fillRect/>
                    </a:stretch>
                  </pic:blipFill>
                  <pic:spPr>
                    <a:xfrm>
                      <a:off x="0" y="0"/>
                      <a:ext cx="1800444" cy="1781392"/>
                    </a:xfrm>
                    <a:prstGeom prst="rect">
                      <a:avLst/>
                    </a:prstGeom>
                    <a:ln/>
                  </pic:spPr>
                </pic:pic>
              </a:graphicData>
            </a:graphic>
          </wp:inline>
        </w:drawing>
      </w:r>
    </w:p>
    <w:p w14:paraId="66E914D0" w14:textId="77777777" w:rsidR="003F6B58" w:rsidRDefault="00460C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 Cross streaking of all strains on MRS agar</w:t>
      </w:r>
    </w:p>
    <w:p w14:paraId="16D06547" w14:textId="77777777" w:rsidR="003F6B58" w:rsidRDefault="00460C8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Animals, experimental design and interventions </w:t>
      </w:r>
    </w:p>
    <w:p w14:paraId="3AE90043" w14:textId="11BBFADA" w:rsidR="00023480" w:rsidRPr="00023480" w:rsidRDefault="00460C86" w:rsidP="00023480">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present study was carried out in the Swine Production Farm (SPF) of the ICAR-Indian Veterinary Research Institute, </w:t>
      </w:r>
      <w:proofErr w:type="spellStart"/>
      <w:r>
        <w:rPr>
          <w:rFonts w:ascii="Times New Roman" w:eastAsia="Times New Roman" w:hAnsi="Times New Roman" w:cs="Times New Roman"/>
          <w:sz w:val="24"/>
          <w:szCs w:val="24"/>
        </w:rPr>
        <w:t>Izzatnagar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Bareilly.The</w:t>
      </w:r>
      <w:proofErr w:type="spellEnd"/>
      <w:r>
        <w:rPr>
          <w:rFonts w:ascii="Times New Roman" w:eastAsia="Times New Roman" w:hAnsi="Times New Roman" w:cs="Times New Roman"/>
          <w:sz w:val="24"/>
          <w:szCs w:val="24"/>
        </w:rPr>
        <w:t xml:space="preserve"> protocol of experiment was approved by Institute Animal Ethics Committee of ICAR-IVRI (approval no IAEC/L3). In the current investigation, eight sows with an average weight of 227.375±33.576 (SD) kg and ranging from first to third parity were enrolled and randomly divided into four groups (Control, MM, MSP and MM+MSP) equally (Fig 2). </w:t>
      </w:r>
      <w:r w:rsidR="00023480" w:rsidRPr="00E53C47">
        <w:rPr>
          <w:rFonts w:ascii="Times New Roman" w:eastAsia="Times New Roman" w:hAnsi="Times New Roman" w:cs="Times New Roman"/>
          <w:sz w:val="24"/>
          <w:szCs w:val="24"/>
          <w:highlight w:val="yellow"/>
          <w:lang w:val="en-US"/>
        </w:rPr>
        <w:t xml:space="preserve">Each sow was confined in its own farrowing pen. A typical herd health program included routine preventative and therapeutic procedures such as treating clinical cases, supplementing with vitamins, </w:t>
      </w:r>
      <w:r w:rsidR="000327A8" w:rsidRPr="00E53C47">
        <w:rPr>
          <w:rFonts w:ascii="Times New Roman" w:eastAsia="Times New Roman" w:hAnsi="Times New Roman" w:cs="Times New Roman"/>
          <w:sz w:val="24"/>
          <w:szCs w:val="24"/>
          <w:highlight w:val="yellow"/>
          <w:lang w:val="en-US"/>
        </w:rPr>
        <w:t>immunizations</w:t>
      </w:r>
      <w:r w:rsidR="00023480" w:rsidRPr="00E53C47">
        <w:rPr>
          <w:rFonts w:ascii="Times New Roman" w:eastAsia="Times New Roman" w:hAnsi="Times New Roman" w:cs="Times New Roman"/>
          <w:sz w:val="24"/>
          <w:szCs w:val="24"/>
          <w:highlight w:val="yellow"/>
          <w:lang w:val="en-US"/>
        </w:rPr>
        <w:t xml:space="preserve"> against foot-and-mouth disease and classical swine fever, and frequent deworming. There were no other swine farms within 2.0 km of the herd. All of the animals were </w:t>
      </w:r>
      <w:r w:rsidR="000327A8" w:rsidRPr="00E53C47">
        <w:rPr>
          <w:rFonts w:ascii="Times New Roman" w:eastAsia="Times New Roman" w:hAnsi="Times New Roman" w:cs="Times New Roman"/>
          <w:sz w:val="24"/>
          <w:szCs w:val="24"/>
          <w:highlight w:val="yellow"/>
          <w:lang w:val="en-US"/>
        </w:rPr>
        <w:t>fed</w:t>
      </w:r>
      <w:r w:rsidR="00023480" w:rsidRPr="00E53C47">
        <w:rPr>
          <w:rFonts w:ascii="Times New Roman" w:eastAsia="Times New Roman" w:hAnsi="Times New Roman" w:cs="Times New Roman"/>
          <w:sz w:val="24"/>
          <w:szCs w:val="24"/>
          <w:highlight w:val="yellow"/>
          <w:lang w:val="en-US"/>
        </w:rPr>
        <w:t xml:space="preserve"> in accordance with industry norms.</w:t>
      </w:r>
    </w:p>
    <w:p w14:paraId="53CA15FB" w14:textId="77777777" w:rsidR="003F6B58" w:rsidRDefault="003F6B58">
      <w:pPr>
        <w:spacing w:line="240" w:lineRule="auto"/>
        <w:jc w:val="both"/>
        <w:rPr>
          <w:rFonts w:ascii="Times New Roman" w:eastAsia="Times New Roman" w:hAnsi="Times New Roman" w:cs="Times New Roman"/>
          <w:sz w:val="24"/>
          <w:szCs w:val="24"/>
        </w:rPr>
      </w:pPr>
    </w:p>
    <w:p w14:paraId="0ABA1913" w14:textId="77777777" w:rsidR="003F6B58" w:rsidRDefault="00460C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92ED1" wp14:editId="6FB8B4C2">
            <wp:extent cx="4305300" cy="1971675"/>
            <wp:effectExtent l="0" t="0" r="0" b="9525"/>
            <wp:docPr id="5" name="image3.png" descr="F:\MVSc research work\MVSc research images\IMG_20240226_110414.jpg"/>
            <wp:cNvGraphicFramePr/>
            <a:graphic xmlns:a="http://schemas.openxmlformats.org/drawingml/2006/main">
              <a:graphicData uri="http://schemas.openxmlformats.org/drawingml/2006/picture">
                <pic:pic xmlns:pic="http://schemas.openxmlformats.org/drawingml/2006/picture">
                  <pic:nvPicPr>
                    <pic:cNvPr id="0" name="image3.png" descr="F:\MVSc research work\MVSc research images\IMG_20240226_110414.jpg"/>
                    <pic:cNvPicPr preferRelativeResize="0"/>
                  </pic:nvPicPr>
                  <pic:blipFill>
                    <a:blip r:embed="rId8"/>
                    <a:srcRect l="-638" t="37473" r="1"/>
                    <a:stretch>
                      <a:fillRect/>
                    </a:stretch>
                  </pic:blipFill>
                  <pic:spPr>
                    <a:xfrm>
                      <a:off x="0" y="0"/>
                      <a:ext cx="4306030" cy="1972009"/>
                    </a:xfrm>
                    <a:prstGeom prst="rect">
                      <a:avLst/>
                    </a:prstGeom>
                    <a:ln/>
                  </pic:spPr>
                </pic:pic>
              </a:graphicData>
            </a:graphic>
          </wp:inline>
        </w:drawing>
      </w:r>
    </w:p>
    <w:p w14:paraId="2060AE0B" w14:textId="77777777" w:rsidR="003F6B58" w:rsidRDefault="00460C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2: Apparently healthy piglets used for the experiment.</w:t>
      </w:r>
    </w:p>
    <w:p w14:paraId="3801A20E" w14:textId="51E9BC0D"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control group, 17 piglets born from two sows received 1.0 mL of sterile normal saline (NSS) orally daily for seven days after birth whereas 22 piglets born from two sows in group MM were given 0.3 mL of multi</w:t>
      </w:r>
      <w:r w:rsidR="00496C47">
        <w:rPr>
          <w:rFonts w:ascii="Times New Roman" w:eastAsia="Times New Roman" w:hAnsi="Times New Roman" w:cs="Times New Roman"/>
          <w:sz w:val="24"/>
          <w:szCs w:val="24"/>
        </w:rPr>
        <w:t>-</w:t>
      </w:r>
      <w:r>
        <w:rPr>
          <w:rFonts w:ascii="Times New Roman" w:eastAsia="Times New Roman" w:hAnsi="Times New Roman" w:cs="Times New Roman"/>
          <w:sz w:val="24"/>
          <w:szCs w:val="24"/>
        </w:rPr>
        <w:t>mineral (MM) injection (Zinc 40 mg/ml, manganese 10 mg/ ml, copper 15 mg/ml, selenium 5mg/ml) through intramuscular (IM) route</w:t>
      </w:r>
      <w:r w:rsidR="00E47EE1">
        <w:rPr>
          <w:rFonts w:ascii="Times New Roman" w:eastAsia="Times New Roman" w:hAnsi="Times New Roman" w:cs="Times New Roman"/>
          <w:sz w:val="24"/>
          <w:szCs w:val="24"/>
        </w:rPr>
        <w:t xml:space="preserve"> once a day</w:t>
      </w:r>
      <w:r>
        <w:rPr>
          <w:rFonts w:ascii="Times New Roman" w:eastAsia="Times New Roman" w:hAnsi="Times New Roman" w:cs="Times New Roman"/>
          <w:sz w:val="24"/>
          <w:szCs w:val="24"/>
        </w:rPr>
        <w:t xml:space="preserve"> on days 0 and 7 of birth (Fig 3); and fifteen piglets borne from two sows in MSP group received multi-</w:t>
      </w:r>
      <w:r>
        <w:rPr>
          <w:rFonts w:ascii="Times New Roman" w:eastAsia="Times New Roman" w:hAnsi="Times New Roman" w:cs="Times New Roman"/>
          <w:sz w:val="24"/>
          <w:szCs w:val="24"/>
        </w:rPr>
        <w:lastRenderedPageBreak/>
        <w:t>strain probiotics in ratio 1:1:1:1:1 at a dose rate of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colony forming unit (CFU) /piglet for 7 days from birth</w:t>
      </w:r>
      <w:r w:rsidR="00D51AA9">
        <w:rPr>
          <w:rFonts w:ascii="Times New Roman" w:eastAsia="Times New Roman" w:hAnsi="Times New Roman" w:cs="Times New Roman"/>
          <w:sz w:val="24"/>
          <w:szCs w:val="24"/>
        </w:rPr>
        <w:t xml:space="preserve"> </w:t>
      </w:r>
      <w:r w:rsidR="00D51AA9" w:rsidRPr="0044233E">
        <w:rPr>
          <w:rFonts w:ascii="Times New Roman" w:eastAsia="Times New Roman" w:hAnsi="Times New Roman" w:cs="Times New Roman"/>
          <w:sz w:val="24"/>
          <w:szCs w:val="24"/>
          <w:highlight w:val="yellow"/>
        </w:rPr>
        <w:t>(</w:t>
      </w:r>
      <w:proofErr w:type="spellStart"/>
      <w:r w:rsidR="00D51AA9" w:rsidRPr="0044233E">
        <w:rPr>
          <w:rFonts w:ascii="Times New Roman" w:hAnsi="Times New Roman" w:cs="Times New Roman"/>
          <w:sz w:val="24"/>
          <w:szCs w:val="24"/>
          <w:highlight w:val="yellow"/>
        </w:rPr>
        <w:t>Dowarah</w:t>
      </w:r>
      <w:proofErr w:type="spellEnd"/>
      <w:r w:rsidR="00D51AA9" w:rsidRPr="0044233E">
        <w:rPr>
          <w:rFonts w:ascii="Times New Roman" w:hAnsi="Times New Roman" w:cs="Times New Roman"/>
          <w:sz w:val="24"/>
          <w:szCs w:val="24"/>
          <w:highlight w:val="yellow"/>
        </w:rPr>
        <w:t xml:space="preserve"> </w:t>
      </w:r>
      <w:r w:rsidR="00D51AA9" w:rsidRPr="0044233E">
        <w:rPr>
          <w:rFonts w:ascii="Times New Roman" w:hAnsi="Times New Roman" w:cs="Times New Roman"/>
          <w:i/>
          <w:iCs/>
          <w:sz w:val="24"/>
          <w:szCs w:val="24"/>
          <w:highlight w:val="yellow"/>
        </w:rPr>
        <w:t>et al.,</w:t>
      </w:r>
      <w:r w:rsidR="00D51AA9" w:rsidRPr="0044233E">
        <w:rPr>
          <w:rFonts w:ascii="Times New Roman" w:hAnsi="Times New Roman" w:cs="Times New Roman"/>
          <w:sz w:val="24"/>
          <w:szCs w:val="24"/>
          <w:highlight w:val="yellow"/>
        </w:rPr>
        <w:t xml:space="preserve"> 2018)</w:t>
      </w:r>
      <w:r w:rsidR="00D51AA9" w:rsidRPr="0044233E">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In the MM+MSP group, twenty-three piglets born from two sows, received an oral dosage of MSP at the dose rate of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CFU per piglet once a day, along with 0.3 mL of MM injection IM on day 0 and day 7 and MSP for first day 7 of birth. </w:t>
      </w:r>
    </w:p>
    <w:p w14:paraId="31B2C68F" w14:textId="77777777" w:rsidR="003F6B58" w:rsidRDefault="003F6B58">
      <w:pPr>
        <w:spacing w:line="240" w:lineRule="auto"/>
        <w:ind w:left="720" w:hanging="720"/>
        <w:jc w:val="both"/>
        <w:rPr>
          <w:rFonts w:ascii="Times New Roman" w:eastAsia="Times New Roman" w:hAnsi="Times New Roman" w:cs="Times New Roman"/>
          <w:color w:val="000000"/>
          <w:sz w:val="24"/>
          <w:szCs w:val="24"/>
        </w:rPr>
      </w:pPr>
    </w:p>
    <w:p w14:paraId="32781CC3" w14:textId="77777777" w:rsidR="003F6B58" w:rsidRDefault="00460C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A3D1D3" wp14:editId="6FB58628">
            <wp:extent cx="3143882" cy="189000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43882" cy="1890006"/>
                    </a:xfrm>
                    <a:prstGeom prst="rect">
                      <a:avLst/>
                    </a:prstGeom>
                    <a:ln/>
                  </pic:spPr>
                </pic:pic>
              </a:graphicData>
            </a:graphic>
          </wp:inline>
        </w:drawing>
      </w:r>
    </w:p>
    <w:p w14:paraId="44F44340" w14:textId="724F3B4C" w:rsidR="003F6B58" w:rsidRDefault="00460C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3: Administration of multi</w:t>
      </w:r>
      <w:r w:rsidR="00496C47">
        <w:rPr>
          <w:rFonts w:ascii="Times New Roman" w:eastAsia="Times New Roman" w:hAnsi="Times New Roman" w:cs="Times New Roman"/>
          <w:sz w:val="24"/>
          <w:szCs w:val="24"/>
        </w:rPr>
        <w:t>-</w:t>
      </w:r>
      <w:r>
        <w:rPr>
          <w:rFonts w:ascii="Times New Roman" w:eastAsia="Times New Roman" w:hAnsi="Times New Roman" w:cs="Times New Roman"/>
          <w:sz w:val="24"/>
          <w:szCs w:val="24"/>
        </w:rPr>
        <w:t>mineral injections to the piglets.</w:t>
      </w:r>
    </w:p>
    <w:p w14:paraId="69C4C2FE" w14:textId="77777777" w:rsidR="003F6B58" w:rsidRDefault="003F6B58">
      <w:pPr>
        <w:spacing w:line="240" w:lineRule="auto"/>
        <w:jc w:val="both"/>
        <w:rPr>
          <w:rFonts w:ascii="Times New Roman" w:eastAsia="Times New Roman" w:hAnsi="Times New Roman" w:cs="Times New Roman"/>
          <w:sz w:val="24"/>
          <w:szCs w:val="24"/>
        </w:rPr>
      </w:pPr>
    </w:p>
    <w:p w14:paraId="3C7974D2" w14:textId="77777777" w:rsidR="003F6B58" w:rsidRDefault="00460C8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Collection of blood sample</w:t>
      </w:r>
    </w:p>
    <w:p w14:paraId="1A83815F" w14:textId="41531D76" w:rsidR="003F6B58" w:rsidRDefault="00460C8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Approximately 2.0 mL of blood was collected in clot activator vacutainer for serum collection from anterior vena cava of piglet before initiation of supplementation (day 0) and thereafter on day 7, 14 and 21 days of the birth. Serum was collected for </w:t>
      </w:r>
      <w:r w:rsidR="00F618EB" w:rsidRPr="00F618EB">
        <w:rPr>
          <w:rFonts w:ascii="Times New Roman" w:eastAsia="Times New Roman" w:hAnsi="Times New Roman" w:cs="Times New Roman"/>
          <w:sz w:val="24"/>
          <w:szCs w:val="24"/>
          <w:highlight w:val="yellow"/>
        </w:rPr>
        <w:t>estimation of zinc and iron concentration</w:t>
      </w:r>
      <w:r w:rsidR="009F595E">
        <w:rPr>
          <w:rFonts w:ascii="Times New Roman" w:eastAsia="Times New Roman" w:hAnsi="Times New Roman" w:cs="Times New Roman"/>
          <w:sz w:val="24"/>
          <w:szCs w:val="24"/>
          <w:highlight w:val="yellow"/>
        </w:rPr>
        <w:t xml:space="preserve"> (Nair </w:t>
      </w:r>
      <w:r w:rsidR="009F595E" w:rsidRPr="009F595E">
        <w:rPr>
          <w:rFonts w:ascii="Times New Roman" w:eastAsia="Times New Roman" w:hAnsi="Times New Roman" w:cs="Times New Roman"/>
          <w:i/>
          <w:iCs/>
          <w:sz w:val="24"/>
          <w:szCs w:val="24"/>
          <w:highlight w:val="yellow"/>
        </w:rPr>
        <w:t>et al.,</w:t>
      </w:r>
      <w:r w:rsidR="009F595E">
        <w:rPr>
          <w:rFonts w:ascii="Times New Roman" w:eastAsia="Times New Roman" w:hAnsi="Times New Roman" w:cs="Times New Roman"/>
          <w:sz w:val="24"/>
          <w:szCs w:val="24"/>
          <w:highlight w:val="yellow"/>
        </w:rPr>
        <w:t xml:space="preserve"> 2025)</w:t>
      </w:r>
      <w:r w:rsidRPr="00F618EB">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p w14:paraId="4206CE43" w14:textId="77777777" w:rsidR="003F6B58" w:rsidRDefault="00460C8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Measurement of iron (Fe) and zinc (Zn) concentrations in serum</w:t>
      </w:r>
    </w:p>
    <w:p w14:paraId="1A23B563" w14:textId="77777777"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spectrophotometer thermo-technique was used to measure the amounts of Zn and Fe in serum using commercially available kits for Zn and Fe (zinc kit and iron &amp; TIBC kit, Coral Clinical Systems ltd. Uttarakhand, India), respectively. Zn and Fe concentrations were quantified as mg/dL and </w:t>
      </w:r>
      <w:proofErr w:type="spellStart"/>
      <w:r>
        <w:rPr>
          <w:rFonts w:ascii="Times New Roman" w:eastAsia="Times New Roman" w:hAnsi="Times New Roman" w:cs="Times New Roman"/>
          <w:sz w:val="24"/>
          <w:szCs w:val="24"/>
        </w:rPr>
        <w:t>ìg</w:t>
      </w:r>
      <w:proofErr w:type="spellEnd"/>
      <w:r>
        <w:rPr>
          <w:rFonts w:ascii="Times New Roman" w:eastAsia="Times New Roman" w:hAnsi="Times New Roman" w:cs="Times New Roman"/>
          <w:sz w:val="24"/>
          <w:szCs w:val="24"/>
        </w:rPr>
        <w:t>/dL, respectively.</w:t>
      </w:r>
    </w:p>
    <w:p w14:paraId="66F250A8" w14:textId="77777777" w:rsidR="003F6B58" w:rsidRDefault="00460C86">
      <w:pPr>
        <w:numPr>
          <w:ilvl w:val="1"/>
          <w:numId w:val="1"/>
        </w:numPr>
        <w:pBdr>
          <w:top w:val="nil"/>
          <w:left w:val="nil"/>
          <w:bottom w:val="nil"/>
          <w:right w:val="nil"/>
          <w:between w:val="nil"/>
        </w:pBdr>
        <w:spacing w:line="240" w:lineRule="auto"/>
        <w:ind w:left="450" w:hanging="4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Statistical analysis</w:t>
      </w:r>
    </w:p>
    <w:p w14:paraId="790D37FC" w14:textId="77777777"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data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using GraphPad Prism 6 Statistics Guide. The repeated measures ANOVA were applied. The multiple comparisons between groups, days and the interaction effects were done by using Turkey HSD test. The results were presented as the mean ± the standard error of the mean (SEM). </w:t>
      </w:r>
    </w:p>
    <w:p w14:paraId="0B29C186" w14:textId="77777777" w:rsidR="003F6B58" w:rsidRDefault="00460C86">
      <w:pPr>
        <w:numPr>
          <w:ilvl w:val="0"/>
          <w:numId w:val="1"/>
        </w:numPr>
        <w:pBdr>
          <w:top w:val="nil"/>
          <w:left w:val="nil"/>
          <w:bottom w:val="nil"/>
          <w:right w:val="nil"/>
          <w:between w:val="nil"/>
        </w:pBdr>
        <w:spacing w:line="24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w:t>
      </w:r>
    </w:p>
    <w:p w14:paraId="5BF1F8A3" w14:textId="77777777"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Zn and Fe concentrations were markedly higher in MM group as compare to control, MSP and MM+ MSP groups on day 0. No significant difference of Fe level was seen in control group in day 7 (p=0.996), day 14 (p=0.854) and day 21(p=0.999) from day 0 whereas there was significant decrease of Zn value on day 14 (p=0.006) and 21(p=0.001) in the control group. In MM group, the mean Zn concentration on day 14 (p=0.001) and 21 (p=0.013) and the mean Fe value on day 21 (p=0.028) as were significantly lower as compared to day 0. The mean Fe concentration on day 7 (p=&lt;0.001) and the mean Zn concentration on day 7(p=0.012) and day 21(p=0.044) were significantly higher as compared to day 0 in MSP group. In MM+ MSP group, mean Fe concentration on day 14 (p=0.026) and 21 (p=0.015) and the mean Zn value on day 14 (p=0.003) were significantly lower as compared to day 0 and day 7. Here, the </w:t>
      </w:r>
      <w:r>
        <w:rPr>
          <w:rFonts w:ascii="Times New Roman" w:eastAsia="Times New Roman" w:hAnsi="Times New Roman" w:cs="Times New Roman"/>
          <w:sz w:val="24"/>
          <w:szCs w:val="24"/>
        </w:rPr>
        <w:lastRenderedPageBreak/>
        <w:t xml:space="preserve">interaction between supplementations and days was significant for Zn (p &lt;0.001) and Fe (p &lt;0.001) (Fig 4 and Fig 5). </w:t>
      </w:r>
    </w:p>
    <w:p w14:paraId="6CDC5F93" w14:textId="77777777" w:rsidR="003F6B58" w:rsidRDefault="003F6B58">
      <w:pPr>
        <w:spacing w:line="240" w:lineRule="auto"/>
        <w:jc w:val="center"/>
        <w:rPr>
          <w:rFonts w:ascii="Times New Roman" w:eastAsia="Times New Roman" w:hAnsi="Times New Roman" w:cs="Times New Roman"/>
          <w:sz w:val="24"/>
          <w:szCs w:val="24"/>
        </w:rPr>
      </w:pPr>
    </w:p>
    <w:p w14:paraId="5D4B8CDA" w14:textId="5858C130" w:rsidR="003F6B58" w:rsidRDefault="00C23915">
      <w:pPr>
        <w:spacing w:line="240" w:lineRule="auto"/>
        <w:jc w:val="center"/>
        <w:rPr>
          <w:rFonts w:ascii="Times New Roman" w:eastAsia="Times New Roman" w:hAnsi="Times New Roman" w:cs="Times New Roman"/>
          <w:sz w:val="24"/>
          <w:szCs w:val="24"/>
        </w:rPr>
      </w:pPr>
      <w:r>
        <w:rPr>
          <w:noProof/>
        </w:rPr>
        <w:drawing>
          <wp:inline distT="0" distB="0" distL="0" distR="0" wp14:anchorId="79F9B67D" wp14:editId="7BDACC6C">
            <wp:extent cx="4628303" cy="3009900"/>
            <wp:effectExtent l="0" t="0" r="1270" b="0"/>
            <wp:docPr id="6" name="Chart 6">
              <a:extLst xmlns:a="http://schemas.openxmlformats.org/drawingml/2006/main">
                <a:ext uri="{FF2B5EF4-FFF2-40B4-BE49-F238E27FC236}">
                  <a16:creationId xmlns:a16="http://schemas.microsoft.com/office/drawing/2014/main" id="{8376DCDF-D0D5-2125-11A1-79C7ECEF3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676A2D" w14:textId="677E49A0" w:rsidR="003F6B58" w:rsidRDefault="00460C86">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4. Changes of concentration of Iron (µg/dL) from day 0 to 21 of birth in control, multi</w:t>
      </w:r>
      <w:r w:rsidR="00496C47">
        <w:rPr>
          <w:rFonts w:ascii="Times New Roman" w:eastAsia="Times New Roman" w:hAnsi="Times New Roman" w:cs="Times New Roman"/>
          <w:sz w:val="24"/>
          <w:szCs w:val="24"/>
        </w:rPr>
        <w:t>-</w:t>
      </w:r>
      <w:r>
        <w:rPr>
          <w:rFonts w:ascii="Times New Roman" w:eastAsia="Times New Roman" w:hAnsi="Times New Roman" w:cs="Times New Roman"/>
          <w:sz w:val="24"/>
          <w:szCs w:val="24"/>
        </w:rPr>
        <w:t>mineral (MM), multi strain probiotic (MSP) and MM+MSP groups</w:t>
      </w:r>
    </w:p>
    <w:p w14:paraId="72DB7BF4" w14:textId="77777777" w:rsidR="00134BD9" w:rsidRDefault="00134BD9">
      <w:pPr>
        <w:spacing w:line="240" w:lineRule="auto"/>
        <w:ind w:right="-964"/>
        <w:jc w:val="both"/>
        <w:rPr>
          <w:rFonts w:ascii="Times New Roman" w:eastAsia="Times New Roman" w:hAnsi="Times New Roman" w:cs="Times New Roman"/>
          <w:sz w:val="24"/>
          <w:szCs w:val="24"/>
        </w:rPr>
      </w:pPr>
    </w:p>
    <w:p w14:paraId="22CA6184" w14:textId="21687C82" w:rsidR="003F6B58" w:rsidRDefault="00134BD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5C987A4A" wp14:editId="1F179A11">
            <wp:extent cx="4848225" cy="2962275"/>
            <wp:effectExtent l="0" t="0" r="9525" b="9525"/>
            <wp:docPr id="7" name="Chart 7">
              <a:extLst xmlns:a="http://schemas.openxmlformats.org/drawingml/2006/main">
                <a:ext uri="{FF2B5EF4-FFF2-40B4-BE49-F238E27FC236}">
                  <a16:creationId xmlns:a16="http://schemas.microsoft.com/office/drawing/2014/main" id="{E2B704E5-F1AE-F0BC-A289-069920A46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0BC936" w14:textId="532E21F3" w:rsidR="003F6B58" w:rsidRDefault="00460C86">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5. Changes of concentration of Zinc (µg/dL) from day 0 to 21 of birth in control, multi</w:t>
      </w:r>
      <w:r w:rsidR="00496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mineral </w:t>
      </w:r>
    </w:p>
    <w:p w14:paraId="643308A9" w14:textId="77777777" w:rsidR="003F6B58" w:rsidRDefault="00460C86">
      <w:pPr>
        <w:spacing w:line="240" w:lineRule="auto"/>
        <w:ind w:right="-9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 multi strain probiotic (MSP) and MM+MSP groups</w:t>
      </w:r>
    </w:p>
    <w:p w14:paraId="14E038C1" w14:textId="77777777" w:rsidR="003F6B58" w:rsidRDefault="003F6B58">
      <w:pPr>
        <w:spacing w:line="240" w:lineRule="auto"/>
        <w:jc w:val="both"/>
        <w:rPr>
          <w:rFonts w:ascii="Times New Roman" w:eastAsia="Times New Roman" w:hAnsi="Times New Roman" w:cs="Times New Roman"/>
          <w:sz w:val="24"/>
          <w:szCs w:val="24"/>
        </w:rPr>
      </w:pPr>
    </w:p>
    <w:p w14:paraId="78EDF32A" w14:textId="77777777" w:rsidR="003F6B58" w:rsidRDefault="00460C86">
      <w:pPr>
        <w:numPr>
          <w:ilvl w:val="0"/>
          <w:numId w:val="1"/>
        </w:numPr>
        <w:pBdr>
          <w:top w:val="nil"/>
          <w:left w:val="nil"/>
          <w:bottom w:val="nil"/>
          <w:right w:val="nil"/>
          <w:between w:val="nil"/>
        </w:pBdr>
        <w:spacing w:line="24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DISCUSSION</w:t>
      </w:r>
    </w:p>
    <w:p w14:paraId="5B969528" w14:textId="7AD25408"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In this study, a non-significant change of Fe from day 0 to 21 and a significant decrease in Zn value on day 14 and 21 in the control group might be due to inadequate transfer of minerals to the foetus during the latter part of gestation (Mahan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In an earlier study, it was reported that the limited prenatal transfer of some micronutrients (Cu, Fe and Se) was not compensated by the postnatal transfer (Mahan and Vallet, 1997). Supplementation strategies are well known for these two trace elements with parenteral administrations of Fe to piglets (Matte and Audet, 2020). In MM group, the decreased Zn concentration on day 14 and 21 might be due to difference in bioavailability of Zn in injectable form. Although, the MM used in this study is of inorganic form however, earlier work has shown that the type of ligand influences the stability of a given complex or chelate but the position of the amino acids in a peptide sequence also has a significant impact (Sun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The process of complexing or chelating elements such as Cu, Fe or Zn, for instance, typically involves reacting inorganic mineral salts with a suitable bonding group, such as a peptide or amino acid, after which the mineral becomes part of a biologically stable structure (Byrne and Murphy, 2022). Whereas, a significantly lower Fe level on day 21 as compared to day 0 might be due to the interaction of Mn with several other dietary nutrients such as Zn and Fe by competing with Fe in absorption sites </w:t>
      </w:r>
      <w:r w:rsidRPr="0006551B">
        <w:rPr>
          <w:rFonts w:ascii="Times New Roman" w:eastAsia="Times New Roman" w:hAnsi="Times New Roman" w:cs="Times New Roman"/>
          <w:sz w:val="24"/>
          <w:szCs w:val="24"/>
          <w:highlight w:val="yellow"/>
        </w:rPr>
        <w:t>(</w:t>
      </w:r>
      <w:r w:rsidR="0006551B" w:rsidRPr="0006551B">
        <w:rPr>
          <w:rFonts w:ascii="Times New Roman" w:eastAsia="Times New Roman" w:hAnsi="Times New Roman" w:cs="Times New Roman"/>
          <w:sz w:val="24"/>
          <w:szCs w:val="24"/>
          <w:highlight w:val="yellow"/>
        </w:rPr>
        <w:t>Broom</w:t>
      </w:r>
      <w:r w:rsidRPr="0006551B">
        <w:rPr>
          <w:rFonts w:ascii="Times New Roman" w:eastAsia="Times New Roman" w:hAnsi="Times New Roman" w:cs="Times New Roman"/>
          <w:sz w:val="24"/>
          <w:szCs w:val="24"/>
          <w:highlight w:val="yellow"/>
        </w:rPr>
        <w:t xml:space="preserve"> </w:t>
      </w:r>
      <w:r w:rsidRPr="0006551B">
        <w:rPr>
          <w:rFonts w:ascii="Times New Roman" w:eastAsia="Times New Roman" w:hAnsi="Times New Roman" w:cs="Times New Roman"/>
          <w:i/>
          <w:sz w:val="24"/>
          <w:szCs w:val="24"/>
          <w:highlight w:val="yellow"/>
        </w:rPr>
        <w:t>et al</w:t>
      </w:r>
      <w:r w:rsidRPr="0006551B">
        <w:rPr>
          <w:rFonts w:ascii="Times New Roman" w:eastAsia="Times New Roman" w:hAnsi="Times New Roman" w:cs="Times New Roman"/>
          <w:sz w:val="24"/>
          <w:szCs w:val="24"/>
          <w:highlight w:val="yellow"/>
        </w:rPr>
        <w:t xml:space="preserve">., </w:t>
      </w:r>
      <w:r w:rsidR="0006551B" w:rsidRPr="0006551B">
        <w:rPr>
          <w:rFonts w:ascii="Times New Roman" w:eastAsia="Times New Roman" w:hAnsi="Times New Roman" w:cs="Times New Roman"/>
          <w:sz w:val="24"/>
          <w:szCs w:val="24"/>
          <w:highlight w:val="yellow"/>
        </w:rPr>
        <w:t>2021</w:t>
      </w:r>
      <w:r w:rsidRPr="0006551B">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or reducing tissue concentrations of Fe and Zn </w:t>
      </w:r>
      <w:r w:rsidRPr="0006551B">
        <w:rPr>
          <w:rFonts w:ascii="Times New Roman" w:eastAsia="Times New Roman" w:hAnsi="Times New Roman" w:cs="Times New Roman"/>
          <w:sz w:val="24"/>
          <w:szCs w:val="24"/>
          <w:highlight w:val="yellow"/>
        </w:rPr>
        <w:t>(</w:t>
      </w:r>
      <w:r w:rsidR="0006551B" w:rsidRPr="0006551B">
        <w:rPr>
          <w:rFonts w:ascii="Times New Roman" w:eastAsia="Times New Roman" w:hAnsi="Times New Roman" w:cs="Times New Roman"/>
          <w:sz w:val="24"/>
          <w:szCs w:val="24"/>
          <w:highlight w:val="yellow"/>
        </w:rPr>
        <w:t>Liu</w:t>
      </w:r>
      <w:r w:rsidRPr="0006551B">
        <w:rPr>
          <w:rFonts w:ascii="Times New Roman" w:eastAsia="Times New Roman" w:hAnsi="Times New Roman" w:cs="Times New Roman"/>
          <w:sz w:val="24"/>
          <w:szCs w:val="24"/>
          <w:highlight w:val="yellow"/>
        </w:rPr>
        <w:t xml:space="preserve"> </w:t>
      </w:r>
      <w:r w:rsidRPr="0006551B">
        <w:rPr>
          <w:rFonts w:ascii="Times New Roman" w:eastAsia="Times New Roman" w:hAnsi="Times New Roman" w:cs="Times New Roman"/>
          <w:i/>
          <w:sz w:val="24"/>
          <w:szCs w:val="24"/>
          <w:highlight w:val="yellow"/>
        </w:rPr>
        <w:t>et al</w:t>
      </w:r>
      <w:r w:rsidRPr="0006551B">
        <w:rPr>
          <w:rFonts w:ascii="Times New Roman" w:eastAsia="Times New Roman" w:hAnsi="Times New Roman" w:cs="Times New Roman"/>
          <w:sz w:val="24"/>
          <w:szCs w:val="24"/>
          <w:highlight w:val="yellow"/>
        </w:rPr>
        <w:t xml:space="preserve">., </w:t>
      </w:r>
      <w:r w:rsidR="0006551B" w:rsidRPr="0006551B">
        <w:rPr>
          <w:rFonts w:ascii="Times New Roman" w:eastAsia="Times New Roman" w:hAnsi="Times New Roman" w:cs="Times New Roman"/>
          <w:sz w:val="24"/>
          <w:szCs w:val="24"/>
          <w:highlight w:val="yellow"/>
        </w:rPr>
        <w:t>2014</w:t>
      </w:r>
      <w:r w:rsidRPr="0006551B">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p w14:paraId="3405CCB4" w14:textId="77777777" w:rsidR="00742933" w:rsidRDefault="0006551B">
      <w:pPr>
        <w:spacing w:line="240" w:lineRule="auto"/>
        <w:jc w:val="both"/>
        <w:rPr>
          <w:rFonts w:ascii="Times New Roman" w:eastAsia="Times New Roman" w:hAnsi="Times New Roman" w:cs="Times New Roman"/>
          <w:sz w:val="24"/>
          <w:szCs w:val="24"/>
        </w:rPr>
      </w:pPr>
      <w:r w:rsidRPr="00D4584E">
        <w:rPr>
          <w:rFonts w:ascii="Times New Roman" w:eastAsia="Times New Roman" w:hAnsi="Times New Roman" w:cs="Times New Roman"/>
          <w:sz w:val="24"/>
          <w:szCs w:val="24"/>
          <w:highlight w:val="yellow"/>
        </w:rPr>
        <w:t>Studies in past</w:t>
      </w:r>
      <w:r w:rsidR="00460C86" w:rsidRPr="00D4584E">
        <w:rPr>
          <w:rFonts w:ascii="Times New Roman" w:eastAsia="Times New Roman" w:hAnsi="Times New Roman" w:cs="Times New Roman"/>
          <w:sz w:val="24"/>
          <w:szCs w:val="24"/>
          <w:highlight w:val="yellow"/>
        </w:rPr>
        <w:t xml:space="preserve"> has</w:t>
      </w:r>
      <w:r w:rsidR="00460C86">
        <w:rPr>
          <w:rFonts w:ascii="Times New Roman" w:eastAsia="Times New Roman" w:hAnsi="Times New Roman" w:cs="Times New Roman"/>
          <w:sz w:val="24"/>
          <w:szCs w:val="24"/>
        </w:rPr>
        <w:t xml:space="preserve"> proved that single-strain probiotic supplements ameliorate the host’s iron status (Hoppe </w:t>
      </w:r>
      <w:r w:rsidR="00460C86">
        <w:rPr>
          <w:rFonts w:ascii="Times New Roman" w:eastAsia="Times New Roman" w:hAnsi="Times New Roman" w:cs="Times New Roman"/>
          <w:i/>
          <w:sz w:val="24"/>
          <w:szCs w:val="24"/>
        </w:rPr>
        <w:t>et al</w:t>
      </w:r>
      <w:r w:rsidR="00460C86">
        <w:rPr>
          <w:rFonts w:ascii="Times New Roman" w:eastAsia="Times New Roman" w:hAnsi="Times New Roman" w:cs="Times New Roman"/>
          <w:sz w:val="24"/>
          <w:szCs w:val="24"/>
        </w:rPr>
        <w:t>., 2015). Oral multispecies probiotic supplementation effect on iron turnover remains unexplored. In this study, the multispecies probiotic supplementation significantly increased mean Fe concentration on day 7 and the mean Zn concentration on day 7 and day 21 as compared to day 0 in suckling piglets. Dietary Fe absorption is only possible in the form of Fe</w:t>
      </w:r>
      <w:r w:rsidR="00460C86">
        <w:rPr>
          <w:rFonts w:ascii="Times New Roman" w:eastAsia="Times New Roman" w:hAnsi="Times New Roman" w:cs="Times New Roman"/>
          <w:sz w:val="24"/>
          <w:szCs w:val="24"/>
          <w:vertAlign w:val="superscript"/>
        </w:rPr>
        <w:t>2+</w:t>
      </w:r>
      <w:r w:rsidR="00460C86">
        <w:rPr>
          <w:rFonts w:ascii="Times New Roman" w:eastAsia="Times New Roman" w:hAnsi="Times New Roman" w:cs="Times New Roman"/>
          <w:sz w:val="24"/>
          <w:szCs w:val="24"/>
        </w:rPr>
        <w:t xml:space="preserve"> ion and takes place in the duodenum and small intestine. In the intestinal mucosa, iron is bound with apoferritin, and then stored in the liver as ferritin. Whereas in blood Fe is bound to </w:t>
      </w:r>
      <w:proofErr w:type="spellStart"/>
      <w:r w:rsidR="00460C86">
        <w:rPr>
          <w:rFonts w:ascii="Times New Roman" w:eastAsia="Times New Roman" w:hAnsi="Times New Roman" w:cs="Times New Roman"/>
          <w:sz w:val="24"/>
          <w:szCs w:val="24"/>
        </w:rPr>
        <w:t>transferin</w:t>
      </w:r>
      <w:proofErr w:type="spellEnd"/>
      <w:r w:rsidR="00460C86">
        <w:rPr>
          <w:rFonts w:ascii="Times New Roman" w:eastAsia="Times New Roman" w:hAnsi="Times New Roman" w:cs="Times New Roman"/>
          <w:sz w:val="24"/>
          <w:szCs w:val="24"/>
        </w:rPr>
        <w:t xml:space="preserve">, which is responsible for blood iron transportation (Silva and Faustino., 2015). </w:t>
      </w:r>
      <w:proofErr w:type="spellStart"/>
      <w:r w:rsidR="00460C86">
        <w:rPr>
          <w:rFonts w:ascii="Times New Roman" w:eastAsia="Times New Roman" w:hAnsi="Times New Roman" w:cs="Times New Roman"/>
          <w:sz w:val="24"/>
          <w:szCs w:val="24"/>
        </w:rPr>
        <w:t>Skrypnik</w:t>
      </w:r>
      <w:proofErr w:type="spellEnd"/>
      <w:r w:rsidR="00460C86">
        <w:rPr>
          <w:rFonts w:ascii="Times New Roman" w:eastAsia="Times New Roman" w:hAnsi="Times New Roman" w:cs="Times New Roman"/>
          <w:sz w:val="24"/>
          <w:szCs w:val="24"/>
        </w:rPr>
        <w:t xml:space="preserve">, </w:t>
      </w:r>
      <w:r w:rsidR="00460C86">
        <w:rPr>
          <w:rFonts w:ascii="Times New Roman" w:eastAsia="Times New Roman" w:hAnsi="Times New Roman" w:cs="Times New Roman"/>
          <w:i/>
          <w:sz w:val="24"/>
          <w:szCs w:val="24"/>
        </w:rPr>
        <w:t>et al.</w:t>
      </w:r>
      <w:r w:rsidR="00460C86">
        <w:rPr>
          <w:rFonts w:ascii="Times New Roman" w:eastAsia="Times New Roman" w:hAnsi="Times New Roman" w:cs="Times New Roman"/>
          <w:sz w:val="24"/>
          <w:szCs w:val="24"/>
        </w:rPr>
        <w:t xml:space="preserve"> (2019) found significantly higher duodenal Fe levels in rats that received multispecies probiotics compared to the controls, which indicate higher Fe absorption in duodenum. Here, significantly increased mean Fe concentration on day 7 could be due to ability of probiotics to make increased Fe bioavailability. Previous investigations have also confirmed the relationship between probiotics and increased Fe bioavailability (El-Sayed </w:t>
      </w:r>
      <w:r w:rsidR="00460C86">
        <w:rPr>
          <w:rFonts w:ascii="Times New Roman" w:eastAsia="Times New Roman" w:hAnsi="Times New Roman" w:cs="Times New Roman"/>
          <w:i/>
          <w:sz w:val="24"/>
          <w:szCs w:val="24"/>
        </w:rPr>
        <w:t>et al</w:t>
      </w:r>
      <w:r w:rsidR="00460C86">
        <w:rPr>
          <w:rFonts w:ascii="Times New Roman" w:eastAsia="Times New Roman" w:hAnsi="Times New Roman" w:cs="Times New Roman"/>
          <w:sz w:val="24"/>
          <w:szCs w:val="24"/>
        </w:rPr>
        <w:t>., 2022). Earlier investigators evaluated the association between probiotic intake and Zn status in healthy children (</w:t>
      </w:r>
      <w:proofErr w:type="spellStart"/>
      <w:r w:rsidR="00460C86">
        <w:rPr>
          <w:rFonts w:ascii="Times New Roman" w:eastAsia="Times New Roman" w:hAnsi="Times New Roman" w:cs="Times New Roman"/>
          <w:sz w:val="24"/>
          <w:szCs w:val="24"/>
        </w:rPr>
        <w:t>Ballini</w:t>
      </w:r>
      <w:proofErr w:type="spellEnd"/>
      <w:r w:rsidR="00460C86">
        <w:rPr>
          <w:rFonts w:ascii="Times New Roman" w:eastAsia="Times New Roman" w:hAnsi="Times New Roman" w:cs="Times New Roman"/>
          <w:sz w:val="24"/>
          <w:szCs w:val="24"/>
        </w:rPr>
        <w:t xml:space="preserve"> </w:t>
      </w:r>
      <w:r w:rsidR="00460C86">
        <w:rPr>
          <w:rFonts w:ascii="Times New Roman" w:eastAsia="Times New Roman" w:hAnsi="Times New Roman" w:cs="Times New Roman"/>
          <w:i/>
          <w:sz w:val="24"/>
          <w:szCs w:val="24"/>
        </w:rPr>
        <w:t>et al</w:t>
      </w:r>
      <w:r w:rsidR="00460C86">
        <w:rPr>
          <w:rFonts w:ascii="Times New Roman" w:eastAsia="Times New Roman" w:hAnsi="Times New Roman" w:cs="Times New Roman"/>
          <w:sz w:val="24"/>
          <w:szCs w:val="24"/>
        </w:rPr>
        <w:t xml:space="preserve">., 2019). </w:t>
      </w:r>
    </w:p>
    <w:p w14:paraId="3AE505F5" w14:textId="75741574"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results of these studies are inconsistent. For examples, two studies in children have showed no significant change in Zn status after probiotic supplementation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While, another randomized double-blind trial evaluated the effect of a </w:t>
      </w:r>
      <w:proofErr w:type="spellStart"/>
      <w:r>
        <w:rPr>
          <w:rFonts w:ascii="Times New Roman" w:eastAsia="Times New Roman" w:hAnsi="Times New Roman" w:cs="Times New Roman"/>
          <w:sz w:val="24"/>
          <w:szCs w:val="24"/>
        </w:rPr>
        <w:t>synbiotic</w:t>
      </w:r>
      <w:proofErr w:type="spellEnd"/>
      <w:r>
        <w:rPr>
          <w:rFonts w:ascii="Times New Roman" w:eastAsia="Times New Roman" w:hAnsi="Times New Roman" w:cs="Times New Roman"/>
          <w:sz w:val="24"/>
          <w:szCs w:val="24"/>
        </w:rPr>
        <w:t xml:space="preserve"> containing L. plantarum, L. acidophilus, B. </w:t>
      </w:r>
      <w:proofErr w:type="spellStart"/>
      <w:r>
        <w:rPr>
          <w:rFonts w:ascii="Times New Roman" w:eastAsia="Times New Roman" w:hAnsi="Times New Roman" w:cs="Times New Roman"/>
          <w:sz w:val="24"/>
          <w:szCs w:val="24"/>
        </w:rPr>
        <w:t>infantis</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lacti</w:t>
      </w:r>
      <w:proofErr w:type="spellEnd"/>
      <w:r>
        <w:rPr>
          <w:rFonts w:ascii="Times New Roman" w:eastAsia="Times New Roman" w:hAnsi="Times New Roman" w:cs="Times New Roman"/>
          <w:sz w:val="24"/>
          <w:szCs w:val="24"/>
        </w:rPr>
        <w:t>, prebiotic FOS, lactose free, gluten free, 4.5 × 10</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CFU and showed that Zn levels increased by 1.7% in the treated group as compared to a decrease of about 3.5% in the placebo group (</w:t>
      </w:r>
      <w:proofErr w:type="spellStart"/>
      <w:r>
        <w:rPr>
          <w:rFonts w:ascii="Times New Roman" w:eastAsia="Times New Roman" w:hAnsi="Times New Roman" w:cs="Times New Roman"/>
          <w:sz w:val="24"/>
          <w:szCs w:val="24"/>
        </w:rPr>
        <w:t>Ballini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Beyond the differences in type, dose, and duration of interventions from the studies evaluating the influence of probiotics on Zn status, the combined intake of probiotics and Zn appears to be an important factor. Animal model studies suggested that the efficacy of probiotics may be increased by the combination of probiotics and Zn. Likewise, earlier study on rat model has shown that the combination of probiotics and Zn can improve Zn bioavailability in rat model (</w:t>
      </w:r>
      <w:proofErr w:type="spellStart"/>
      <w:r>
        <w:rPr>
          <w:rFonts w:ascii="Times New Roman" w:eastAsia="Times New Roman" w:hAnsi="Times New Roman" w:cs="Times New Roman"/>
          <w:sz w:val="24"/>
          <w:szCs w:val="24"/>
        </w:rPr>
        <w:t>Tesan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 Therefore, co-supplementation of Zn and probiotics may amplify Zn absorption (</w:t>
      </w:r>
      <w:proofErr w:type="spellStart"/>
      <w:r>
        <w:rPr>
          <w:rFonts w:ascii="Times New Roman" w:eastAsia="Times New Roman" w:hAnsi="Times New Roman" w:cs="Times New Roman"/>
          <w:sz w:val="24"/>
          <w:szCs w:val="24"/>
        </w:rPr>
        <w:t>Surono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In the current study, mean Fe concentration on day 14 and 21 and the mean Zn value on day 14 were significantly lower as compared to day 0 in suckling piglets that received both MSP and MM. Although no reports are available on the effects of combined supplementation with MSP and MM on Fe and Zn, the contrast finding of this study might be due to antagonistic actions between MM and MSP. </w:t>
      </w:r>
    </w:p>
    <w:p w14:paraId="0167FF87" w14:textId="77777777" w:rsidR="009C5CA9" w:rsidRDefault="009C5CA9">
      <w:pPr>
        <w:spacing w:line="240" w:lineRule="auto"/>
        <w:jc w:val="both"/>
        <w:rPr>
          <w:rFonts w:ascii="Times New Roman" w:eastAsia="Times New Roman" w:hAnsi="Times New Roman" w:cs="Times New Roman"/>
          <w:sz w:val="24"/>
          <w:szCs w:val="24"/>
        </w:rPr>
      </w:pPr>
    </w:p>
    <w:p w14:paraId="7F226D74" w14:textId="77777777" w:rsidR="003F6B58" w:rsidRDefault="00460C86">
      <w:pPr>
        <w:numPr>
          <w:ilvl w:val="0"/>
          <w:numId w:val="1"/>
        </w:numPr>
        <w:pBdr>
          <w:top w:val="nil"/>
          <w:left w:val="nil"/>
          <w:bottom w:val="nil"/>
          <w:right w:val="nil"/>
          <w:between w:val="nil"/>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CONCLUSION</w:t>
      </w:r>
    </w:p>
    <w:p w14:paraId="66CDF918" w14:textId="4A5BB9C8"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Pig husbandry is gaining momentum in India in recent past owing to its promising outcomes. Like in dairy and poultry sectors, there are many inclement factors which destabilises the piggery farming and piglet mortality is one such factor. Out of many facets which drive piglet mortality, poor absorbance of iron and other microelements is one such factor. In this study, we tried to investigate the </w:t>
      </w:r>
      <w:r>
        <w:rPr>
          <w:rFonts w:ascii="Times New Roman" w:eastAsia="Times New Roman" w:hAnsi="Times New Roman" w:cs="Times New Roman"/>
          <w:sz w:val="24"/>
          <w:szCs w:val="24"/>
        </w:rPr>
        <w:t>effect of multi-strain probiotics and multi</w:t>
      </w:r>
      <w:r w:rsidR="00496C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mineral on iron- zinc homeostasis in neonatal piglets which revealed that </w:t>
      </w:r>
      <w:r>
        <w:rPr>
          <w:rFonts w:ascii="Times New Roman" w:eastAsia="Times New Roman" w:hAnsi="Times New Roman" w:cs="Times New Roman"/>
          <w:color w:val="000000"/>
          <w:sz w:val="24"/>
          <w:szCs w:val="24"/>
        </w:rPr>
        <w:t>the s</w:t>
      </w:r>
      <w:r>
        <w:rPr>
          <w:rFonts w:ascii="Times New Roman" w:eastAsia="Times New Roman" w:hAnsi="Times New Roman" w:cs="Times New Roman"/>
          <w:sz w:val="24"/>
          <w:szCs w:val="24"/>
        </w:rPr>
        <w:t xml:space="preserve">upplementation of MSP has better effect on iron zinc homeostasis as compare to MM and MM+MSP supplementation. Further studies including a greater number of animals and geographical regions is needed in this aspect to explore more. </w:t>
      </w:r>
      <w:bookmarkStart w:id="0" w:name="_GoBack"/>
      <w:bookmarkEnd w:id="0"/>
    </w:p>
    <w:p w14:paraId="06D9F499" w14:textId="77777777" w:rsidR="003F6B58" w:rsidRDefault="00460C8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DISCLAIMER (ARTIFICIL INTELLIGENCE)</w:t>
      </w:r>
    </w:p>
    <w:p w14:paraId="7289541E" w14:textId="77777777" w:rsidR="003F6B58" w:rsidRDefault="00460C8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this manuscript. </w:t>
      </w:r>
    </w:p>
    <w:p w14:paraId="338BED20" w14:textId="77777777" w:rsidR="007A12FF" w:rsidRDefault="007A12FF">
      <w:pPr>
        <w:spacing w:line="240" w:lineRule="auto"/>
        <w:jc w:val="both"/>
        <w:rPr>
          <w:rFonts w:ascii="Times New Roman" w:eastAsia="Times New Roman" w:hAnsi="Times New Roman" w:cs="Times New Roman"/>
          <w:b/>
          <w:sz w:val="24"/>
          <w:szCs w:val="24"/>
        </w:rPr>
      </w:pPr>
    </w:p>
    <w:p w14:paraId="4FF0D748" w14:textId="0E0010A9" w:rsidR="003F6B58" w:rsidRDefault="00460C8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663C036F"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proofErr w:type="spellStart"/>
      <w:r w:rsidRPr="00C53A7C">
        <w:rPr>
          <w:rFonts w:ascii="Times New Roman" w:eastAsia="Times New Roman" w:hAnsi="Times New Roman" w:cs="Times New Roman"/>
          <w:color w:val="000000"/>
          <w:sz w:val="24"/>
          <w:szCs w:val="24"/>
        </w:rPr>
        <w:t>Ballini</w:t>
      </w:r>
      <w:proofErr w:type="spellEnd"/>
      <w:r w:rsidRPr="00C53A7C">
        <w:rPr>
          <w:rFonts w:ascii="Times New Roman" w:eastAsia="Times New Roman" w:hAnsi="Times New Roman" w:cs="Times New Roman"/>
          <w:color w:val="000000"/>
          <w:sz w:val="24"/>
          <w:szCs w:val="24"/>
        </w:rPr>
        <w:t xml:space="preserve">, A., </w:t>
      </w:r>
      <w:proofErr w:type="spellStart"/>
      <w:r w:rsidRPr="00C53A7C">
        <w:rPr>
          <w:rFonts w:ascii="Times New Roman" w:eastAsia="Times New Roman" w:hAnsi="Times New Roman" w:cs="Times New Roman"/>
          <w:color w:val="000000"/>
          <w:sz w:val="24"/>
          <w:szCs w:val="24"/>
        </w:rPr>
        <w:t>Gnoni</w:t>
      </w:r>
      <w:proofErr w:type="spellEnd"/>
      <w:r w:rsidRPr="00C53A7C">
        <w:rPr>
          <w:rFonts w:ascii="Times New Roman" w:eastAsia="Times New Roman" w:hAnsi="Times New Roman" w:cs="Times New Roman"/>
          <w:color w:val="000000"/>
          <w:sz w:val="24"/>
          <w:szCs w:val="24"/>
        </w:rPr>
        <w:t xml:space="preserve">, A., De Vito, D., Dipalma, G., Cantore, S., Gargiulo Isacco, C., Saini, R., Santacroce, L., Topi, S., Scarano, A., Scacco, S. &amp; </w:t>
      </w:r>
      <w:proofErr w:type="spellStart"/>
      <w:r w:rsidRPr="00C53A7C">
        <w:rPr>
          <w:rFonts w:ascii="Times New Roman" w:eastAsia="Times New Roman" w:hAnsi="Times New Roman" w:cs="Times New Roman"/>
          <w:color w:val="000000"/>
          <w:sz w:val="24"/>
          <w:szCs w:val="24"/>
        </w:rPr>
        <w:t>Inchingolo</w:t>
      </w:r>
      <w:proofErr w:type="spellEnd"/>
      <w:r w:rsidRPr="00C53A7C">
        <w:rPr>
          <w:rFonts w:ascii="Times New Roman" w:eastAsia="Times New Roman" w:hAnsi="Times New Roman" w:cs="Times New Roman"/>
          <w:color w:val="000000"/>
          <w:sz w:val="24"/>
          <w:szCs w:val="24"/>
        </w:rPr>
        <w:t xml:space="preserve">, F. (2019). Effect of probiotics on the occurrence of nutrition absorption capacities in healthy children: a randomized double-blinded placebo-controlled pilot study. </w:t>
      </w:r>
      <w:r w:rsidRPr="00C53A7C">
        <w:rPr>
          <w:rFonts w:ascii="Times New Roman" w:eastAsia="Times New Roman" w:hAnsi="Times New Roman" w:cs="Times New Roman"/>
          <w:i/>
          <w:color w:val="000000"/>
          <w:sz w:val="24"/>
          <w:szCs w:val="24"/>
        </w:rPr>
        <w:t>European Review for Medical and Pharmacological Sciences,</w:t>
      </w:r>
      <w:r w:rsidRPr="00C53A7C">
        <w:rPr>
          <w:rFonts w:ascii="Times New Roman" w:eastAsia="Times New Roman" w:hAnsi="Times New Roman" w:cs="Times New Roman"/>
          <w:color w:val="000000"/>
          <w:sz w:val="24"/>
          <w:szCs w:val="24"/>
        </w:rPr>
        <w:t xml:space="preserve"> </w:t>
      </w:r>
      <w:r w:rsidRPr="00C53A7C">
        <w:rPr>
          <w:rFonts w:ascii="Times New Roman" w:eastAsia="Times New Roman" w:hAnsi="Times New Roman" w:cs="Times New Roman"/>
          <w:i/>
          <w:iCs/>
          <w:color w:val="000000"/>
          <w:sz w:val="24"/>
          <w:szCs w:val="24"/>
        </w:rPr>
        <w:t>23</w:t>
      </w:r>
      <w:r w:rsidRPr="00C53A7C">
        <w:rPr>
          <w:rFonts w:ascii="Times New Roman" w:eastAsia="Times New Roman" w:hAnsi="Times New Roman" w:cs="Times New Roman"/>
          <w:color w:val="000000"/>
          <w:sz w:val="24"/>
          <w:szCs w:val="24"/>
        </w:rPr>
        <w:t>(19)</w:t>
      </w:r>
      <w:r w:rsidRPr="00C53A7C">
        <w:rPr>
          <w:rFonts w:ascii="Times New Roman" w:eastAsia="Times New Roman" w:hAnsi="Times New Roman" w:cs="Times New Roman"/>
          <w:iCs/>
          <w:color w:val="000000"/>
          <w:sz w:val="24"/>
          <w:szCs w:val="24"/>
        </w:rPr>
        <w:t xml:space="preserve">, </w:t>
      </w:r>
      <w:r w:rsidRPr="00C53A7C">
        <w:rPr>
          <w:rFonts w:ascii="Times New Roman" w:eastAsia="Times New Roman" w:hAnsi="Times New Roman" w:cs="Times New Roman"/>
          <w:color w:val="000000"/>
          <w:sz w:val="24"/>
          <w:szCs w:val="24"/>
        </w:rPr>
        <w:t>8645–8657.</w:t>
      </w:r>
    </w:p>
    <w:p w14:paraId="275C9E68" w14:textId="77777777" w:rsidR="005B23EE" w:rsidRPr="00C53A7C" w:rsidRDefault="005B23EE" w:rsidP="0044233E">
      <w:pPr>
        <w:spacing w:line="360" w:lineRule="auto"/>
        <w:ind w:left="720" w:hanging="720"/>
        <w:jc w:val="both"/>
        <w:rPr>
          <w:rFonts w:ascii="Times New Roman" w:hAnsi="Times New Roman" w:cs="Times New Roman"/>
          <w:color w:val="222222"/>
          <w:sz w:val="24"/>
          <w:szCs w:val="24"/>
          <w:shd w:val="clear" w:color="auto" w:fill="FFFFFF"/>
        </w:rPr>
      </w:pPr>
      <w:r w:rsidRPr="00C53A7C">
        <w:rPr>
          <w:rFonts w:ascii="Times New Roman" w:hAnsi="Times New Roman" w:cs="Times New Roman"/>
          <w:color w:val="222222"/>
          <w:sz w:val="24"/>
          <w:szCs w:val="24"/>
          <w:shd w:val="clear" w:color="auto" w:fill="FFFFFF"/>
        </w:rPr>
        <w:t>Broom, L.J., Monteiro, A. and Piñon, A.</w:t>
      </w:r>
      <w:r>
        <w:rPr>
          <w:rFonts w:ascii="Times New Roman" w:hAnsi="Times New Roman" w:cs="Times New Roman"/>
          <w:color w:val="222222"/>
          <w:sz w:val="24"/>
          <w:szCs w:val="24"/>
          <w:shd w:val="clear" w:color="auto" w:fill="FFFFFF"/>
        </w:rPr>
        <w:t xml:space="preserve"> (</w:t>
      </w:r>
      <w:r w:rsidRPr="00C53A7C">
        <w:rPr>
          <w:rFonts w:ascii="Times New Roman" w:hAnsi="Times New Roman" w:cs="Times New Roman"/>
          <w:color w:val="222222"/>
          <w:sz w:val="24"/>
          <w:szCs w:val="24"/>
          <w:shd w:val="clear" w:color="auto" w:fill="FFFFFF"/>
        </w:rPr>
        <w:t>2021</w:t>
      </w:r>
      <w:r>
        <w:rPr>
          <w:rFonts w:ascii="Times New Roman" w:hAnsi="Times New Roman" w:cs="Times New Roman"/>
          <w:color w:val="222222"/>
          <w:sz w:val="24"/>
          <w:szCs w:val="24"/>
          <w:shd w:val="clear" w:color="auto" w:fill="FFFFFF"/>
        </w:rPr>
        <w:t>)</w:t>
      </w:r>
      <w:r w:rsidRPr="00C53A7C">
        <w:rPr>
          <w:rFonts w:ascii="Times New Roman" w:hAnsi="Times New Roman" w:cs="Times New Roman"/>
          <w:color w:val="222222"/>
          <w:sz w:val="24"/>
          <w:szCs w:val="24"/>
          <w:shd w:val="clear" w:color="auto" w:fill="FFFFFF"/>
        </w:rPr>
        <w:t>. Recent advances in understanding the influence of zinc, copper, and manganese on the gastrointestinal environment of pigs and poultry. </w:t>
      </w:r>
      <w:r w:rsidRPr="00C53A7C">
        <w:rPr>
          <w:rFonts w:ascii="Times New Roman" w:hAnsi="Times New Roman" w:cs="Times New Roman"/>
          <w:i/>
          <w:iCs/>
          <w:color w:val="222222"/>
          <w:sz w:val="24"/>
          <w:szCs w:val="24"/>
          <w:shd w:val="clear" w:color="auto" w:fill="FFFFFF"/>
        </w:rPr>
        <w:t>Animals</w:t>
      </w:r>
      <w:r w:rsidRPr="00C53A7C">
        <w:rPr>
          <w:rFonts w:ascii="Times New Roman" w:hAnsi="Times New Roman" w:cs="Times New Roman"/>
          <w:color w:val="222222"/>
          <w:sz w:val="24"/>
          <w:szCs w:val="24"/>
          <w:shd w:val="clear" w:color="auto" w:fill="FFFFFF"/>
        </w:rPr>
        <w:t>, </w:t>
      </w:r>
      <w:r w:rsidRPr="00C53A7C">
        <w:rPr>
          <w:rFonts w:ascii="Times New Roman" w:hAnsi="Times New Roman" w:cs="Times New Roman"/>
          <w:i/>
          <w:iCs/>
          <w:color w:val="222222"/>
          <w:sz w:val="24"/>
          <w:szCs w:val="24"/>
          <w:shd w:val="clear" w:color="auto" w:fill="FFFFFF"/>
        </w:rPr>
        <w:t>11</w:t>
      </w:r>
      <w:r w:rsidRPr="00C53A7C">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 xml:space="preserve">, </w:t>
      </w:r>
      <w:r w:rsidRPr="00C53A7C">
        <w:rPr>
          <w:rFonts w:ascii="Times New Roman" w:hAnsi="Times New Roman" w:cs="Times New Roman"/>
          <w:color w:val="222222"/>
          <w:sz w:val="24"/>
          <w:szCs w:val="24"/>
          <w:shd w:val="clear" w:color="auto" w:fill="FFFFFF"/>
        </w:rPr>
        <w:t>1276.</w:t>
      </w:r>
    </w:p>
    <w:p w14:paraId="2735B088"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Byrne, L. &amp; Murphy, R. A. (2022). Relative Bioavailability of Trace Minerals in Production Animal Nutrition: </w:t>
      </w:r>
      <w:r w:rsidRPr="00C53A7C">
        <w:rPr>
          <w:rFonts w:ascii="Times New Roman" w:eastAsia="Times New Roman" w:hAnsi="Times New Roman" w:cs="Times New Roman"/>
          <w:i/>
          <w:color w:val="000000"/>
          <w:sz w:val="24"/>
          <w:szCs w:val="24"/>
        </w:rPr>
        <w:t>Animal Health Research Reviews</w:t>
      </w:r>
      <w:r w:rsidRPr="00C53A7C">
        <w:rPr>
          <w:rFonts w:ascii="Times New Roman" w:eastAsia="Times New Roman" w:hAnsi="Times New Roman" w:cs="Times New Roman"/>
          <w:color w:val="000000"/>
          <w:sz w:val="24"/>
          <w:szCs w:val="24"/>
        </w:rPr>
        <w:t xml:space="preserve">, </w:t>
      </w:r>
      <w:r w:rsidRPr="00C53A7C">
        <w:rPr>
          <w:rFonts w:ascii="Times New Roman" w:eastAsia="Times New Roman" w:hAnsi="Times New Roman" w:cs="Times New Roman"/>
          <w:i/>
          <w:iCs/>
          <w:color w:val="000000"/>
          <w:sz w:val="24"/>
          <w:szCs w:val="24"/>
        </w:rPr>
        <w:t>12</w:t>
      </w:r>
      <w:r w:rsidRPr="00C53A7C">
        <w:rPr>
          <w:rFonts w:ascii="Times New Roman" w:eastAsia="Times New Roman" w:hAnsi="Times New Roman" w:cs="Times New Roman"/>
          <w:color w:val="000000"/>
          <w:sz w:val="24"/>
          <w:szCs w:val="24"/>
        </w:rPr>
        <w:t>(15)</w:t>
      </w:r>
      <w:r w:rsidRPr="00C53A7C">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 xml:space="preserve"> 1981.</w:t>
      </w:r>
    </w:p>
    <w:p w14:paraId="51C22673"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Cabrera, R.A., Lin, X., Campbell, J.M., Moeser, A.J. &amp; Odle, J. (2012). Influence of birth order, birth weight, colostrum and serum immunoglobulin G on neonatal piglet survival. </w:t>
      </w:r>
      <w:r w:rsidRPr="00C53A7C">
        <w:rPr>
          <w:rFonts w:ascii="Times New Roman" w:eastAsia="Times New Roman" w:hAnsi="Times New Roman" w:cs="Times New Roman"/>
          <w:i/>
          <w:color w:val="000000"/>
          <w:sz w:val="24"/>
          <w:szCs w:val="24"/>
        </w:rPr>
        <w:t xml:space="preserve">Journal of Animal Science and Biotechnology, </w:t>
      </w:r>
      <w:r w:rsidRPr="00737AA2">
        <w:rPr>
          <w:rFonts w:ascii="Times New Roman" w:eastAsia="Times New Roman" w:hAnsi="Times New Roman" w:cs="Times New Roman"/>
          <w:i/>
          <w:iCs/>
          <w:color w:val="000000"/>
          <w:sz w:val="24"/>
          <w:szCs w:val="24"/>
        </w:rPr>
        <w:t>3</w:t>
      </w:r>
      <w:r w:rsidRPr="00C53A7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C53A7C">
        <w:rPr>
          <w:rFonts w:ascii="Times New Roman" w:eastAsia="Times New Roman" w:hAnsi="Times New Roman" w:cs="Times New Roman"/>
          <w:color w:val="000000"/>
          <w:sz w:val="24"/>
          <w:szCs w:val="24"/>
        </w:rPr>
        <w:t>1-10.</w:t>
      </w:r>
    </w:p>
    <w:p w14:paraId="2049E9D6"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proofErr w:type="spellStart"/>
      <w:r w:rsidRPr="00C53A7C">
        <w:rPr>
          <w:rFonts w:ascii="Times New Roman" w:eastAsia="Times New Roman" w:hAnsi="Times New Roman" w:cs="Times New Roman"/>
          <w:color w:val="000000"/>
          <w:sz w:val="24"/>
          <w:szCs w:val="24"/>
        </w:rPr>
        <w:t>Ciesinski</w:t>
      </w:r>
      <w:proofErr w:type="spellEnd"/>
      <w:r w:rsidRPr="00C53A7C">
        <w:rPr>
          <w:rFonts w:ascii="Times New Roman" w:eastAsia="Times New Roman" w:hAnsi="Times New Roman" w:cs="Times New Roman"/>
          <w:color w:val="000000"/>
          <w:sz w:val="24"/>
          <w:szCs w:val="24"/>
        </w:rPr>
        <w:t xml:space="preserve">, L., Guenther, S., Pieper, R., Kalisch, M., Bednorz, C. &amp; Wieler, L. H. (2018). High dietary zinc feeding promotes persistence of multi-resistant E. coli in the swine gut. </w:t>
      </w:r>
      <w:proofErr w:type="spellStart"/>
      <w:r w:rsidRPr="00C53A7C">
        <w:rPr>
          <w:rFonts w:ascii="Times New Roman" w:eastAsia="Times New Roman" w:hAnsi="Times New Roman" w:cs="Times New Roman"/>
          <w:i/>
          <w:color w:val="000000"/>
          <w:sz w:val="24"/>
          <w:szCs w:val="24"/>
        </w:rPr>
        <w:t>PLoS</w:t>
      </w:r>
      <w:proofErr w:type="spellEnd"/>
      <w:r w:rsidRPr="00C53A7C">
        <w:rPr>
          <w:rFonts w:ascii="Times New Roman" w:eastAsia="Times New Roman" w:hAnsi="Times New Roman" w:cs="Times New Roman"/>
          <w:i/>
          <w:color w:val="000000"/>
          <w:sz w:val="24"/>
          <w:szCs w:val="24"/>
        </w:rPr>
        <w:t xml:space="preserve"> One,</w:t>
      </w:r>
      <w:r w:rsidRPr="00EB6819">
        <w:rPr>
          <w:rFonts w:ascii="Times New Roman" w:eastAsia="Times New Roman" w:hAnsi="Times New Roman" w:cs="Times New Roman"/>
          <w:i/>
          <w:iCs/>
          <w:color w:val="000000"/>
          <w:sz w:val="24"/>
          <w:szCs w:val="24"/>
        </w:rPr>
        <w:t>13</w:t>
      </w:r>
      <w:r w:rsidRPr="00C53A7C">
        <w:rPr>
          <w:rFonts w:ascii="Times New Roman" w:eastAsia="Times New Roman" w:hAnsi="Times New Roman" w:cs="Times New Roman"/>
          <w:color w:val="000000"/>
          <w:sz w:val="24"/>
          <w:szCs w:val="24"/>
        </w:rPr>
        <w:t>(1)</w:t>
      </w:r>
      <w:r>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 xml:space="preserve"> e0191660.</w:t>
      </w:r>
    </w:p>
    <w:p w14:paraId="4E9C8B56" w14:textId="77777777" w:rsidR="005B23EE" w:rsidRPr="00C53A7C" w:rsidRDefault="005B23EE" w:rsidP="0044233E">
      <w:pPr>
        <w:spacing w:line="360" w:lineRule="auto"/>
        <w:ind w:left="720" w:hanging="720"/>
        <w:jc w:val="both"/>
        <w:rPr>
          <w:rStyle w:val="citation-doi"/>
          <w:rFonts w:ascii="Times New Roman" w:hAnsi="Times New Roman" w:cs="Times New Roman"/>
          <w:sz w:val="24"/>
          <w:szCs w:val="24"/>
        </w:rPr>
      </w:pPr>
      <w:proofErr w:type="spellStart"/>
      <w:r w:rsidRPr="00C53A7C">
        <w:rPr>
          <w:rFonts w:ascii="Times New Roman" w:hAnsi="Times New Roman" w:cs="Times New Roman"/>
          <w:sz w:val="24"/>
          <w:szCs w:val="24"/>
        </w:rPr>
        <w:t>Dowarah</w:t>
      </w:r>
      <w:proofErr w:type="spellEnd"/>
      <w:r w:rsidRPr="00C53A7C">
        <w:rPr>
          <w:rFonts w:ascii="Times New Roman" w:hAnsi="Times New Roman" w:cs="Times New Roman"/>
          <w:sz w:val="24"/>
          <w:szCs w:val="24"/>
        </w:rPr>
        <w:t xml:space="preserve"> R, Verma AK, Agarwal N, Singh P, Singh B</w:t>
      </w:r>
      <w:r>
        <w:rPr>
          <w:rFonts w:ascii="Times New Roman" w:hAnsi="Times New Roman" w:cs="Times New Roman"/>
          <w:sz w:val="24"/>
          <w:szCs w:val="24"/>
        </w:rPr>
        <w:t>R.</w:t>
      </w:r>
      <w:r w:rsidRPr="00C53A7C">
        <w:rPr>
          <w:rFonts w:ascii="Times New Roman" w:hAnsi="Times New Roman" w:cs="Times New Roman"/>
          <w:sz w:val="24"/>
          <w:szCs w:val="24"/>
        </w:rPr>
        <w:t xml:space="preserve"> (2018)</w:t>
      </w:r>
      <w:r>
        <w:rPr>
          <w:rFonts w:ascii="Times New Roman" w:hAnsi="Times New Roman" w:cs="Times New Roman"/>
          <w:sz w:val="24"/>
          <w:szCs w:val="24"/>
        </w:rPr>
        <w:t>.</w:t>
      </w:r>
      <w:r w:rsidRPr="00C53A7C">
        <w:rPr>
          <w:rFonts w:ascii="Times New Roman" w:hAnsi="Times New Roman" w:cs="Times New Roman"/>
          <w:sz w:val="24"/>
          <w:szCs w:val="24"/>
        </w:rPr>
        <w:t xml:space="preserve"> Selection and characterization of probiotic lactic acid bacteria and its impact on growth, nutrient digestibility, health and antioxidant status in weaned piglets. </w:t>
      </w:r>
      <w:proofErr w:type="spellStart"/>
      <w:r w:rsidRPr="00C53A7C">
        <w:rPr>
          <w:rFonts w:ascii="Times New Roman" w:hAnsi="Times New Roman" w:cs="Times New Roman"/>
          <w:sz w:val="24"/>
          <w:szCs w:val="24"/>
        </w:rPr>
        <w:t>PloS</w:t>
      </w:r>
      <w:proofErr w:type="spellEnd"/>
      <w:r w:rsidRPr="00C53A7C">
        <w:rPr>
          <w:rFonts w:ascii="Times New Roman" w:hAnsi="Times New Roman" w:cs="Times New Roman"/>
          <w:sz w:val="24"/>
          <w:szCs w:val="24"/>
        </w:rPr>
        <w:t xml:space="preserve"> one </w:t>
      </w:r>
      <w:r w:rsidRPr="00C53A7C">
        <w:rPr>
          <w:rFonts w:ascii="Times New Roman" w:hAnsi="Times New Roman" w:cs="Times New Roman"/>
          <w:bCs/>
          <w:sz w:val="24"/>
          <w:szCs w:val="24"/>
        </w:rPr>
        <w:t>13</w:t>
      </w:r>
      <w:r>
        <w:rPr>
          <w:rFonts w:ascii="Times New Roman" w:hAnsi="Times New Roman" w:cs="Times New Roman"/>
          <w:sz w:val="24"/>
          <w:szCs w:val="24"/>
        </w:rPr>
        <w:t xml:space="preserve">, </w:t>
      </w:r>
      <w:r w:rsidRPr="00C53A7C">
        <w:rPr>
          <w:rFonts w:ascii="Times New Roman" w:hAnsi="Times New Roman" w:cs="Times New Roman"/>
          <w:sz w:val="24"/>
          <w:szCs w:val="24"/>
        </w:rPr>
        <w:t xml:space="preserve">e0192978. </w:t>
      </w:r>
    </w:p>
    <w:p w14:paraId="669A3EDA"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El-Sayed, E.M. &amp; Ibrahim, K.S. (2022). Ameliorating effects of probiotics on alterations in iron homeostasis and inflammation in COVID-19. </w:t>
      </w:r>
      <w:r w:rsidRPr="00C53A7C">
        <w:rPr>
          <w:rFonts w:ascii="Times New Roman" w:eastAsia="Times New Roman" w:hAnsi="Times New Roman" w:cs="Times New Roman"/>
          <w:i/>
          <w:color w:val="000000"/>
          <w:sz w:val="24"/>
          <w:szCs w:val="24"/>
        </w:rPr>
        <w:t>Molecular Biology Reports</w:t>
      </w:r>
      <w:r w:rsidRPr="00C53A7C">
        <w:rPr>
          <w:rFonts w:ascii="Times New Roman" w:eastAsia="Times New Roman" w:hAnsi="Times New Roman" w:cs="Times New Roman"/>
          <w:color w:val="000000"/>
          <w:sz w:val="24"/>
          <w:szCs w:val="24"/>
        </w:rPr>
        <w:t xml:space="preserve">, </w:t>
      </w:r>
      <w:r w:rsidRPr="00D63F8E">
        <w:rPr>
          <w:rFonts w:ascii="Times New Roman" w:eastAsia="Times New Roman" w:hAnsi="Times New Roman" w:cs="Times New Roman"/>
          <w:i/>
          <w:iCs/>
          <w:color w:val="000000"/>
          <w:sz w:val="24"/>
          <w:szCs w:val="24"/>
        </w:rPr>
        <w:t>49</w:t>
      </w:r>
      <w:r>
        <w:rPr>
          <w:rFonts w:ascii="Times New Roman" w:eastAsia="Times New Roman" w:hAnsi="Times New Roman" w:cs="Times New Roman"/>
          <w:iCs/>
          <w:color w:val="000000"/>
          <w:sz w:val="24"/>
          <w:szCs w:val="24"/>
        </w:rPr>
        <w:t xml:space="preserve">, </w:t>
      </w:r>
      <w:r w:rsidRPr="00C53A7C">
        <w:rPr>
          <w:rFonts w:ascii="Times New Roman" w:eastAsia="Times New Roman" w:hAnsi="Times New Roman" w:cs="Times New Roman"/>
          <w:color w:val="000000"/>
          <w:sz w:val="24"/>
          <w:szCs w:val="24"/>
        </w:rPr>
        <w:t>5153– 5163.</w:t>
      </w:r>
    </w:p>
    <w:p w14:paraId="466A1E84" w14:textId="77777777" w:rsidR="005B23EE" w:rsidRPr="00C53A7C" w:rsidRDefault="005B23EE">
      <w:pPr>
        <w:spacing w:line="240" w:lineRule="auto"/>
        <w:ind w:left="720" w:hanging="720"/>
        <w:jc w:val="both"/>
        <w:rPr>
          <w:rFonts w:ascii="Times New Roman" w:hAnsi="Times New Roman" w:cs="Times New Roman"/>
          <w:color w:val="222222"/>
          <w:sz w:val="24"/>
          <w:szCs w:val="24"/>
          <w:shd w:val="clear" w:color="auto" w:fill="FFFFFF"/>
        </w:rPr>
      </w:pPr>
      <w:r w:rsidRPr="00C53A7C">
        <w:rPr>
          <w:rFonts w:ascii="Times New Roman" w:hAnsi="Times New Roman" w:cs="Times New Roman"/>
          <w:color w:val="222222"/>
          <w:sz w:val="24"/>
          <w:szCs w:val="24"/>
          <w:shd w:val="clear" w:color="auto" w:fill="FFFFFF"/>
        </w:rPr>
        <w:t xml:space="preserve">Gan, F., Chen, X., Liao, S.F., </w:t>
      </w:r>
      <w:proofErr w:type="spellStart"/>
      <w:r w:rsidRPr="00C53A7C">
        <w:rPr>
          <w:rFonts w:ascii="Times New Roman" w:hAnsi="Times New Roman" w:cs="Times New Roman"/>
          <w:color w:val="222222"/>
          <w:sz w:val="24"/>
          <w:szCs w:val="24"/>
          <w:shd w:val="clear" w:color="auto" w:fill="FFFFFF"/>
        </w:rPr>
        <w:t>Lv</w:t>
      </w:r>
      <w:proofErr w:type="spellEnd"/>
      <w:r w:rsidRPr="00C53A7C">
        <w:rPr>
          <w:rFonts w:ascii="Times New Roman" w:hAnsi="Times New Roman" w:cs="Times New Roman"/>
          <w:color w:val="222222"/>
          <w:sz w:val="24"/>
          <w:szCs w:val="24"/>
          <w:shd w:val="clear" w:color="auto" w:fill="FFFFFF"/>
        </w:rPr>
        <w:t xml:space="preserve">, C., Ren, F., Ye, G., </w:t>
      </w:r>
      <w:r w:rsidRPr="00D63F8E">
        <w:rPr>
          <w:rFonts w:ascii="Times New Roman" w:hAnsi="Times New Roman" w:cs="Times New Roman"/>
          <w:i/>
          <w:iCs/>
          <w:color w:val="222222"/>
          <w:sz w:val="24"/>
          <w:szCs w:val="24"/>
          <w:shd w:val="clear" w:color="auto" w:fill="FFFFFF"/>
        </w:rPr>
        <w:t>et al</w:t>
      </w:r>
      <w:r>
        <w:rPr>
          <w:rFonts w:ascii="Times New Roman" w:hAnsi="Times New Roman" w:cs="Times New Roman"/>
          <w:color w:val="222222"/>
          <w:sz w:val="24"/>
          <w:szCs w:val="24"/>
          <w:shd w:val="clear" w:color="auto" w:fill="FFFFFF"/>
        </w:rPr>
        <w:t>.</w:t>
      </w:r>
      <w:r w:rsidRPr="00C53A7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C53A7C">
        <w:rPr>
          <w:rFonts w:ascii="Times New Roman" w:hAnsi="Times New Roman" w:cs="Times New Roman"/>
          <w:color w:val="222222"/>
          <w:sz w:val="24"/>
          <w:szCs w:val="24"/>
          <w:shd w:val="clear" w:color="auto" w:fill="FFFFFF"/>
        </w:rPr>
        <w:t>2014</w:t>
      </w:r>
      <w:r>
        <w:rPr>
          <w:rFonts w:ascii="Times New Roman" w:hAnsi="Times New Roman" w:cs="Times New Roman"/>
          <w:color w:val="222222"/>
          <w:sz w:val="24"/>
          <w:szCs w:val="24"/>
          <w:shd w:val="clear" w:color="auto" w:fill="FFFFFF"/>
        </w:rPr>
        <w:t>)</w:t>
      </w:r>
      <w:r w:rsidRPr="00C53A7C">
        <w:rPr>
          <w:rFonts w:ascii="Times New Roman" w:hAnsi="Times New Roman" w:cs="Times New Roman"/>
          <w:color w:val="222222"/>
          <w:sz w:val="24"/>
          <w:szCs w:val="24"/>
          <w:shd w:val="clear" w:color="auto" w:fill="FFFFFF"/>
        </w:rPr>
        <w:t xml:space="preserve">. Selenium-enriched probiotics improve antioxidant status, immune function, and </w:t>
      </w:r>
      <w:proofErr w:type="spellStart"/>
      <w:r w:rsidRPr="00C53A7C">
        <w:rPr>
          <w:rFonts w:ascii="Times New Roman" w:hAnsi="Times New Roman" w:cs="Times New Roman"/>
          <w:color w:val="222222"/>
          <w:sz w:val="24"/>
          <w:szCs w:val="24"/>
          <w:shd w:val="clear" w:color="auto" w:fill="FFFFFF"/>
        </w:rPr>
        <w:t>selenoprotein</w:t>
      </w:r>
      <w:proofErr w:type="spellEnd"/>
      <w:r w:rsidRPr="00C53A7C">
        <w:rPr>
          <w:rFonts w:ascii="Times New Roman" w:hAnsi="Times New Roman" w:cs="Times New Roman"/>
          <w:color w:val="222222"/>
          <w:sz w:val="24"/>
          <w:szCs w:val="24"/>
          <w:shd w:val="clear" w:color="auto" w:fill="FFFFFF"/>
        </w:rPr>
        <w:t xml:space="preserve"> gene </w:t>
      </w:r>
      <w:r w:rsidRPr="00C53A7C">
        <w:rPr>
          <w:rFonts w:ascii="Times New Roman" w:hAnsi="Times New Roman" w:cs="Times New Roman"/>
          <w:color w:val="222222"/>
          <w:sz w:val="24"/>
          <w:szCs w:val="24"/>
          <w:shd w:val="clear" w:color="auto" w:fill="FFFFFF"/>
        </w:rPr>
        <w:lastRenderedPageBreak/>
        <w:t>expression of piglets raised under high ambient temperature. </w:t>
      </w:r>
      <w:r w:rsidRPr="00C53A7C">
        <w:rPr>
          <w:rFonts w:ascii="Times New Roman" w:hAnsi="Times New Roman" w:cs="Times New Roman"/>
          <w:i/>
          <w:iCs/>
          <w:color w:val="222222"/>
          <w:sz w:val="24"/>
          <w:szCs w:val="24"/>
          <w:shd w:val="clear" w:color="auto" w:fill="FFFFFF"/>
        </w:rPr>
        <w:t>Journal of agricultural and food chemistry</w:t>
      </w:r>
      <w:r w:rsidRPr="00C53A7C">
        <w:rPr>
          <w:rFonts w:ascii="Times New Roman" w:hAnsi="Times New Roman" w:cs="Times New Roman"/>
          <w:color w:val="222222"/>
          <w:sz w:val="24"/>
          <w:szCs w:val="24"/>
          <w:shd w:val="clear" w:color="auto" w:fill="FFFFFF"/>
        </w:rPr>
        <w:t>, </w:t>
      </w:r>
      <w:r w:rsidRPr="00C53A7C">
        <w:rPr>
          <w:rFonts w:ascii="Times New Roman" w:hAnsi="Times New Roman" w:cs="Times New Roman"/>
          <w:i/>
          <w:iCs/>
          <w:color w:val="222222"/>
          <w:sz w:val="24"/>
          <w:szCs w:val="24"/>
          <w:shd w:val="clear" w:color="auto" w:fill="FFFFFF"/>
        </w:rPr>
        <w:t>62</w:t>
      </w:r>
      <w:r w:rsidRPr="00C53A7C">
        <w:rPr>
          <w:rFonts w:ascii="Times New Roman" w:hAnsi="Times New Roman" w:cs="Times New Roman"/>
          <w:color w:val="222222"/>
          <w:sz w:val="24"/>
          <w:szCs w:val="24"/>
          <w:shd w:val="clear" w:color="auto" w:fill="FFFFFF"/>
        </w:rPr>
        <w:t>(20)</w:t>
      </w:r>
      <w:r>
        <w:rPr>
          <w:rFonts w:ascii="Times New Roman" w:hAnsi="Times New Roman" w:cs="Times New Roman"/>
          <w:color w:val="222222"/>
          <w:sz w:val="24"/>
          <w:szCs w:val="24"/>
          <w:shd w:val="clear" w:color="auto" w:fill="FFFFFF"/>
        </w:rPr>
        <w:t xml:space="preserve">, </w:t>
      </w:r>
      <w:r w:rsidRPr="00C53A7C">
        <w:rPr>
          <w:rFonts w:ascii="Times New Roman" w:hAnsi="Times New Roman" w:cs="Times New Roman"/>
          <w:color w:val="222222"/>
          <w:sz w:val="24"/>
          <w:szCs w:val="24"/>
          <w:shd w:val="clear" w:color="auto" w:fill="FFFFFF"/>
        </w:rPr>
        <w:t>4502-4508.</w:t>
      </w:r>
    </w:p>
    <w:p w14:paraId="70218850" w14:textId="77777777" w:rsidR="005B23EE"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Hoppe, M., </w:t>
      </w:r>
      <w:proofErr w:type="spellStart"/>
      <w:r w:rsidRPr="00C53A7C">
        <w:rPr>
          <w:rFonts w:ascii="Times New Roman" w:eastAsia="Times New Roman" w:hAnsi="Times New Roman" w:cs="Times New Roman"/>
          <w:color w:val="000000"/>
          <w:sz w:val="24"/>
          <w:szCs w:val="24"/>
        </w:rPr>
        <w:t>Önning</w:t>
      </w:r>
      <w:proofErr w:type="spellEnd"/>
      <w:r w:rsidRPr="00C53A7C">
        <w:rPr>
          <w:rFonts w:ascii="Times New Roman" w:eastAsia="Times New Roman" w:hAnsi="Times New Roman" w:cs="Times New Roman"/>
          <w:color w:val="000000"/>
          <w:sz w:val="24"/>
          <w:szCs w:val="24"/>
        </w:rPr>
        <w:t xml:space="preserve">, G., Berggren, A. &amp; </w:t>
      </w:r>
      <w:proofErr w:type="spellStart"/>
      <w:r w:rsidRPr="00C53A7C">
        <w:rPr>
          <w:rFonts w:ascii="Times New Roman" w:eastAsia="Times New Roman" w:hAnsi="Times New Roman" w:cs="Times New Roman"/>
          <w:color w:val="000000"/>
          <w:sz w:val="24"/>
          <w:szCs w:val="24"/>
        </w:rPr>
        <w:t>Hulthén</w:t>
      </w:r>
      <w:proofErr w:type="spellEnd"/>
      <w:r w:rsidRPr="00C53A7C">
        <w:rPr>
          <w:rFonts w:ascii="Times New Roman" w:eastAsia="Times New Roman" w:hAnsi="Times New Roman" w:cs="Times New Roman"/>
          <w:color w:val="000000"/>
          <w:sz w:val="24"/>
          <w:szCs w:val="24"/>
        </w:rPr>
        <w:t xml:space="preserve">, L. (2015). Probiotic strain Lactobacillus plantarum 299v increases iron absorption from an iron-supplemented fruit drink: a double-isotope cross-over single-blind study in women of reproductive age. British </w:t>
      </w:r>
      <w:r w:rsidRPr="00C53A7C">
        <w:rPr>
          <w:rFonts w:ascii="Times New Roman" w:eastAsia="Times New Roman" w:hAnsi="Times New Roman" w:cs="Times New Roman"/>
          <w:i/>
          <w:color w:val="000000"/>
          <w:sz w:val="24"/>
          <w:szCs w:val="24"/>
        </w:rPr>
        <w:t>Journal of Nutrition</w:t>
      </w:r>
      <w:r w:rsidRPr="00C53A7C">
        <w:rPr>
          <w:rFonts w:ascii="Times New Roman" w:eastAsia="Times New Roman" w:hAnsi="Times New Roman" w:cs="Times New Roman"/>
          <w:color w:val="000000"/>
          <w:sz w:val="24"/>
          <w:szCs w:val="24"/>
        </w:rPr>
        <w:t>,</w:t>
      </w:r>
      <w:r w:rsidRPr="00C53A7C">
        <w:rPr>
          <w:rFonts w:ascii="Times New Roman" w:eastAsia="Times New Roman" w:hAnsi="Times New Roman" w:cs="Times New Roman"/>
          <w:i/>
          <w:color w:val="000000"/>
          <w:sz w:val="24"/>
          <w:szCs w:val="24"/>
        </w:rPr>
        <w:t xml:space="preserve"> </w:t>
      </w:r>
      <w:r w:rsidRPr="00D2236E">
        <w:rPr>
          <w:rFonts w:ascii="Times New Roman" w:eastAsia="Times New Roman" w:hAnsi="Times New Roman" w:cs="Times New Roman"/>
          <w:i/>
          <w:iCs/>
          <w:color w:val="000000"/>
          <w:sz w:val="24"/>
          <w:szCs w:val="24"/>
        </w:rPr>
        <w:t>114</w:t>
      </w:r>
      <w:r>
        <w:rPr>
          <w:rFonts w:ascii="Times New Roman" w:eastAsia="Times New Roman" w:hAnsi="Times New Roman" w:cs="Times New Roman"/>
          <w:color w:val="000000"/>
          <w:sz w:val="24"/>
          <w:szCs w:val="24"/>
        </w:rPr>
        <w:t xml:space="preserve">, </w:t>
      </w:r>
      <w:r w:rsidRPr="00C53A7C">
        <w:rPr>
          <w:rFonts w:ascii="Times New Roman" w:eastAsia="Times New Roman" w:hAnsi="Times New Roman" w:cs="Times New Roman"/>
          <w:color w:val="000000"/>
          <w:sz w:val="24"/>
          <w:szCs w:val="24"/>
        </w:rPr>
        <w:t>1195–1202.</w:t>
      </w:r>
    </w:p>
    <w:p w14:paraId="51776783"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031EB3">
        <w:rPr>
          <w:rFonts w:ascii="Times New Roman" w:eastAsia="Times New Roman" w:hAnsi="Times New Roman" w:cs="Times New Roman"/>
          <w:color w:val="000000"/>
          <w:sz w:val="24"/>
          <w:szCs w:val="24"/>
        </w:rPr>
        <w:t>Lim, J.A., Cha, J., Choi, S., Kim, J.H. and Kim, D.</w:t>
      </w:r>
      <w:r>
        <w:rPr>
          <w:rFonts w:ascii="Times New Roman" w:eastAsia="Times New Roman" w:hAnsi="Times New Roman" w:cs="Times New Roman"/>
          <w:color w:val="000000"/>
          <w:sz w:val="24"/>
          <w:szCs w:val="24"/>
        </w:rPr>
        <w:t xml:space="preserve"> (</w:t>
      </w:r>
      <w:r w:rsidRPr="00031EB3">
        <w:rPr>
          <w:rFonts w:ascii="Times New Roman" w:eastAsia="Times New Roman" w:hAnsi="Times New Roman" w:cs="Times New Roman"/>
          <w:color w:val="000000"/>
          <w:sz w:val="24"/>
          <w:szCs w:val="24"/>
        </w:rPr>
        <w:t>2023</w:t>
      </w:r>
      <w:r>
        <w:rPr>
          <w:rFonts w:ascii="Times New Roman" w:eastAsia="Times New Roman" w:hAnsi="Times New Roman" w:cs="Times New Roman"/>
          <w:color w:val="000000"/>
          <w:sz w:val="24"/>
          <w:szCs w:val="24"/>
        </w:rPr>
        <w:t>)</w:t>
      </w:r>
      <w:r w:rsidRPr="00031EB3">
        <w:rPr>
          <w:rFonts w:ascii="Times New Roman" w:eastAsia="Times New Roman" w:hAnsi="Times New Roman" w:cs="Times New Roman"/>
          <w:color w:val="000000"/>
          <w:sz w:val="24"/>
          <w:szCs w:val="24"/>
        </w:rPr>
        <w:t>. Early colonization of the intestinal microbiome of neonatal piglets is influenced by the maternal microbiome. </w:t>
      </w:r>
      <w:r w:rsidRPr="00031EB3">
        <w:rPr>
          <w:rFonts w:ascii="Times New Roman" w:eastAsia="Times New Roman" w:hAnsi="Times New Roman" w:cs="Times New Roman"/>
          <w:i/>
          <w:iCs/>
          <w:color w:val="000000"/>
          <w:sz w:val="24"/>
          <w:szCs w:val="24"/>
        </w:rPr>
        <w:t>Animals</w:t>
      </w:r>
      <w:r w:rsidRPr="00031EB3">
        <w:rPr>
          <w:rFonts w:ascii="Times New Roman" w:eastAsia="Times New Roman" w:hAnsi="Times New Roman" w:cs="Times New Roman"/>
          <w:color w:val="000000"/>
          <w:sz w:val="24"/>
          <w:szCs w:val="24"/>
        </w:rPr>
        <w:t>, </w:t>
      </w:r>
      <w:r w:rsidRPr="00031EB3">
        <w:rPr>
          <w:rFonts w:ascii="Times New Roman" w:eastAsia="Times New Roman" w:hAnsi="Times New Roman" w:cs="Times New Roman"/>
          <w:i/>
          <w:iCs/>
          <w:color w:val="000000"/>
          <w:sz w:val="24"/>
          <w:szCs w:val="24"/>
        </w:rPr>
        <w:t>13</w:t>
      </w:r>
      <w:r w:rsidRPr="00031EB3">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 </w:t>
      </w:r>
      <w:r w:rsidRPr="00031EB3">
        <w:rPr>
          <w:rFonts w:ascii="Times New Roman" w:eastAsia="Times New Roman" w:hAnsi="Times New Roman" w:cs="Times New Roman"/>
          <w:color w:val="000000"/>
          <w:sz w:val="24"/>
          <w:szCs w:val="24"/>
        </w:rPr>
        <w:t>3378.</w:t>
      </w:r>
    </w:p>
    <w:p w14:paraId="6CCAEF91" w14:textId="77777777" w:rsidR="005B23EE" w:rsidRPr="00C53A7C" w:rsidRDefault="005B23EE" w:rsidP="0044233E">
      <w:pPr>
        <w:spacing w:line="360" w:lineRule="auto"/>
        <w:ind w:left="720" w:hanging="720"/>
        <w:jc w:val="both"/>
        <w:rPr>
          <w:rStyle w:val="citation-doi"/>
          <w:rFonts w:ascii="Times New Roman" w:hAnsi="Times New Roman" w:cs="Times New Roman"/>
          <w:sz w:val="24"/>
          <w:szCs w:val="24"/>
        </w:rPr>
      </w:pPr>
      <w:r w:rsidRPr="00C53A7C">
        <w:rPr>
          <w:rFonts w:ascii="Times New Roman" w:hAnsi="Times New Roman" w:cs="Times New Roman"/>
          <w:color w:val="222222"/>
          <w:sz w:val="24"/>
          <w:szCs w:val="24"/>
          <w:shd w:val="clear" w:color="auto" w:fill="FFFFFF"/>
        </w:rPr>
        <w:t>Liu, Y., Ma, Y.L., Zhao, J.M., Vazquez-</w:t>
      </w:r>
      <w:proofErr w:type="spellStart"/>
      <w:r w:rsidRPr="00C53A7C">
        <w:rPr>
          <w:rFonts w:ascii="Times New Roman" w:hAnsi="Times New Roman" w:cs="Times New Roman"/>
          <w:color w:val="222222"/>
          <w:sz w:val="24"/>
          <w:szCs w:val="24"/>
          <w:shd w:val="clear" w:color="auto" w:fill="FFFFFF"/>
        </w:rPr>
        <w:t>Añón</w:t>
      </w:r>
      <w:proofErr w:type="spellEnd"/>
      <w:r w:rsidRPr="00C53A7C">
        <w:rPr>
          <w:rFonts w:ascii="Times New Roman" w:hAnsi="Times New Roman" w:cs="Times New Roman"/>
          <w:color w:val="222222"/>
          <w:sz w:val="24"/>
          <w:szCs w:val="24"/>
          <w:shd w:val="clear" w:color="auto" w:fill="FFFFFF"/>
        </w:rPr>
        <w:t>, M. and Stein, H.H.</w:t>
      </w:r>
      <w:r>
        <w:rPr>
          <w:rFonts w:ascii="Times New Roman" w:hAnsi="Times New Roman" w:cs="Times New Roman"/>
          <w:color w:val="222222"/>
          <w:sz w:val="24"/>
          <w:szCs w:val="24"/>
          <w:shd w:val="clear" w:color="auto" w:fill="FFFFFF"/>
        </w:rPr>
        <w:t xml:space="preserve"> (</w:t>
      </w:r>
      <w:r w:rsidRPr="00C53A7C">
        <w:rPr>
          <w:rFonts w:ascii="Times New Roman" w:hAnsi="Times New Roman" w:cs="Times New Roman"/>
          <w:color w:val="222222"/>
          <w:sz w:val="24"/>
          <w:szCs w:val="24"/>
          <w:shd w:val="clear" w:color="auto" w:fill="FFFFFF"/>
        </w:rPr>
        <w:t>2014</w:t>
      </w:r>
      <w:r>
        <w:rPr>
          <w:rFonts w:ascii="Times New Roman" w:hAnsi="Times New Roman" w:cs="Times New Roman"/>
          <w:color w:val="222222"/>
          <w:sz w:val="24"/>
          <w:szCs w:val="24"/>
          <w:shd w:val="clear" w:color="auto" w:fill="FFFFFF"/>
        </w:rPr>
        <w:t>)</w:t>
      </w:r>
      <w:r w:rsidRPr="00C53A7C">
        <w:rPr>
          <w:rFonts w:ascii="Times New Roman" w:hAnsi="Times New Roman" w:cs="Times New Roman"/>
          <w:color w:val="222222"/>
          <w:sz w:val="24"/>
          <w:szCs w:val="24"/>
          <w:shd w:val="clear" w:color="auto" w:fill="FFFFFF"/>
        </w:rPr>
        <w:t>. Digestibility and retention of zinc, copper, manganese, iron, calcium, and phosphorus in pigs fed diets containing inorganic or organic minerals. </w:t>
      </w:r>
      <w:r w:rsidRPr="00C53A7C">
        <w:rPr>
          <w:rFonts w:ascii="Times New Roman" w:hAnsi="Times New Roman" w:cs="Times New Roman"/>
          <w:i/>
          <w:iCs/>
          <w:color w:val="222222"/>
          <w:sz w:val="24"/>
          <w:szCs w:val="24"/>
          <w:shd w:val="clear" w:color="auto" w:fill="FFFFFF"/>
        </w:rPr>
        <w:t>Journal of Animal Science</w:t>
      </w:r>
      <w:r w:rsidRPr="00C53A7C">
        <w:rPr>
          <w:rFonts w:ascii="Times New Roman" w:hAnsi="Times New Roman" w:cs="Times New Roman"/>
          <w:color w:val="222222"/>
          <w:sz w:val="24"/>
          <w:szCs w:val="24"/>
          <w:shd w:val="clear" w:color="auto" w:fill="FFFFFF"/>
        </w:rPr>
        <w:t>, </w:t>
      </w:r>
      <w:r w:rsidRPr="00C53A7C">
        <w:rPr>
          <w:rFonts w:ascii="Times New Roman" w:hAnsi="Times New Roman" w:cs="Times New Roman"/>
          <w:i/>
          <w:iCs/>
          <w:color w:val="222222"/>
          <w:sz w:val="24"/>
          <w:szCs w:val="24"/>
          <w:shd w:val="clear" w:color="auto" w:fill="FFFFFF"/>
        </w:rPr>
        <w:t>92</w:t>
      </w:r>
      <w:r w:rsidRPr="00C53A7C">
        <w:rPr>
          <w:rFonts w:ascii="Times New Roman" w:hAnsi="Times New Roman" w:cs="Times New Roman"/>
          <w:color w:val="222222"/>
          <w:sz w:val="24"/>
          <w:szCs w:val="24"/>
          <w:shd w:val="clear" w:color="auto" w:fill="FFFFFF"/>
        </w:rPr>
        <w:t>(8), 3407-3415.</w:t>
      </w:r>
    </w:p>
    <w:p w14:paraId="40558BDB"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Mahan, D. C., Watts, M. R. &amp; St-Pierre, N. (2009). Macro- and micromineral composition of </w:t>
      </w:r>
      <w:proofErr w:type="spellStart"/>
      <w:r w:rsidRPr="00C53A7C">
        <w:rPr>
          <w:rFonts w:ascii="Times New Roman" w:eastAsia="Times New Roman" w:hAnsi="Times New Roman" w:cs="Times New Roman"/>
          <w:color w:val="000000"/>
          <w:sz w:val="24"/>
          <w:szCs w:val="24"/>
        </w:rPr>
        <w:t>fetal</w:t>
      </w:r>
      <w:proofErr w:type="spellEnd"/>
      <w:r w:rsidRPr="00C53A7C">
        <w:rPr>
          <w:rFonts w:ascii="Times New Roman" w:eastAsia="Times New Roman" w:hAnsi="Times New Roman" w:cs="Times New Roman"/>
          <w:color w:val="000000"/>
          <w:sz w:val="24"/>
          <w:szCs w:val="24"/>
        </w:rPr>
        <w:t xml:space="preserve"> pigs and their accretion rates during </w:t>
      </w:r>
      <w:proofErr w:type="spellStart"/>
      <w:r w:rsidRPr="00C53A7C">
        <w:rPr>
          <w:rFonts w:ascii="Times New Roman" w:eastAsia="Times New Roman" w:hAnsi="Times New Roman" w:cs="Times New Roman"/>
          <w:color w:val="000000"/>
          <w:sz w:val="24"/>
          <w:szCs w:val="24"/>
        </w:rPr>
        <w:t>fetal</w:t>
      </w:r>
      <w:proofErr w:type="spellEnd"/>
      <w:r w:rsidRPr="00C53A7C">
        <w:rPr>
          <w:rFonts w:ascii="Times New Roman" w:eastAsia="Times New Roman" w:hAnsi="Times New Roman" w:cs="Times New Roman"/>
          <w:color w:val="000000"/>
          <w:sz w:val="24"/>
          <w:szCs w:val="24"/>
        </w:rPr>
        <w:t xml:space="preserve"> development. </w:t>
      </w:r>
      <w:r w:rsidRPr="00C53A7C">
        <w:rPr>
          <w:rFonts w:ascii="Times New Roman" w:eastAsia="Times New Roman" w:hAnsi="Times New Roman" w:cs="Times New Roman"/>
          <w:i/>
          <w:color w:val="000000"/>
          <w:sz w:val="24"/>
          <w:szCs w:val="24"/>
        </w:rPr>
        <w:t>Journal of Animal Science</w:t>
      </w:r>
      <w:r w:rsidRPr="00C53A7C">
        <w:rPr>
          <w:rFonts w:ascii="Times New Roman" w:eastAsia="Times New Roman" w:hAnsi="Times New Roman" w:cs="Times New Roman"/>
          <w:color w:val="000000"/>
          <w:sz w:val="24"/>
          <w:szCs w:val="24"/>
        </w:rPr>
        <w:t xml:space="preserve">, </w:t>
      </w:r>
      <w:r w:rsidRPr="00C86EB2">
        <w:rPr>
          <w:rFonts w:ascii="Times New Roman" w:eastAsia="Times New Roman" w:hAnsi="Times New Roman" w:cs="Times New Roman"/>
          <w:i/>
          <w:iCs/>
          <w:color w:val="000000"/>
          <w:sz w:val="24"/>
          <w:szCs w:val="24"/>
        </w:rPr>
        <w:t>87</w:t>
      </w:r>
      <w:r w:rsidRPr="00C53A7C">
        <w:rPr>
          <w:rFonts w:ascii="Times New Roman" w:eastAsia="Times New Roman" w:hAnsi="Times New Roman" w:cs="Times New Roman"/>
          <w:color w:val="000000"/>
          <w:sz w:val="24"/>
          <w:szCs w:val="24"/>
        </w:rPr>
        <w:t>(9)</w:t>
      </w:r>
      <w:r>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 xml:space="preserve"> 2823–2832.</w:t>
      </w:r>
    </w:p>
    <w:p w14:paraId="2CE325E7"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Mahan, D.C. &amp; </w:t>
      </w:r>
      <w:proofErr w:type="spellStart"/>
      <w:r w:rsidRPr="00C53A7C">
        <w:rPr>
          <w:rFonts w:ascii="Times New Roman" w:eastAsia="Times New Roman" w:hAnsi="Times New Roman" w:cs="Times New Roman"/>
          <w:color w:val="000000"/>
          <w:sz w:val="24"/>
          <w:szCs w:val="24"/>
        </w:rPr>
        <w:t>Vallet</w:t>
      </w:r>
      <w:proofErr w:type="spellEnd"/>
      <w:r w:rsidRPr="00C53A7C">
        <w:rPr>
          <w:rFonts w:ascii="Times New Roman" w:eastAsia="Times New Roman" w:hAnsi="Times New Roman" w:cs="Times New Roman"/>
          <w:color w:val="000000"/>
          <w:sz w:val="24"/>
          <w:szCs w:val="24"/>
        </w:rPr>
        <w:t xml:space="preserve">, J.L. (1997). Vitamin and mineral transfer during </w:t>
      </w:r>
      <w:proofErr w:type="spellStart"/>
      <w:r w:rsidRPr="00C53A7C">
        <w:rPr>
          <w:rFonts w:ascii="Times New Roman" w:eastAsia="Times New Roman" w:hAnsi="Times New Roman" w:cs="Times New Roman"/>
          <w:color w:val="000000"/>
          <w:sz w:val="24"/>
          <w:szCs w:val="24"/>
        </w:rPr>
        <w:t>fetal</w:t>
      </w:r>
      <w:proofErr w:type="spellEnd"/>
      <w:r w:rsidRPr="00C53A7C">
        <w:rPr>
          <w:rFonts w:ascii="Times New Roman" w:eastAsia="Times New Roman" w:hAnsi="Times New Roman" w:cs="Times New Roman"/>
          <w:color w:val="000000"/>
          <w:sz w:val="24"/>
          <w:szCs w:val="24"/>
        </w:rPr>
        <w:t xml:space="preserve"> development and the early postnatal period in pigs</w:t>
      </w:r>
      <w:r w:rsidRPr="00C53A7C">
        <w:rPr>
          <w:rFonts w:ascii="Times New Roman" w:eastAsia="Times New Roman" w:hAnsi="Times New Roman" w:cs="Times New Roman"/>
          <w:i/>
          <w:color w:val="000000"/>
          <w:sz w:val="24"/>
          <w:szCs w:val="24"/>
        </w:rPr>
        <w:t>. Journal of Animal Science</w:t>
      </w:r>
      <w:r w:rsidRPr="00C53A7C">
        <w:rPr>
          <w:rFonts w:ascii="Times New Roman" w:eastAsia="Times New Roman" w:hAnsi="Times New Roman" w:cs="Times New Roman"/>
          <w:color w:val="000000"/>
          <w:sz w:val="24"/>
          <w:szCs w:val="24"/>
        </w:rPr>
        <w:t xml:space="preserve">, </w:t>
      </w:r>
      <w:r w:rsidRPr="00C86EB2">
        <w:rPr>
          <w:rFonts w:ascii="Times New Roman" w:eastAsia="Times New Roman" w:hAnsi="Times New Roman" w:cs="Times New Roman"/>
          <w:i/>
          <w:iCs/>
          <w:color w:val="000000"/>
          <w:sz w:val="24"/>
          <w:szCs w:val="24"/>
        </w:rPr>
        <w:t>75</w:t>
      </w:r>
      <w:r>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 xml:space="preserve"> 2731-2738.</w:t>
      </w:r>
    </w:p>
    <w:p w14:paraId="2131E47D" w14:textId="77777777" w:rsidR="005B23EE"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Matte, J.J. &amp; </w:t>
      </w:r>
      <w:proofErr w:type="spellStart"/>
      <w:r w:rsidRPr="00C53A7C">
        <w:rPr>
          <w:rFonts w:ascii="Times New Roman" w:eastAsia="Times New Roman" w:hAnsi="Times New Roman" w:cs="Times New Roman"/>
          <w:color w:val="000000"/>
          <w:sz w:val="24"/>
          <w:szCs w:val="24"/>
        </w:rPr>
        <w:t>Audet</w:t>
      </w:r>
      <w:proofErr w:type="spellEnd"/>
      <w:r w:rsidRPr="00C53A7C">
        <w:rPr>
          <w:rFonts w:ascii="Times New Roman" w:eastAsia="Times New Roman" w:hAnsi="Times New Roman" w:cs="Times New Roman"/>
          <w:color w:val="000000"/>
          <w:sz w:val="24"/>
          <w:szCs w:val="24"/>
        </w:rPr>
        <w:t>, I. (2020). Maternal perinatal transfer of vitamins and trace elements to piglets</w:t>
      </w:r>
      <w:r w:rsidRPr="00C53A7C">
        <w:rPr>
          <w:rFonts w:ascii="Times New Roman" w:eastAsia="Times New Roman" w:hAnsi="Times New Roman" w:cs="Times New Roman"/>
          <w:i/>
          <w:color w:val="000000"/>
          <w:sz w:val="24"/>
          <w:szCs w:val="24"/>
        </w:rPr>
        <w:t>. Animal</w:t>
      </w:r>
      <w:r w:rsidRPr="00C53A7C">
        <w:rPr>
          <w:rFonts w:ascii="Times New Roman" w:eastAsia="Times New Roman" w:hAnsi="Times New Roman" w:cs="Times New Roman"/>
          <w:color w:val="000000"/>
          <w:sz w:val="24"/>
          <w:szCs w:val="24"/>
        </w:rPr>
        <w:t xml:space="preserve">, </w:t>
      </w:r>
      <w:r w:rsidRPr="00C86EB2">
        <w:rPr>
          <w:rFonts w:ascii="Times New Roman" w:eastAsia="Times New Roman" w:hAnsi="Times New Roman" w:cs="Times New Roman"/>
          <w:i/>
          <w:iCs/>
          <w:color w:val="000000"/>
          <w:sz w:val="24"/>
          <w:szCs w:val="24"/>
        </w:rPr>
        <w:t>14</w:t>
      </w:r>
      <w:r w:rsidRPr="00C53A7C">
        <w:rPr>
          <w:rFonts w:ascii="Times New Roman" w:eastAsia="Times New Roman" w:hAnsi="Times New Roman" w:cs="Times New Roman"/>
          <w:color w:val="000000"/>
          <w:sz w:val="24"/>
          <w:szCs w:val="24"/>
        </w:rPr>
        <w:t>(1)</w:t>
      </w:r>
      <w:r>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 xml:space="preserve"> 31-38.</w:t>
      </w:r>
    </w:p>
    <w:p w14:paraId="12175386"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9F595E">
        <w:rPr>
          <w:rFonts w:ascii="Times New Roman" w:eastAsia="Times New Roman" w:hAnsi="Times New Roman" w:cs="Times New Roman"/>
          <w:color w:val="000000"/>
          <w:sz w:val="24"/>
          <w:szCs w:val="24"/>
        </w:rPr>
        <w:t>Nair, S.S., Prajapati, S., Thomas, P., Kumar, B., Chaturvedi, V.K. and Selvam, K.</w:t>
      </w:r>
      <w:r>
        <w:rPr>
          <w:rFonts w:ascii="Times New Roman" w:eastAsia="Times New Roman" w:hAnsi="Times New Roman" w:cs="Times New Roman"/>
          <w:color w:val="000000"/>
          <w:sz w:val="24"/>
          <w:szCs w:val="24"/>
        </w:rPr>
        <w:t xml:space="preserve"> (</w:t>
      </w:r>
      <w:r w:rsidRPr="009F595E">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w:t>
      </w:r>
      <w:r w:rsidRPr="009F595E">
        <w:rPr>
          <w:rFonts w:ascii="Times New Roman" w:eastAsia="Times New Roman" w:hAnsi="Times New Roman" w:cs="Times New Roman"/>
          <w:color w:val="000000"/>
          <w:sz w:val="24"/>
          <w:szCs w:val="24"/>
        </w:rPr>
        <w:t>. Guidelines for diagnostic sample collection in pigs. In Commercial Pig Farming (pp. 323-341). Academic Press.</w:t>
      </w:r>
    </w:p>
    <w:p w14:paraId="23EBF36E" w14:textId="77777777" w:rsidR="005B23EE" w:rsidRDefault="005B23EE">
      <w:pPr>
        <w:spacing w:line="240" w:lineRule="auto"/>
        <w:ind w:left="720" w:hanging="720"/>
        <w:jc w:val="both"/>
        <w:rPr>
          <w:rFonts w:ascii="Times New Roman" w:eastAsia="Times New Roman" w:hAnsi="Times New Roman" w:cs="Times New Roman"/>
          <w:color w:val="000000"/>
          <w:sz w:val="24"/>
          <w:szCs w:val="24"/>
        </w:rPr>
      </w:pPr>
      <w:proofErr w:type="spellStart"/>
      <w:r w:rsidRPr="00C53A7C">
        <w:rPr>
          <w:rFonts w:ascii="Times New Roman" w:eastAsia="Times New Roman" w:hAnsi="Times New Roman" w:cs="Times New Roman"/>
          <w:color w:val="000000"/>
          <w:sz w:val="24"/>
          <w:szCs w:val="24"/>
        </w:rPr>
        <w:t>Ou</w:t>
      </w:r>
      <w:proofErr w:type="spellEnd"/>
      <w:r w:rsidRPr="00C53A7C">
        <w:rPr>
          <w:rFonts w:ascii="Times New Roman" w:eastAsia="Times New Roman" w:hAnsi="Times New Roman" w:cs="Times New Roman"/>
          <w:color w:val="000000"/>
          <w:sz w:val="24"/>
          <w:szCs w:val="24"/>
        </w:rPr>
        <w:t xml:space="preserve">, D., Li, D., Cao, Y., Li, X., Yin, J., Qiao, S. &amp; Wu, G. (2007). Dietary supplementation with zinc oxide decreases expression of the stem cell factor in the small intestine of weanling pigs. </w:t>
      </w:r>
      <w:r w:rsidRPr="00C53A7C">
        <w:rPr>
          <w:rFonts w:ascii="Times New Roman" w:eastAsia="Times New Roman" w:hAnsi="Times New Roman" w:cs="Times New Roman"/>
          <w:i/>
          <w:color w:val="000000"/>
          <w:sz w:val="24"/>
          <w:szCs w:val="24"/>
        </w:rPr>
        <w:t>The Journal of Nutritional Biochemistry</w:t>
      </w:r>
      <w:r w:rsidRPr="00C53A7C">
        <w:rPr>
          <w:rFonts w:ascii="Times New Roman" w:eastAsia="Times New Roman" w:hAnsi="Times New Roman" w:cs="Times New Roman"/>
          <w:color w:val="000000"/>
          <w:sz w:val="24"/>
          <w:szCs w:val="24"/>
        </w:rPr>
        <w:t xml:space="preserve">, </w:t>
      </w:r>
      <w:r w:rsidRPr="00C86EB2">
        <w:rPr>
          <w:rFonts w:ascii="Times New Roman" w:eastAsia="Times New Roman" w:hAnsi="Times New Roman" w:cs="Times New Roman"/>
          <w:i/>
          <w:iCs/>
          <w:color w:val="000000"/>
          <w:sz w:val="24"/>
          <w:szCs w:val="24"/>
        </w:rPr>
        <w:t>18</w:t>
      </w:r>
      <w:r w:rsidRPr="00C53A7C">
        <w:rPr>
          <w:rFonts w:ascii="Times New Roman" w:eastAsia="Times New Roman" w:hAnsi="Times New Roman" w:cs="Times New Roman"/>
          <w:color w:val="000000"/>
          <w:sz w:val="24"/>
          <w:szCs w:val="24"/>
        </w:rPr>
        <w:t>(12)</w:t>
      </w:r>
      <w:r>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 xml:space="preserve"> 820-826.</w:t>
      </w:r>
    </w:p>
    <w:p w14:paraId="2DE67BD5"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483C08">
        <w:rPr>
          <w:rFonts w:ascii="Times New Roman" w:eastAsia="Times New Roman" w:hAnsi="Times New Roman" w:cs="Times New Roman"/>
          <w:color w:val="000000"/>
          <w:sz w:val="24"/>
          <w:szCs w:val="24"/>
        </w:rPr>
        <w:t xml:space="preserve">Sampath, V., </w:t>
      </w:r>
      <w:proofErr w:type="spellStart"/>
      <w:r w:rsidRPr="00483C08">
        <w:rPr>
          <w:rFonts w:ascii="Times New Roman" w:eastAsia="Times New Roman" w:hAnsi="Times New Roman" w:cs="Times New Roman"/>
          <w:color w:val="000000"/>
          <w:sz w:val="24"/>
          <w:szCs w:val="24"/>
        </w:rPr>
        <w:t>Sureshkumar</w:t>
      </w:r>
      <w:proofErr w:type="spellEnd"/>
      <w:r w:rsidRPr="00483C08">
        <w:rPr>
          <w:rFonts w:ascii="Times New Roman" w:eastAsia="Times New Roman" w:hAnsi="Times New Roman" w:cs="Times New Roman"/>
          <w:color w:val="000000"/>
          <w:sz w:val="24"/>
          <w:szCs w:val="24"/>
        </w:rPr>
        <w:t>, S., Seok, W.J. and Kim, I.H.</w:t>
      </w:r>
      <w:r>
        <w:rPr>
          <w:rFonts w:ascii="Times New Roman" w:eastAsia="Times New Roman" w:hAnsi="Times New Roman" w:cs="Times New Roman"/>
          <w:color w:val="000000"/>
          <w:sz w:val="24"/>
          <w:szCs w:val="24"/>
        </w:rPr>
        <w:t xml:space="preserve"> (</w:t>
      </w:r>
      <w:r w:rsidRPr="00483C08">
        <w:rPr>
          <w:rFonts w:ascii="Times New Roman" w:eastAsia="Times New Roman" w:hAnsi="Times New Roman" w:cs="Times New Roman"/>
          <w:color w:val="000000"/>
          <w:sz w:val="24"/>
          <w:szCs w:val="24"/>
        </w:rPr>
        <w:t>2023</w:t>
      </w:r>
      <w:r>
        <w:rPr>
          <w:rFonts w:ascii="Times New Roman" w:eastAsia="Times New Roman" w:hAnsi="Times New Roman" w:cs="Times New Roman"/>
          <w:color w:val="000000"/>
          <w:sz w:val="24"/>
          <w:szCs w:val="24"/>
        </w:rPr>
        <w:t>)</w:t>
      </w:r>
      <w:r w:rsidRPr="00483C08">
        <w:rPr>
          <w:rFonts w:ascii="Times New Roman" w:eastAsia="Times New Roman" w:hAnsi="Times New Roman" w:cs="Times New Roman"/>
          <w:color w:val="000000"/>
          <w:sz w:val="24"/>
          <w:szCs w:val="24"/>
        </w:rPr>
        <w:t>. Role and functions of micro and macro-minerals in swine nutrition: a short review. </w:t>
      </w:r>
      <w:r w:rsidRPr="00483C08">
        <w:rPr>
          <w:rFonts w:ascii="Times New Roman" w:eastAsia="Times New Roman" w:hAnsi="Times New Roman" w:cs="Times New Roman"/>
          <w:i/>
          <w:iCs/>
          <w:color w:val="000000"/>
          <w:sz w:val="24"/>
          <w:szCs w:val="24"/>
        </w:rPr>
        <w:t>Journal of Animal Science and Technology</w:t>
      </w:r>
      <w:r w:rsidRPr="00483C08">
        <w:rPr>
          <w:rFonts w:ascii="Times New Roman" w:eastAsia="Times New Roman" w:hAnsi="Times New Roman" w:cs="Times New Roman"/>
          <w:color w:val="000000"/>
          <w:sz w:val="24"/>
          <w:szCs w:val="24"/>
        </w:rPr>
        <w:t>, </w:t>
      </w:r>
      <w:r w:rsidRPr="00483C08">
        <w:rPr>
          <w:rFonts w:ascii="Times New Roman" w:eastAsia="Times New Roman" w:hAnsi="Times New Roman" w:cs="Times New Roman"/>
          <w:i/>
          <w:iCs/>
          <w:color w:val="000000"/>
          <w:sz w:val="24"/>
          <w:szCs w:val="24"/>
        </w:rPr>
        <w:t>65</w:t>
      </w:r>
      <w:r w:rsidRPr="00483C08">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Pr="00483C08">
        <w:rPr>
          <w:rFonts w:ascii="Times New Roman" w:eastAsia="Times New Roman" w:hAnsi="Times New Roman" w:cs="Times New Roman"/>
          <w:color w:val="000000"/>
          <w:sz w:val="24"/>
          <w:szCs w:val="24"/>
        </w:rPr>
        <w:t>479.</w:t>
      </w:r>
    </w:p>
    <w:p w14:paraId="7E296F0B"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Silva, B. &amp; Faustino, P. (2015). An overview of molecular basis of iron metabolism regulation and the associated pathologies. </w:t>
      </w:r>
      <w:r w:rsidRPr="00C53A7C">
        <w:rPr>
          <w:rFonts w:ascii="Times New Roman" w:eastAsia="Times New Roman" w:hAnsi="Times New Roman" w:cs="Times New Roman"/>
          <w:i/>
          <w:color w:val="000000"/>
          <w:sz w:val="24"/>
          <w:szCs w:val="24"/>
        </w:rPr>
        <w:t>BBA Molecular Basis of Disease</w:t>
      </w:r>
      <w:r w:rsidRPr="00C53A7C">
        <w:rPr>
          <w:rFonts w:ascii="Times New Roman" w:eastAsia="Times New Roman" w:hAnsi="Times New Roman" w:cs="Times New Roman"/>
          <w:color w:val="000000"/>
          <w:sz w:val="24"/>
          <w:szCs w:val="24"/>
        </w:rPr>
        <w:t xml:space="preserve">, </w:t>
      </w:r>
      <w:r w:rsidRPr="00690AB3">
        <w:rPr>
          <w:rFonts w:ascii="Times New Roman" w:eastAsia="Times New Roman" w:hAnsi="Times New Roman" w:cs="Times New Roman"/>
          <w:i/>
          <w:iCs/>
          <w:color w:val="000000"/>
          <w:sz w:val="24"/>
          <w:szCs w:val="24"/>
        </w:rPr>
        <w:t>1852</w:t>
      </w:r>
      <w:r>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1347– 1359.</w:t>
      </w:r>
    </w:p>
    <w:p w14:paraId="169602F1"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proofErr w:type="spellStart"/>
      <w:r w:rsidRPr="00C53A7C">
        <w:rPr>
          <w:rFonts w:ascii="Times New Roman" w:eastAsia="Times New Roman" w:hAnsi="Times New Roman" w:cs="Times New Roman"/>
          <w:color w:val="000000"/>
          <w:sz w:val="24"/>
          <w:szCs w:val="24"/>
        </w:rPr>
        <w:t>Skrypnik</w:t>
      </w:r>
      <w:proofErr w:type="spellEnd"/>
      <w:r w:rsidRPr="00C53A7C">
        <w:rPr>
          <w:rFonts w:ascii="Times New Roman" w:eastAsia="Times New Roman" w:hAnsi="Times New Roman" w:cs="Times New Roman"/>
          <w:color w:val="000000"/>
          <w:sz w:val="24"/>
          <w:szCs w:val="24"/>
        </w:rPr>
        <w:t xml:space="preserve">, K., </w:t>
      </w:r>
      <w:proofErr w:type="spellStart"/>
      <w:r w:rsidRPr="00C53A7C">
        <w:rPr>
          <w:rFonts w:ascii="Times New Roman" w:eastAsia="Times New Roman" w:hAnsi="Times New Roman" w:cs="Times New Roman"/>
          <w:color w:val="000000"/>
          <w:sz w:val="24"/>
          <w:szCs w:val="24"/>
        </w:rPr>
        <w:t>Bogdañski</w:t>
      </w:r>
      <w:proofErr w:type="spellEnd"/>
      <w:r w:rsidRPr="00C53A7C">
        <w:rPr>
          <w:rFonts w:ascii="Times New Roman" w:eastAsia="Times New Roman" w:hAnsi="Times New Roman" w:cs="Times New Roman"/>
          <w:color w:val="000000"/>
          <w:sz w:val="24"/>
          <w:szCs w:val="24"/>
        </w:rPr>
        <w:t xml:space="preserve">, P., Schmidt, M., &amp; </w:t>
      </w:r>
      <w:proofErr w:type="spellStart"/>
      <w:r w:rsidRPr="00C53A7C">
        <w:rPr>
          <w:rFonts w:ascii="Times New Roman" w:eastAsia="Times New Roman" w:hAnsi="Times New Roman" w:cs="Times New Roman"/>
          <w:color w:val="000000"/>
          <w:sz w:val="24"/>
          <w:szCs w:val="24"/>
        </w:rPr>
        <w:t>Suliburska</w:t>
      </w:r>
      <w:proofErr w:type="spellEnd"/>
      <w:r w:rsidRPr="00C53A7C">
        <w:rPr>
          <w:rFonts w:ascii="Times New Roman" w:eastAsia="Times New Roman" w:hAnsi="Times New Roman" w:cs="Times New Roman"/>
          <w:color w:val="000000"/>
          <w:sz w:val="24"/>
          <w:szCs w:val="24"/>
        </w:rPr>
        <w:t xml:space="preserve">, J. (2019). The effect of multispecies probiotic supplementation on iron status in rats. </w:t>
      </w:r>
      <w:r w:rsidRPr="00C53A7C">
        <w:rPr>
          <w:rFonts w:ascii="Times New Roman" w:eastAsia="Times New Roman" w:hAnsi="Times New Roman" w:cs="Times New Roman"/>
          <w:i/>
          <w:color w:val="000000"/>
          <w:sz w:val="24"/>
          <w:szCs w:val="24"/>
        </w:rPr>
        <w:t>Biological Trace Element Research</w:t>
      </w:r>
      <w:r w:rsidRPr="00C53A7C">
        <w:rPr>
          <w:rFonts w:ascii="Times New Roman" w:eastAsia="Times New Roman" w:hAnsi="Times New Roman" w:cs="Times New Roman"/>
          <w:color w:val="000000"/>
          <w:sz w:val="24"/>
          <w:szCs w:val="24"/>
        </w:rPr>
        <w:t xml:space="preserve">, </w:t>
      </w:r>
      <w:r w:rsidRPr="006C06D7">
        <w:rPr>
          <w:rFonts w:ascii="Times New Roman" w:eastAsia="Times New Roman" w:hAnsi="Times New Roman" w:cs="Times New Roman"/>
          <w:i/>
          <w:iCs/>
          <w:color w:val="000000"/>
          <w:sz w:val="24"/>
          <w:szCs w:val="24"/>
        </w:rPr>
        <w:t>192</w:t>
      </w:r>
      <w:r w:rsidRPr="00C53A7C">
        <w:rPr>
          <w:rFonts w:ascii="Times New Roman" w:eastAsia="Times New Roman" w:hAnsi="Times New Roman" w:cs="Times New Roman"/>
          <w:color w:val="000000"/>
          <w:sz w:val="24"/>
          <w:szCs w:val="24"/>
        </w:rPr>
        <w:t>,</w:t>
      </w:r>
      <w:r w:rsidRPr="00C53A7C">
        <w:rPr>
          <w:rFonts w:ascii="Times New Roman" w:eastAsia="Times New Roman" w:hAnsi="Times New Roman" w:cs="Times New Roman"/>
          <w:i/>
          <w:color w:val="000000"/>
          <w:sz w:val="24"/>
          <w:szCs w:val="24"/>
        </w:rPr>
        <w:t xml:space="preserve"> </w:t>
      </w:r>
      <w:r w:rsidRPr="00C53A7C">
        <w:rPr>
          <w:rFonts w:ascii="Times New Roman" w:eastAsia="Times New Roman" w:hAnsi="Times New Roman" w:cs="Times New Roman"/>
          <w:color w:val="000000"/>
          <w:sz w:val="24"/>
          <w:szCs w:val="24"/>
        </w:rPr>
        <w:t>234- 243.</w:t>
      </w:r>
    </w:p>
    <w:p w14:paraId="13FB9A77"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C53A7C">
        <w:rPr>
          <w:rFonts w:ascii="Times New Roman" w:eastAsia="Times New Roman" w:hAnsi="Times New Roman" w:cs="Times New Roman"/>
          <w:color w:val="000000"/>
          <w:sz w:val="24"/>
          <w:szCs w:val="24"/>
        </w:rPr>
        <w:t xml:space="preserve">Sun, X., </w:t>
      </w:r>
      <w:proofErr w:type="spellStart"/>
      <w:r w:rsidRPr="00C53A7C">
        <w:rPr>
          <w:rFonts w:ascii="Times New Roman" w:eastAsia="Times New Roman" w:hAnsi="Times New Roman" w:cs="Times New Roman"/>
          <w:color w:val="000000"/>
          <w:sz w:val="24"/>
          <w:szCs w:val="24"/>
        </w:rPr>
        <w:t>Sarteshnizi</w:t>
      </w:r>
      <w:proofErr w:type="spellEnd"/>
      <w:r w:rsidRPr="00C53A7C">
        <w:rPr>
          <w:rFonts w:ascii="Times New Roman" w:eastAsia="Times New Roman" w:hAnsi="Times New Roman" w:cs="Times New Roman"/>
          <w:color w:val="000000"/>
          <w:sz w:val="24"/>
          <w:szCs w:val="24"/>
        </w:rPr>
        <w:t xml:space="preserve">, R.A., </w:t>
      </w:r>
      <w:proofErr w:type="spellStart"/>
      <w:r w:rsidRPr="00C53A7C">
        <w:rPr>
          <w:rFonts w:ascii="Times New Roman" w:eastAsia="Times New Roman" w:hAnsi="Times New Roman" w:cs="Times New Roman"/>
          <w:color w:val="000000"/>
          <w:sz w:val="24"/>
          <w:szCs w:val="24"/>
        </w:rPr>
        <w:t>Boachie</w:t>
      </w:r>
      <w:proofErr w:type="spellEnd"/>
      <w:r w:rsidRPr="00C53A7C">
        <w:rPr>
          <w:rFonts w:ascii="Times New Roman" w:eastAsia="Times New Roman" w:hAnsi="Times New Roman" w:cs="Times New Roman"/>
          <w:color w:val="000000"/>
          <w:sz w:val="24"/>
          <w:szCs w:val="24"/>
        </w:rPr>
        <w:t xml:space="preserve">, R.T., </w:t>
      </w:r>
      <w:proofErr w:type="spellStart"/>
      <w:r w:rsidRPr="00C53A7C">
        <w:rPr>
          <w:rFonts w:ascii="Times New Roman" w:eastAsia="Times New Roman" w:hAnsi="Times New Roman" w:cs="Times New Roman"/>
          <w:color w:val="000000"/>
          <w:sz w:val="24"/>
          <w:szCs w:val="24"/>
        </w:rPr>
        <w:t>Okagu</w:t>
      </w:r>
      <w:proofErr w:type="spellEnd"/>
      <w:r w:rsidRPr="00C53A7C">
        <w:rPr>
          <w:rFonts w:ascii="Times New Roman" w:eastAsia="Times New Roman" w:hAnsi="Times New Roman" w:cs="Times New Roman"/>
          <w:color w:val="000000"/>
          <w:sz w:val="24"/>
          <w:szCs w:val="24"/>
        </w:rPr>
        <w:t xml:space="preserve">, O.D., </w:t>
      </w:r>
      <w:proofErr w:type="spellStart"/>
      <w:r w:rsidRPr="00C53A7C">
        <w:rPr>
          <w:rFonts w:ascii="Times New Roman" w:eastAsia="Times New Roman" w:hAnsi="Times New Roman" w:cs="Times New Roman"/>
          <w:color w:val="000000"/>
          <w:sz w:val="24"/>
          <w:szCs w:val="24"/>
        </w:rPr>
        <w:t>Abioye</w:t>
      </w:r>
      <w:proofErr w:type="spellEnd"/>
      <w:r w:rsidRPr="00C53A7C">
        <w:rPr>
          <w:rFonts w:ascii="Times New Roman" w:eastAsia="Times New Roman" w:hAnsi="Times New Roman" w:cs="Times New Roman"/>
          <w:color w:val="000000"/>
          <w:sz w:val="24"/>
          <w:szCs w:val="24"/>
        </w:rPr>
        <w:t xml:space="preserve">, R.O., Pfeilsticker Neves, R., </w:t>
      </w:r>
      <w:r>
        <w:rPr>
          <w:rFonts w:ascii="Times New Roman" w:eastAsia="Times New Roman" w:hAnsi="Times New Roman" w:cs="Times New Roman"/>
          <w:color w:val="000000"/>
          <w:sz w:val="24"/>
          <w:szCs w:val="24"/>
        </w:rPr>
        <w:t xml:space="preserve">et al. </w:t>
      </w:r>
      <w:r w:rsidRPr="00C53A7C">
        <w:rPr>
          <w:rFonts w:ascii="Times New Roman" w:eastAsia="Times New Roman" w:hAnsi="Times New Roman" w:cs="Times New Roman"/>
          <w:color w:val="000000"/>
          <w:sz w:val="24"/>
          <w:szCs w:val="24"/>
        </w:rPr>
        <w:t>(2020). Peptide–mineral complexes: understanding their chemical interactions, bioavailability, and potential application in mitigating micronutrient deficiency</w:t>
      </w:r>
      <w:r w:rsidRPr="00C53A7C">
        <w:rPr>
          <w:rFonts w:ascii="Times New Roman" w:eastAsia="Times New Roman" w:hAnsi="Times New Roman" w:cs="Times New Roman"/>
          <w:i/>
          <w:color w:val="000000"/>
          <w:sz w:val="24"/>
          <w:szCs w:val="24"/>
        </w:rPr>
        <w:t>. Food</w:t>
      </w:r>
      <w:r>
        <w:rPr>
          <w:rFonts w:ascii="Times New Roman" w:eastAsia="Times New Roman" w:hAnsi="Times New Roman" w:cs="Times New Roman"/>
          <w:i/>
          <w:color w:val="000000"/>
          <w:sz w:val="24"/>
          <w:szCs w:val="24"/>
        </w:rPr>
        <w:t>s,</w:t>
      </w:r>
      <w:r w:rsidRPr="006C06D7">
        <w:rPr>
          <w:rFonts w:ascii="Times New Roman" w:eastAsia="Times New Roman" w:hAnsi="Times New Roman" w:cs="Times New Roman"/>
          <w:i/>
          <w:iCs/>
          <w:color w:val="000000"/>
          <w:sz w:val="24"/>
          <w:szCs w:val="24"/>
        </w:rPr>
        <w:t xml:space="preserve"> 9</w:t>
      </w:r>
      <w:r w:rsidRPr="006C06D7">
        <w:rPr>
          <w:rFonts w:ascii="Times New Roman" w:eastAsia="Times New Roman" w:hAnsi="Times New Roman" w:cs="Times New Roman"/>
          <w:iCs/>
          <w:color w:val="000000"/>
          <w:sz w:val="24"/>
          <w:szCs w:val="24"/>
        </w:rPr>
        <w:t>:</w:t>
      </w:r>
      <w:r w:rsidRPr="00C53A7C">
        <w:rPr>
          <w:rFonts w:ascii="Times New Roman" w:eastAsia="Times New Roman" w:hAnsi="Times New Roman" w:cs="Times New Roman"/>
          <w:color w:val="000000"/>
          <w:sz w:val="24"/>
          <w:szCs w:val="24"/>
        </w:rPr>
        <w:t xml:space="preserve"> 1402.</w:t>
      </w:r>
    </w:p>
    <w:p w14:paraId="36618293" w14:textId="77777777" w:rsidR="005B23EE" w:rsidRDefault="005B23EE">
      <w:pPr>
        <w:spacing w:line="240" w:lineRule="auto"/>
        <w:ind w:left="720" w:hanging="720"/>
        <w:jc w:val="both"/>
        <w:rPr>
          <w:rFonts w:ascii="Times New Roman" w:eastAsia="Times New Roman" w:hAnsi="Times New Roman" w:cs="Times New Roman"/>
          <w:color w:val="000000"/>
          <w:sz w:val="24"/>
          <w:szCs w:val="24"/>
        </w:rPr>
      </w:pPr>
      <w:proofErr w:type="spellStart"/>
      <w:r w:rsidRPr="00C53A7C">
        <w:rPr>
          <w:rFonts w:ascii="Times New Roman" w:eastAsia="Times New Roman" w:hAnsi="Times New Roman" w:cs="Times New Roman"/>
          <w:color w:val="000000"/>
          <w:sz w:val="24"/>
          <w:szCs w:val="24"/>
        </w:rPr>
        <w:t>Surono</w:t>
      </w:r>
      <w:proofErr w:type="spellEnd"/>
      <w:r w:rsidRPr="00C53A7C">
        <w:rPr>
          <w:rFonts w:ascii="Times New Roman" w:eastAsia="Times New Roman" w:hAnsi="Times New Roman" w:cs="Times New Roman"/>
          <w:color w:val="000000"/>
          <w:sz w:val="24"/>
          <w:szCs w:val="24"/>
        </w:rPr>
        <w:t xml:space="preserve">, I.S., </w:t>
      </w:r>
      <w:proofErr w:type="spellStart"/>
      <w:r w:rsidRPr="00C53A7C">
        <w:rPr>
          <w:rFonts w:ascii="Times New Roman" w:eastAsia="Times New Roman" w:hAnsi="Times New Roman" w:cs="Times New Roman"/>
          <w:color w:val="000000"/>
          <w:sz w:val="24"/>
          <w:szCs w:val="24"/>
        </w:rPr>
        <w:t>Martono</w:t>
      </w:r>
      <w:proofErr w:type="spellEnd"/>
      <w:r w:rsidRPr="00C53A7C">
        <w:rPr>
          <w:rFonts w:ascii="Times New Roman" w:eastAsia="Times New Roman" w:hAnsi="Times New Roman" w:cs="Times New Roman"/>
          <w:color w:val="000000"/>
          <w:sz w:val="24"/>
          <w:szCs w:val="24"/>
        </w:rPr>
        <w:t xml:space="preserve">, P.D., Kameo, S., </w:t>
      </w:r>
      <w:proofErr w:type="spellStart"/>
      <w:r w:rsidRPr="00C53A7C">
        <w:rPr>
          <w:rFonts w:ascii="Times New Roman" w:eastAsia="Times New Roman" w:hAnsi="Times New Roman" w:cs="Times New Roman"/>
          <w:color w:val="000000"/>
          <w:sz w:val="24"/>
          <w:szCs w:val="24"/>
        </w:rPr>
        <w:t>Suradji</w:t>
      </w:r>
      <w:proofErr w:type="spellEnd"/>
      <w:r w:rsidRPr="00C53A7C">
        <w:rPr>
          <w:rFonts w:ascii="Times New Roman" w:eastAsia="Times New Roman" w:hAnsi="Times New Roman" w:cs="Times New Roman"/>
          <w:color w:val="000000"/>
          <w:sz w:val="24"/>
          <w:szCs w:val="24"/>
        </w:rPr>
        <w:t xml:space="preserve">, E.W. &amp; Koyama, H. (2014). Effect of probiotic L. plantarum IS-10506 and Zn supplementation on humoral immune response and Zn status of Indonesian pre-school children. </w:t>
      </w:r>
      <w:r w:rsidRPr="00C53A7C">
        <w:rPr>
          <w:rFonts w:ascii="Times New Roman" w:eastAsia="Times New Roman" w:hAnsi="Times New Roman" w:cs="Times New Roman"/>
          <w:i/>
          <w:color w:val="000000"/>
          <w:sz w:val="24"/>
          <w:szCs w:val="24"/>
        </w:rPr>
        <w:t>The Journal of Trace Elements in Medicine and Biology,</w:t>
      </w:r>
      <w:r w:rsidRPr="00E54330">
        <w:rPr>
          <w:rFonts w:ascii="Times New Roman" w:eastAsia="Times New Roman" w:hAnsi="Times New Roman" w:cs="Times New Roman"/>
          <w:i/>
          <w:iCs/>
          <w:color w:val="000000"/>
          <w:sz w:val="24"/>
          <w:szCs w:val="24"/>
        </w:rPr>
        <w:t xml:space="preserve"> 28</w:t>
      </w:r>
      <w:r w:rsidRPr="00C53A7C">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C53A7C">
        <w:rPr>
          <w:rFonts w:ascii="Times New Roman" w:eastAsia="Times New Roman" w:hAnsi="Times New Roman" w:cs="Times New Roman"/>
          <w:i/>
          <w:color w:val="000000"/>
          <w:sz w:val="24"/>
          <w:szCs w:val="24"/>
        </w:rPr>
        <w:t xml:space="preserve"> </w:t>
      </w:r>
      <w:r w:rsidRPr="00C53A7C">
        <w:rPr>
          <w:rFonts w:ascii="Times New Roman" w:eastAsia="Times New Roman" w:hAnsi="Times New Roman" w:cs="Times New Roman"/>
          <w:color w:val="000000"/>
          <w:sz w:val="24"/>
          <w:szCs w:val="24"/>
        </w:rPr>
        <w:t>465-469.</w:t>
      </w:r>
    </w:p>
    <w:p w14:paraId="55DB15D8"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proofErr w:type="spellStart"/>
      <w:r w:rsidRPr="00E72093">
        <w:rPr>
          <w:rFonts w:ascii="Times New Roman" w:eastAsia="Times New Roman" w:hAnsi="Times New Roman" w:cs="Times New Roman"/>
          <w:color w:val="000000"/>
          <w:sz w:val="24"/>
          <w:szCs w:val="24"/>
        </w:rPr>
        <w:lastRenderedPageBreak/>
        <w:t>Szudzik</w:t>
      </w:r>
      <w:proofErr w:type="spellEnd"/>
      <w:r w:rsidRPr="00E72093">
        <w:rPr>
          <w:rFonts w:ascii="Times New Roman" w:eastAsia="Times New Roman" w:hAnsi="Times New Roman" w:cs="Times New Roman"/>
          <w:color w:val="000000"/>
          <w:sz w:val="24"/>
          <w:szCs w:val="24"/>
        </w:rPr>
        <w:t xml:space="preserve">, M., </w:t>
      </w:r>
      <w:proofErr w:type="spellStart"/>
      <w:r w:rsidRPr="00E72093">
        <w:rPr>
          <w:rFonts w:ascii="Times New Roman" w:eastAsia="Times New Roman" w:hAnsi="Times New Roman" w:cs="Times New Roman"/>
          <w:color w:val="000000"/>
          <w:sz w:val="24"/>
          <w:szCs w:val="24"/>
        </w:rPr>
        <w:t>Starzyński</w:t>
      </w:r>
      <w:proofErr w:type="spellEnd"/>
      <w:r w:rsidRPr="00E72093">
        <w:rPr>
          <w:rFonts w:ascii="Times New Roman" w:eastAsia="Times New Roman" w:hAnsi="Times New Roman" w:cs="Times New Roman"/>
          <w:color w:val="000000"/>
          <w:sz w:val="24"/>
          <w:szCs w:val="24"/>
        </w:rPr>
        <w:t xml:space="preserve">, R.R., </w:t>
      </w:r>
      <w:proofErr w:type="spellStart"/>
      <w:r w:rsidRPr="00E72093">
        <w:rPr>
          <w:rFonts w:ascii="Times New Roman" w:eastAsia="Times New Roman" w:hAnsi="Times New Roman" w:cs="Times New Roman"/>
          <w:color w:val="000000"/>
          <w:sz w:val="24"/>
          <w:szCs w:val="24"/>
        </w:rPr>
        <w:t>Jończy</w:t>
      </w:r>
      <w:proofErr w:type="spellEnd"/>
      <w:r w:rsidRPr="00E72093">
        <w:rPr>
          <w:rFonts w:ascii="Times New Roman" w:eastAsia="Times New Roman" w:hAnsi="Times New Roman" w:cs="Times New Roman"/>
          <w:color w:val="000000"/>
          <w:sz w:val="24"/>
          <w:szCs w:val="24"/>
        </w:rPr>
        <w:t xml:space="preserve">, A., </w:t>
      </w:r>
      <w:proofErr w:type="spellStart"/>
      <w:r w:rsidRPr="00E72093">
        <w:rPr>
          <w:rFonts w:ascii="Times New Roman" w:eastAsia="Times New Roman" w:hAnsi="Times New Roman" w:cs="Times New Roman"/>
          <w:color w:val="000000"/>
          <w:sz w:val="24"/>
          <w:szCs w:val="24"/>
        </w:rPr>
        <w:t>Mazgaj</w:t>
      </w:r>
      <w:proofErr w:type="spellEnd"/>
      <w:r w:rsidRPr="00E72093">
        <w:rPr>
          <w:rFonts w:ascii="Times New Roman" w:eastAsia="Times New Roman" w:hAnsi="Times New Roman" w:cs="Times New Roman"/>
          <w:color w:val="000000"/>
          <w:sz w:val="24"/>
          <w:szCs w:val="24"/>
        </w:rPr>
        <w:t xml:space="preserve">, R., </w:t>
      </w:r>
      <w:proofErr w:type="spellStart"/>
      <w:r w:rsidRPr="00E72093">
        <w:rPr>
          <w:rFonts w:ascii="Times New Roman" w:eastAsia="Times New Roman" w:hAnsi="Times New Roman" w:cs="Times New Roman"/>
          <w:color w:val="000000"/>
          <w:sz w:val="24"/>
          <w:szCs w:val="24"/>
        </w:rPr>
        <w:t>Lenartowicz</w:t>
      </w:r>
      <w:proofErr w:type="spellEnd"/>
      <w:r w:rsidRPr="00E72093">
        <w:rPr>
          <w:rFonts w:ascii="Times New Roman" w:eastAsia="Times New Roman" w:hAnsi="Times New Roman" w:cs="Times New Roman"/>
          <w:color w:val="000000"/>
          <w:sz w:val="24"/>
          <w:szCs w:val="24"/>
        </w:rPr>
        <w:t xml:space="preserve">, M. and </w:t>
      </w:r>
      <w:proofErr w:type="spellStart"/>
      <w:r w:rsidRPr="00E72093">
        <w:rPr>
          <w:rFonts w:ascii="Times New Roman" w:eastAsia="Times New Roman" w:hAnsi="Times New Roman" w:cs="Times New Roman"/>
          <w:color w:val="000000"/>
          <w:sz w:val="24"/>
          <w:szCs w:val="24"/>
        </w:rPr>
        <w:t>Lipiński</w:t>
      </w:r>
      <w:proofErr w:type="spellEnd"/>
      <w:r w:rsidRPr="00E72093">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rPr>
        <w:t xml:space="preserve"> (</w:t>
      </w:r>
      <w:r w:rsidRPr="00E72093">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z w:val="24"/>
          <w:szCs w:val="24"/>
        </w:rPr>
        <w:t>)</w:t>
      </w:r>
      <w:r w:rsidRPr="00E72093">
        <w:rPr>
          <w:rFonts w:ascii="Times New Roman" w:eastAsia="Times New Roman" w:hAnsi="Times New Roman" w:cs="Times New Roman"/>
          <w:color w:val="000000"/>
          <w:sz w:val="24"/>
          <w:szCs w:val="24"/>
        </w:rPr>
        <w:t xml:space="preserve">. Iron supplementation in suckling piglets: an ostensibly easy therapy of neonatal iron deficiency </w:t>
      </w:r>
      <w:proofErr w:type="spellStart"/>
      <w:r w:rsidRPr="00E72093">
        <w:rPr>
          <w:rFonts w:ascii="Times New Roman" w:eastAsia="Times New Roman" w:hAnsi="Times New Roman" w:cs="Times New Roman"/>
          <w:color w:val="000000"/>
          <w:sz w:val="24"/>
          <w:szCs w:val="24"/>
        </w:rPr>
        <w:t>anemia</w:t>
      </w:r>
      <w:proofErr w:type="spellEnd"/>
      <w:r w:rsidRPr="00E72093">
        <w:rPr>
          <w:rFonts w:ascii="Times New Roman" w:eastAsia="Times New Roman" w:hAnsi="Times New Roman" w:cs="Times New Roman"/>
          <w:color w:val="000000"/>
          <w:sz w:val="24"/>
          <w:szCs w:val="24"/>
        </w:rPr>
        <w:t>. </w:t>
      </w:r>
      <w:r w:rsidRPr="00E72093">
        <w:rPr>
          <w:rFonts w:ascii="Times New Roman" w:eastAsia="Times New Roman" w:hAnsi="Times New Roman" w:cs="Times New Roman"/>
          <w:i/>
          <w:iCs/>
          <w:color w:val="000000"/>
          <w:sz w:val="24"/>
          <w:szCs w:val="24"/>
        </w:rPr>
        <w:t>Pharmaceuticals</w:t>
      </w:r>
      <w:r w:rsidRPr="00E72093">
        <w:rPr>
          <w:rFonts w:ascii="Times New Roman" w:eastAsia="Times New Roman" w:hAnsi="Times New Roman" w:cs="Times New Roman"/>
          <w:color w:val="000000"/>
          <w:sz w:val="24"/>
          <w:szCs w:val="24"/>
        </w:rPr>
        <w:t>, </w:t>
      </w:r>
      <w:r w:rsidRPr="00E72093">
        <w:rPr>
          <w:rFonts w:ascii="Times New Roman" w:eastAsia="Times New Roman" w:hAnsi="Times New Roman" w:cs="Times New Roman"/>
          <w:i/>
          <w:iCs/>
          <w:color w:val="000000"/>
          <w:sz w:val="24"/>
          <w:szCs w:val="24"/>
        </w:rPr>
        <w:t>11</w:t>
      </w:r>
      <w:r w:rsidRPr="00E72093">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Pr="00E72093">
        <w:rPr>
          <w:rFonts w:ascii="Times New Roman" w:eastAsia="Times New Roman" w:hAnsi="Times New Roman" w:cs="Times New Roman"/>
          <w:color w:val="000000"/>
          <w:sz w:val="24"/>
          <w:szCs w:val="24"/>
        </w:rPr>
        <w:t>128.</w:t>
      </w:r>
    </w:p>
    <w:p w14:paraId="50E1F482" w14:textId="77777777" w:rsidR="005B23EE" w:rsidRDefault="005B23EE">
      <w:pPr>
        <w:spacing w:line="240" w:lineRule="auto"/>
        <w:ind w:left="720" w:hanging="720"/>
        <w:jc w:val="both"/>
        <w:rPr>
          <w:rFonts w:ascii="Times New Roman" w:eastAsia="Times New Roman" w:hAnsi="Times New Roman" w:cs="Times New Roman"/>
          <w:color w:val="000000"/>
          <w:sz w:val="24"/>
          <w:szCs w:val="24"/>
        </w:rPr>
      </w:pPr>
      <w:proofErr w:type="spellStart"/>
      <w:r w:rsidRPr="00C53A7C">
        <w:rPr>
          <w:rFonts w:ascii="Times New Roman" w:eastAsia="Times New Roman" w:hAnsi="Times New Roman" w:cs="Times New Roman"/>
          <w:color w:val="000000"/>
          <w:sz w:val="24"/>
          <w:szCs w:val="24"/>
        </w:rPr>
        <w:t>Tesan</w:t>
      </w:r>
      <w:proofErr w:type="spellEnd"/>
      <w:r w:rsidRPr="00C53A7C">
        <w:rPr>
          <w:rFonts w:ascii="Times New Roman" w:eastAsia="Times New Roman" w:hAnsi="Times New Roman" w:cs="Times New Roman"/>
          <w:color w:val="000000"/>
          <w:sz w:val="24"/>
          <w:szCs w:val="24"/>
        </w:rPr>
        <w:t xml:space="preserve">, F.C., Hernández, F., Torti, H.E., Massot, F., Huarte, M., </w:t>
      </w:r>
      <w:proofErr w:type="spellStart"/>
      <w:r w:rsidRPr="00C53A7C">
        <w:rPr>
          <w:rFonts w:ascii="Times New Roman" w:eastAsia="Times New Roman" w:hAnsi="Times New Roman" w:cs="Times New Roman"/>
          <w:color w:val="000000"/>
          <w:sz w:val="24"/>
          <w:szCs w:val="24"/>
        </w:rPr>
        <w:t>Rubín</w:t>
      </w:r>
      <w:proofErr w:type="spellEnd"/>
      <w:r w:rsidRPr="00C53A7C">
        <w:rPr>
          <w:rFonts w:ascii="Times New Roman" w:eastAsia="Times New Roman" w:hAnsi="Times New Roman" w:cs="Times New Roman"/>
          <w:color w:val="000000"/>
          <w:sz w:val="24"/>
          <w:szCs w:val="24"/>
        </w:rPr>
        <w:t xml:space="preserve"> de </w:t>
      </w:r>
      <w:proofErr w:type="spellStart"/>
      <w:r w:rsidRPr="00C53A7C">
        <w:rPr>
          <w:rFonts w:ascii="Times New Roman" w:eastAsia="Times New Roman" w:hAnsi="Times New Roman" w:cs="Times New Roman"/>
          <w:color w:val="000000"/>
          <w:sz w:val="24"/>
          <w:szCs w:val="24"/>
        </w:rPr>
        <w:t>Celis</w:t>
      </w:r>
      <w:proofErr w:type="spellEnd"/>
      <w:r w:rsidRPr="00C53A7C">
        <w:rPr>
          <w:rFonts w:ascii="Times New Roman" w:eastAsia="Times New Roman" w:hAnsi="Times New Roman" w:cs="Times New Roman"/>
          <w:color w:val="000000"/>
          <w:sz w:val="24"/>
          <w:szCs w:val="24"/>
        </w:rPr>
        <w:t xml:space="preserve">, E., </w:t>
      </w:r>
      <w:r>
        <w:rPr>
          <w:rFonts w:ascii="Times New Roman" w:eastAsia="Times New Roman" w:hAnsi="Times New Roman" w:cs="Times New Roman"/>
          <w:color w:val="000000"/>
          <w:sz w:val="24"/>
          <w:szCs w:val="24"/>
        </w:rPr>
        <w:t>et al</w:t>
      </w:r>
      <w:r w:rsidRPr="00C53A7C">
        <w:rPr>
          <w:rFonts w:ascii="Times New Roman" w:eastAsia="Times New Roman" w:hAnsi="Times New Roman" w:cs="Times New Roman"/>
          <w:color w:val="000000"/>
          <w:sz w:val="24"/>
          <w:szCs w:val="24"/>
        </w:rPr>
        <w:t xml:space="preserve">. (2011). Glycine-stabilized Zn gluconate has similar bioavailability than Zn </w:t>
      </w:r>
      <w:proofErr w:type="spellStart"/>
      <w:r w:rsidRPr="00C53A7C">
        <w:rPr>
          <w:rFonts w:ascii="Times New Roman" w:eastAsia="Times New Roman" w:hAnsi="Times New Roman" w:cs="Times New Roman"/>
          <w:color w:val="000000"/>
          <w:sz w:val="24"/>
          <w:szCs w:val="24"/>
        </w:rPr>
        <w:t>sulfate</w:t>
      </w:r>
      <w:proofErr w:type="spellEnd"/>
      <w:r w:rsidRPr="00C53A7C">
        <w:rPr>
          <w:rFonts w:ascii="Times New Roman" w:eastAsia="Times New Roman" w:hAnsi="Times New Roman" w:cs="Times New Roman"/>
          <w:color w:val="000000"/>
          <w:sz w:val="24"/>
          <w:szCs w:val="24"/>
        </w:rPr>
        <w:t xml:space="preserve"> in a Zn fortified probiotic food. </w:t>
      </w:r>
      <w:r w:rsidRPr="00C53A7C">
        <w:rPr>
          <w:rFonts w:ascii="Times New Roman" w:eastAsia="Times New Roman" w:hAnsi="Times New Roman" w:cs="Times New Roman"/>
          <w:i/>
          <w:color w:val="000000"/>
          <w:sz w:val="24"/>
          <w:szCs w:val="24"/>
        </w:rPr>
        <w:t>The Open Nutraceuticals Journal</w:t>
      </w:r>
      <w:r w:rsidRPr="00C53A7C">
        <w:rPr>
          <w:rFonts w:ascii="Times New Roman" w:eastAsia="Times New Roman" w:hAnsi="Times New Roman" w:cs="Times New Roman"/>
          <w:color w:val="000000"/>
          <w:sz w:val="24"/>
          <w:szCs w:val="24"/>
        </w:rPr>
        <w:t xml:space="preserve">, </w:t>
      </w:r>
      <w:r w:rsidRPr="001D3ECF">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 xml:space="preserve">, </w:t>
      </w:r>
      <w:r w:rsidRPr="00C53A7C">
        <w:rPr>
          <w:rFonts w:ascii="Times New Roman" w:eastAsia="Times New Roman" w:hAnsi="Times New Roman" w:cs="Times New Roman"/>
          <w:color w:val="000000"/>
          <w:sz w:val="24"/>
          <w:szCs w:val="24"/>
        </w:rPr>
        <w:t>136-143.</w:t>
      </w:r>
    </w:p>
    <w:p w14:paraId="076DEE6E" w14:textId="77777777" w:rsidR="005B23EE" w:rsidRPr="00C53A7C" w:rsidRDefault="005B23EE">
      <w:pPr>
        <w:spacing w:line="240" w:lineRule="auto"/>
        <w:ind w:left="720" w:hanging="720"/>
        <w:jc w:val="both"/>
        <w:rPr>
          <w:rFonts w:ascii="Times New Roman" w:eastAsia="Times New Roman" w:hAnsi="Times New Roman" w:cs="Times New Roman"/>
          <w:color w:val="000000"/>
          <w:sz w:val="24"/>
          <w:szCs w:val="24"/>
        </w:rPr>
      </w:pPr>
      <w:r w:rsidRPr="00824286">
        <w:rPr>
          <w:rFonts w:ascii="Times New Roman" w:eastAsia="Times New Roman" w:hAnsi="Times New Roman" w:cs="Times New Roman"/>
          <w:color w:val="000000"/>
          <w:sz w:val="24"/>
          <w:szCs w:val="24"/>
        </w:rPr>
        <w:t>Wang, H., Kim, K.P. and Kim, I.H.</w:t>
      </w:r>
      <w:r>
        <w:rPr>
          <w:rFonts w:ascii="Times New Roman" w:eastAsia="Times New Roman" w:hAnsi="Times New Roman" w:cs="Times New Roman"/>
          <w:color w:val="000000"/>
          <w:sz w:val="24"/>
          <w:szCs w:val="24"/>
        </w:rPr>
        <w:t xml:space="preserve"> (</w:t>
      </w:r>
      <w:r w:rsidRPr="00824286">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w:t>
      </w:r>
      <w:r w:rsidRPr="00824286">
        <w:rPr>
          <w:rFonts w:ascii="Times New Roman" w:eastAsia="Times New Roman" w:hAnsi="Times New Roman" w:cs="Times New Roman"/>
          <w:color w:val="000000"/>
          <w:sz w:val="24"/>
          <w:szCs w:val="24"/>
        </w:rPr>
        <w:t>. Evaluation of the combined effects of different dose levels of zinc oxide with probiotics complex supplementation on the growth performance, nutrient digestibility, faecal microbiota, noxious gas emissions and faecal score of weaning pigs. </w:t>
      </w:r>
      <w:r w:rsidRPr="00824286">
        <w:rPr>
          <w:rFonts w:ascii="Times New Roman" w:eastAsia="Times New Roman" w:hAnsi="Times New Roman" w:cs="Times New Roman"/>
          <w:i/>
          <w:iCs/>
          <w:color w:val="000000"/>
          <w:sz w:val="24"/>
          <w:szCs w:val="24"/>
        </w:rPr>
        <w:t>Journal of Animal Physiology and Animal Nutrition</w:t>
      </w:r>
      <w:r w:rsidRPr="00824286">
        <w:rPr>
          <w:rFonts w:ascii="Times New Roman" w:eastAsia="Times New Roman" w:hAnsi="Times New Roman" w:cs="Times New Roman"/>
          <w:color w:val="000000"/>
          <w:sz w:val="24"/>
          <w:szCs w:val="24"/>
        </w:rPr>
        <w:t>, </w:t>
      </w:r>
      <w:r w:rsidRPr="00824286">
        <w:rPr>
          <w:rFonts w:ascii="Times New Roman" w:eastAsia="Times New Roman" w:hAnsi="Times New Roman" w:cs="Times New Roman"/>
          <w:i/>
          <w:iCs/>
          <w:color w:val="000000"/>
          <w:sz w:val="24"/>
          <w:szCs w:val="24"/>
        </w:rPr>
        <w:t>105</w:t>
      </w:r>
      <w:r w:rsidRPr="0082428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824286">
        <w:rPr>
          <w:rFonts w:ascii="Times New Roman" w:eastAsia="Times New Roman" w:hAnsi="Times New Roman" w:cs="Times New Roman"/>
          <w:color w:val="000000"/>
          <w:sz w:val="24"/>
          <w:szCs w:val="24"/>
        </w:rPr>
        <w:t>286-293.</w:t>
      </w:r>
    </w:p>
    <w:p w14:paraId="47968D17" w14:textId="77777777" w:rsidR="0044233E" w:rsidRDefault="0044233E">
      <w:pPr>
        <w:spacing w:line="240" w:lineRule="auto"/>
        <w:ind w:left="720" w:hanging="720"/>
        <w:jc w:val="both"/>
        <w:rPr>
          <w:rFonts w:ascii="Times New Roman" w:eastAsia="Times New Roman" w:hAnsi="Times New Roman" w:cs="Times New Roman"/>
          <w:sz w:val="24"/>
          <w:szCs w:val="24"/>
        </w:rPr>
      </w:pPr>
    </w:p>
    <w:p w14:paraId="1B33497F" w14:textId="77777777" w:rsidR="003F6B58" w:rsidRDefault="003F6B58">
      <w:pPr>
        <w:spacing w:line="240" w:lineRule="auto"/>
        <w:ind w:right="-964"/>
        <w:jc w:val="both"/>
        <w:rPr>
          <w:rFonts w:ascii="Times New Roman" w:eastAsia="Times New Roman" w:hAnsi="Times New Roman" w:cs="Times New Roman"/>
          <w:sz w:val="24"/>
          <w:szCs w:val="24"/>
        </w:rPr>
      </w:pPr>
    </w:p>
    <w:p w14:paraId="19974F73" w14:textId="77777777" w:rsidR="003F6B58" w:rsidRDefault="003F6B58">
      <w:pPr>
        <w:spacing w:line="240" w:lineRule="auto"/>
        <w:jc w:val="both"/>
        <w:rPr>
          <w:rFonts w:ascii="Times New Roman" w:eastAsia="Times New Roman" w:hAnsi="Times New Roman" w:cs="Times New Roman"/>
          <w:sz w:val="24"/>
          <w:szCs w:val="24"/>
        </w:rPr>
      </w:pPr>
    </w:p>
    <w:sectPr w:rsidR="003F6B58">
      <w:headerReference w:type="even" r:id="rId12"/>
      <w:headerReference w:type="default" r:id="rId13"/>
      <w:footerReference w:type="even" r:id="rId14"/>
      <w:footerReference w:type="default" r:id="rId15"/>
      <w:headerReference w:type="first" r:id="rId16"/>
      <w:footerReference w:type="first" r:id="rId17"/>
      <w:pgSz w:w="11906" w:h="16838"/>
      <w:pgMar w:top="990" w:right="1440" w:bottom="108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33CB4" w14:textId="77777777" w:rsidR="00F41EC4" w:rsidRDefault="00F41EC4">
      <w:pPr>
        <w:spacing w:after="0" w:line="240" w:lineRule="auto"/>
      </w:pPr>
      <w:r>
        <w:separator/>
      </w:r>
    </w:p>
  </w:endnote>
  <w:endnote w:type="continuationSeparator" w:id="0">
    <w:p w14:paraId="7521320D" w14:textId="77777777" w:rsidR="00F41EC4" w:rsidRDefault="00F41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5EAFE" w14:textId="77777777" w:rsidR="007A12FF" w:rsidRDefault="007A1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27EF" w14:textId="77777777" w:rsidR="003F6B58" w:rsidRDefault="00460C86">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73702">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2B25D18C" w14:textId="77777777" w:rsidR="003F6B58" w:rsidRDefault="003F6B58">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F8D0" w14:textId="77777777" w:rsidR="007A12FF" w:rsidRDefault="007A1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FB844" w14:textId="77777777" w:rsidR="00F41EC4" w:rsidRDefault="00F41EC4">
      <w:pPr>
        <w:spacing w:after="0" w:line="240" w:lineRule="auto"/>
      </w:pPr>
      <w:r>
        <w:separator/>
      </w:r>
    </w:p>
  </w:footnote>
  <w:footnote w:type="continuationSeparator" w:id="0">
    <w:p w14:paraId="3B03C68C" w14:textId="77777777" w:rsidR="00F41EC4" w:rsidRDefault="00F41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1366" w14:textId="6CD14322" w:rsidR="007A12FF" w:rsidRDefault="00F41EC4">
    <w:pPr>
      <w:pStyle w:val="Header"/>
    </w:pPr>
    <w:r>
      <w:rPr>
        <w:noProof/>
      </w:rPr>
      <w:pict w14:anchorId="47719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EFAF" w14:textId="7A1FC872" w:rsidR="007A12FF" w:rsidRDefault="00F41EC4">
    <w:pPr>
      <w:pStyle w:val="Header"/>
    </w:pPr>
    <w:r>
      <w:rPr>
        <w:noProof/>
      </w:rPr>
      <w:pict w14:anchorId="5E22D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22983" w14:textId="2AF9FC19" w:rsidR="007A12FF" w:rsidRDefault="00F41EC4">
    <w:pPr>
      <w:pStyle w:val="Header"/>
    </w:pPr>
    <w:r>
      <w:rPr>
        <w:noProof/>
      </w:rPr>
      <w:pict w14:anchorId="35CD9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482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94D29"/>
    <w:multiLevelType w:val="hybridMultilevel"/>
    <w:tmpl w:val="559CCFCC"/>
    <w:lvl w:ilvl="0" w:tplc="6262CC9E">
      <w:start w:val="1"/>
      <w:numFmt w:val="decimal"/>
      <w:lvlText w:val="%1."/>
      <w:lvlJc w:val="left"/>
      <w:pPr>
        <w:ind w:left="36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AB4AEB"/>
    <w:multiLevelType w:val="multilevel"/>
    <w:tmpl w:val="AB4AA57C"/>
    <w:lvl w:ilvl="0">
      <w:start w:val="1"/>
      <w:numFmt w:val="decimal"/>
      <w:lvlText w:val="%1."/>
      <w:lvlJc w:val="left"/>
      <w:pPr>
        <w:ind w:left="720" w:hanging="360"/>
      </w:pPr>
    </w:lvl>
    <w:lvl w:ilvl="1">
      <w:start w:val="5"/>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B58"/>
    <w:rsid w:val="00023480"/>
    <w:rsid w:val="00031EB3"/>
    <w:rsid w:val="000327A8"/>
    <w:rsid w:val="0006551B"/>
    <w:rsid w:val="00071777"/>
    <w:rsid w:val="00105F98"/>
    <w:rsid w:val="001340A0"/>
    <w:rsid w:val="00134BD9"/>
    <w:rsid w:val="00173BB0"/>
    <w:rsid w:val="00182991"/>
    <w:rsid w:val="001D3ECF"/>
    <w:rsid w:val="00204541"/>
    <w:rsid w:val="00244A72"/>
    <w:rsid w:val="0025120B"/>
    <w:rsid w:val="002D573A"/>
    <w:rsid w:val="003B4FCE"/>
    <w:rsid w:val="003F6B58"/>
    <w:rsid w:val="00423308"/>
    <w:rsid w:val="00433924"/>
    <w:rsid w:val="0044233E"/>
    <w:rsid w:val="00460C86"/>
    <w:rsid w:val="004815BB"/>
    <w:rsid w:val="00483C08"/>
    <w:rsid w:val="00496C47"/>
    <w:rsid w:val="004A5FFD"/>
    <w:rsid w:val="004B1496"/>
    <w:rsid w:val="004C3D9B"/>
    <w:rsid w:val="00547833"/>
    <w:rsid w:val="005A64C3"/>
    <w:rsid w:val="005B06AA"/>
    <w:rsid w:val="005B23EE"/>
    <w:rsid w:val="00642A01"/>
    <w:rsid w:val="00690AB3"/>
    <w:rsid w:val="0069208F"/>
    <w:rsid w:val="006C06D7"/>
    <w:rsid w:val="00737AA2"/>
    <w:rsid w:val="00742933"/>
    <w:rsid w:val="0075084D"/>
    <w:rsid w:val="007A12FF"/>
    <w:rsid w:val="00824286"/>
    <w:rsid w:val="008301E4"/>
    <w:rsid w:val="00873702"/>
    <w:rsid w:val="0094328E"/>
    <w:rsid w:val="009C5CA9"/>
    <w:rsid w:val="009E6201"/>
    <w:rsid w:val="009F595E"/>
    <w:rsid w:val="00A24BD0"/>
    <w:rsid w:val="00A57431"/>
    <w:rsid w:val="00A67C56"/>
    <w:rsid w:val="00B129EB"/>
    <w:rsid w:val="00B84BE0"/>
    <w:rsid w:val="00BE6218"/>
    <w:rsid w:val="00C23915"/>
    <w:rsid w:val="00C37F00"/>
    <w:rsid w:val="00C52CAF"/>
    <w:rsid w:val="00C53A7C"/>
    <w:rsid w:val="00C54789"/>
    <w:rsid w:val="00C84BD9"/>
    <w:rsid w:val="00C86EB2"/>
    <w:rsid w:val="00CE15A6"/>
    <w:rsid w:val="00D2236E"/>
    <w:rsid w:val="00D4584E"/>
    <w:rsid w:val="00D51AA9"/>
    <w:rsid w:val="00D63F8E"/>
    <w:rsid w:val="00D70AB5"/>
    <w:rsid w:val="00E47EE1"/>
    <w:rsid w:val="00E53C47"/>
    <w:rsid w:val="00E54330"/>
    <w:rsid w:val="00E72093"/>
    <w:rsid w:val="00E72E18"/>
    <w:rsid w:val="00EB6819"/>
    <w:rsid w:val="00F23CF5"/>
    <w:rsid w:val="00F41BBE"/>
    <w:rsid w:val="00F41EC4"/>
    <w:rsid w:val="00F618EB"/>
    <w:rsid w:val="00F81C91"/>
    <w:rsid w:val="00F94EAA"/>
    <w:rsid w:val="00FA7F2E"/>
    <w:rsid w:val="00FC1178"/>
    <w:rsid w:val="00FD116C"/>
    <w:rsid w:val="00FE65A8"/>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69168"/>
  <w15:docId w15:val="{CFEFA266-DFE0-4382-A773-6909714D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A1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2FF"/>
  </w:style>
  <w:style w:type="paragraph" w:styleId="Footer">
    <w:name w:val="footer"/>
    <w:basedOn w:val="Normal"/>
    <w:link w:val="FooterChar"/>
    <w:uiPriority w:val="99"/>
    <w:unhideWhenUsed/>
    <w:rsid w:val="007A1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2FF"/>
  </w:style>
  <w:style w:type="paragraph" w:styleId="ListParagraph">
    <w:name w:val="List Paragraph"/>
    <w:basedOn w:val="Normal"/>
    <w:uiPriority w:val="34"/>
    <w:qFormat/>
    <w:rsid w:val="0044233E"/>
    <w:pPr>
      <w:ind w:left="720"/>
      <w:contextualSpacing/>
    </w:pPr>
    <w:rPr>
      <w:rFonts w:eastAsia="Times New Roman" w:cs="Mangal"/>
      <w:lang w:val="en-US" w:eastAsia="en-US"/>
    </w:rPr>
  </w:style>
  <w:style w:type="character" w:customStyle="1" w:styleId="citation-doi">
    <w:name w:val="citation-doi"/>
    <w:basedOn w:val="DefaultParagraphFont"/>
    <w:rsid w:val="00442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672259">
      <w:bodyDiv w:val="1"/>
      <w:marLeft w:val="0"/>
      <w:marRight w:val="0"/>
      <w:marTop w:val="0"/>
      <w:marBottom w:val="0"/>
      <w:divBdr>
        <w:top w:val="none" w:sz="0" w:space="0" w:color="auto"/>
        <w:left w:val="none" w:sz="0" w:space="0" w:color="auto"/>
        <w:bottom w:val="none" w:sz="0" w:space="0" w:color="auto"/>
        <w:right w:val="none" w:sz="0" w:space="0" w:color="auto"/>
      </w:divBdr>
    </w:div>
    <w:div w:id="933249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MVSc%20research%20work\thesis%20writing\graph\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VSc%20research%20work\thesis%20writing\graph\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65087595757807"/>
          <c:y val="0.14072119613016751"/>
          <c:w val="0.83540874463862769"/>
          <c:h val="0.74901765247681951"/>
        </c:manualLayout>
      </c:layout>
      <c:barChart>
        <c:barDir val="col"/>
        <c:grouping val="clustered"/>
        <c:varyColors val="0"/>
        <c:ser>
          <c:idx val="0"/>
          <c:order val="0"/>
          <c:tx>
            <c:strRef>
              <c:f>'iron '!$F$2</c:f>
              <c:strCache>
                <c:ptCount val="1"/>
                <c:pt idx="0">
                  <c:v>Control</c:v>
                </c:pt>
              </c:strCache>
            </c:strRef>
          </c:tx>
          <c:spPr>
            <a:pattFill prst="pct60">
              <a:fgClr>
                <a:schemeClr val="tx1"/>
              </a:fgClr>
              <a:bgClr>
                <a:schemeClr val="bg1"/>
              </a:bgClr>
            </a:pattFill>
            <a:ln>
              <a:solidFill>
                <a:schemeClr val="tx1"/>
              </a:solidFill>
            </a:ln>
            <a:effectLst/>
          </c:spPr>
          <c:invertIfNegative val="0"/>
          <c:dLbls>
            <c:dLbl>
              <c:idx val="0"/>
              <c:layout>
                <c:manualLayout>
                  <c:x val="-2.7502750275027539E-3"/>
                  <c:y val="-3.7974683544303806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35-4EAA-833E-A98FC42F1FDE}"/>
                </c:ext>
              </c:extLst>
            </c:dLbl>
            <c:dLbl>
              <c:idx val="1"/>
              <c:layout>
                <c:manualLayout>
                  <c:x val="0"/>
                  <c:y val="-5.0632911392405132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35-4EAA-833E-A98FC42F1FDE}"/>
                </c:ext>
              </c:extLst>
            </c:dLbl>
            <c:dLbl>
              <c:idx val="2"/>
              <c:layout>
                <c:manualLayout>
                  <c:x val="0"/>
                  <c:y val="-3.7974683544303882E-2"/>
                </c:manualLayout>
              </c:layout>
              <c:tx>
                <c:rich>
                  <a:bodyPr/>
                  <a:lstStyle/>
                  <a:p>
                    <a:r>
                      <a:rPr lang="en-US">
                        <a:latin typeface="Times New Roman" pitchFamily="18" charset="0"/>
                        <a:cs typeface="Times New Roman"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35-4EAA-833E-A98FC42F1FDE}"/>
                </c:ext>
              </c:extLst>
            </c:dLbl>
            <c:dLbl>
              <c:idx val="3"/>
              <c:delete val="1"/>
              <c:extLst>
                <c:ext xmlns:c15="http://schemas.microsoft.com/office/drawing/2012/chart" uri="{CE6537A1-D6FC-4f65-9D91-7224C49458BB}"/>
                <c:ext xmlns:c16="http://schemas.microsoft.com/office/drawing/2014/chart" uri="{C3380CC4-5D6E-409C-BE32-E72D297353CC}">
                  <c16:uniqueId val="{00000003-3B35-4EAA-833E-A98FC42F1FDE}"/>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9.020999999999999</c:v>
                </c:pt>
                <c:pt idx="1">
                  <c:v>12.462000000000021</c:v>
                </c:pt>
                <c:pt idx="2">
                  <c:v>13.989000000000004</c:v>
                </c:pt>
                <c:pt idx="3">
                  <c:v>17.805</c:v>
                </c:pt>
              </c:numLit>
            </c:plus>
            <c:minus>
              <c:numLit>
                <c:formatCode>General</c:formatCode>
                <c:ptCount val="4"/>
                <c:pt idx="0">
                  <c:v>9.020999999999999</c:v>
                </c:pt>
                <c:pt idx="1">
                  <c:v>12.462000000000021</c:v>
                </c:pt>
                <c:pt idx="2">
                  <c:v>13.989000000000004</c:v>
                </c:pt>
                <c:pt idx="3">
                  <c:v>17.805</c:v>
                </c:pt>
              </c:numLit>
            </c:minus>
            <c:spPr>
              <a:noFill/>
              <a:ln w="9525" cap="flat" cmpd="sng" algn="ctr">
                <a:solidFill>
                  <a:schemeClr val="tx1"/>
                </a:solidFill>
                <a:round/>
              </a:ln>
              <a:effectLst/>
            </c:spPr>
          </c:errBars>
          <c:cat>
            <c:strRef>
              <c:f>'iron '!$G$1:$J$1</c:f>
              <c:strCache>
                <c:ptCount val="4"/>
                <c:pt idx="0">
                  <c:v>Day 0</c:v>
                </c:pt>
                <c:pt idx="1">
                  <c:v>Day 7</c:v>
                </c:pt>
                <c:pt idx="2">
                  <c:v>Day 14</c:v>
                </c:pt>
                <c:pt idx="3">
                  <c:v>Day 21</c:v>
                </c:pt>
              </c:strCache>
            </c:strRef>
          </c:cat>
          <c:val>
            <c:numRef>
              <c:f>'iron '!$G$2:$J$2</c:f>
              <c:numCache>
                <c:formatCode>General</c:formatCode>
                <c:ptCount val="4"/>
                <c:pt idx="0">
                  <c:v>33.286999999999999</c:v>
                </c:pt>
                <c:pt idx="1">
                  <c:v>29.132999999999999</c:v>
                </c:pt>
                <c:pt idx="2">
                  <c:v>48.759</c:v>
                </c:pt>
                <c:pt idx="3">
                  <c:v>35.668999999999997</c:v>
                </c:pt>
              </c:numCache>
            </c:numRef>
          </c:val>
          <c:extLst>
            <c:ext xmlns:c16="http://schemas.microsoft.com/office/drawing/2014/chart" uri="{C3380CC4-5D6E-409C-BE32-E72D297353CC}">
              <c16:uniqueId val="{00000004-3B35-4EAA-833E-A98FC42F1FDE}"/>
            </c:ext>
          </c:extLst>
        </c:ser>
        <c:ser>
          <c:idx val="1"/>
          <c:order val="1"/>
          <c:tx>
            <c:strRef>
              <c:f>'iron '!$F$3</c:f>
              <c:strCache>
                <c:ptCount val="1"/>
                <c:pt idx="0">
                  <c:v>MM</c:v>
                </c:pt>
              </c:strCache>
            </c:strRef>
          </c:tx>
          <c:spPr>
            <a:pattFill prst="dkUpDiag">
              <a:fgClr>
                <a:schemeClr val="tx1"/>
              </a:fgClr>
              <a:bgClr>
                <a:schemeClr val="bg1"/>
              </a:bgClr>
            </a:pattFill>
            <a:ln>
              <a:solidFill>
                <a:schemeClr val="tx1"/>
              </a:solidFill>
            </a:ln>
            <a:effectLst/>
          </c:spPr>
          <c:invertIfNegative val="0"/>
          <c:dLbls>
            <c:dLbl>
              <c:idx val="0"/>
              <c:layout>
                <c:manualLayout>
                  <c:x val="0"/>
                  <c:y val="-7.5949367088607597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35-4EAA-833E-A98FC42F1FDE}"/>
                </c:ext>
              </c:extLst>
            </c:dLbl>
            <c:dLbl>
              <c:idx val="1"/>
              <c:layout>
                <c:manualLayout>
                  <c:x val="0"/>
                  <c:y val="-6.3291139240506333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35-4EAA-833E-A98FC42F1FDE}"/>
                </c:ext>
              </c:extLst>
            </c:dLbl>
            <c:dLbl>
              <c:idx val="2"/>
              <c:layout>
                <c:manualLayout>
                  <c:x val="0"/>
                  <c:y val="-3.3755274261603296E-2"/>
                </c:manualLayout>
              </c:layout>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35-4EAA-833E-A98FC42F1FDE}"/>
                </c:ext>
              </c:extLst>
            </c:dLbl>
            <c:dLbl>
              <c:idx val="3"/>
              <c:layout>
                <c:manualLayout>
                  <c:x val="-2.7502750275027539E-3"/>
                  <c:y val="-3.7974683544303806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35-4EAA-833E-A98FC42F1FDE}"/>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22.192</c:v>
                </c:pt>
                <c:pt idx="1">
                  <c:v>19.123000000000001</c:v>
                </c:pt>
                <c:pt idx="2">
                  <c:v>11.9</c:v>
                </c:pt>
                <c:pt idx="3">
                  <c:v>10.033000000000001</c:v>
                </c:pt>
              </c:numLit>
            </c:plus>
            <c:minus>
              <c:numLit>
                <c:formatCode>General</c:formatCode>
                <c:ptCount val="4"/>
                <c:pt idx="0">
                  <c:v>22.192</c:v>
                </c:pt>
                <c:pt idx="1">
                  <c:v>19.123000000000001</c:v>
                </c:pt>
                <c:pt idx="2">
                  <c:v>11.9</c:v>
                </c:pt>
                <c:pt idx="3">
                  <c:v>10.033000000000001</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21</c:v>
                </c:pt>
              </c:strCache>
            </c:strRef>
          </c:cat>
          <c:val>
            <c:numRef>
              <c:f>'iron '!$G$3:$J$3</c:f>
              <c:numCache>
                <c:formatCode>General</c:formatCode>
                <c:ptCount val="4"/>
                <c:pt idx="0">
                  <c:v>92.263000000000005</c:v>
                </c:pt>
                <c:pt idx="1">
                  <c:v>94.900999999999996</c:v>
                </c:pt>
                <c:pt idx="2">
                  <c:v>55.628999999999998</c:v>
                </c:pt>
                <c:pt idx="3">
                  <c:v>37.834000000000003</c:v>
                </c:pt>
              </c:numCache>
            </c:numRef>
          </c:val>
          <c:extLst>
            <c:ext xmlns:c16="http://schemas.microsoft.com/office/drawing/2014/chart" uri="{C3380CC4-5D6E-409C-BE32-E72D297353CC}">
              <c16:uniqueId val="{00000009-3B35-4EAA-833E-A98FC42F1FDE}"/>
            </c:ext>
          </c:extLst>
        </c:ser>
        <c:ser>
          <c:idx val="2"/>
          <c:order val="2"/>
          <c:tx>
            <c:strRef>
              <c:f>'iron '!$F$4</c:f>
              <c:strCache>
                <c:ptCount val="1"/>
                <c:pt idx="0">
                  <c:v>MSP</c:v>
                </c:pt>
              </c:strCache>
            </c:strRef>
          </c:tx>
          <c:spPr>
            <a:pattFill prst="pct75">
              <a:fgClr>
                <a:schemeClr val="tx1"/>
              </a:fgClr>
              <a:bgClr>
                <a:schemeClr val="bg1"/>
              </a:bgClr>
            </a:pattFill>
            <a:ln>
              <a:solidFill>
                <a:schemeClr val="tx1"/>
              </a:solidFill>
            </a:ln>
            <a:effectLst/>
          </c:spPr>
          <c:invertIfNegative val="0"/>
          <c:dLbls>
            <c:dLbl>
              <c:idx val="0"/>
              <c:layout>
                <c:manualLayout>
                  <c:x val="0"/>
                  <c:y val="-1.6877637130801686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35-4EAA-833E-A98FC42F1FDE}"/>
                </c:ext>
              </c:extLst>
            </c:dLbl>
            <c:dLbl>
              <c:idx val="1"/>
              <c:layout>
                <c:manualLayout>
                  <c:x val="2.7502750275028012E-3"/>
                  <c:y val="-6.7510548523206773E-2"/>
                </c:manualLayout>
              </c:layout>
              <c:tx>
                <c:rich>
                  <a:bodyPr/>
                  <a:lstStyle/>
                  <a:p>
                    <a:r>
                      <a:rPr lang="en-US">
                        <a:latin typeface="Times New Roman" pitchFamily="18" charset="0"/>
                        <a:cs typeface="Times New Roman" pitchFamily="18" charset="0"/>
                      </a:rPr>
                      <a:t>C,y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35-4EAA-833E-A98FC42F1FDE}"/>
                </c:ext>
              </c:extLst>
            </c:dLbl>
            <c:dLbl>
              <c:idx val="2"/>
              <c:layout>
                <c:manualLayout>
                  <c:x val="0"/>
                  <c:y val="-4.6413502109704664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B35-4EAA-833E-A98FC42F1FDE}"/>
                </c:ext>
              </c:extLst>
            </c:dLbl>
            <c:dLbl>
              <c:idx val="3"/>
              <c:layout>
                <c:manualLayout>
                  <c:x val="2.7502750275026546E-3"/>
                  <c:y val="-2.5316455696202528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B35-4EAA-833E-A98FC42F1FDE}"/>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4.6139999999999946</c:v>
                </c:pt>
                <c:pt idx="1">
                  <c:v>21.268999999999952</c:v>
                </c:pt>
                <c:pt idx="2">
                  <c:v>9.8420000000000005</c:v>
                </c:pt>
                <c:pt idx="3">
                  <c:v>7.4329999999999998</c:v>
                </c:pt>
              </c:numLit>
            </c:plus>
            <c:minus>
              <c:numLit>
                <c:formatCode>General</c:formatCode>
                <c:ptCount val="4"/>
                <c:pt idx="0">
                  <c:v>4.6139999999999946</c:v>
                </c:pt>
                <c:pt idx="1">
                  <c:v>21.268999999999952</c:v>
                </c:pt>
                <c:pt idx="2">
                  <c:v>9.8420000000000005</c:v>
                </c:pt>
                <c:pt idx="3">
                  <c:v>7.4329999999999998</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21</c:v>
                </c:pt>
              </c:strCache>
            </c:strRef>
          </c:cat>
          <c:val>
            <c:numRef>
              <c:f>'iron '!$G$4:$J$4</c:f>
              <c:numCache>
                <c:formatCode>General</c:formatCode>
                <c:ptCount val="4"/>
                <c:pt idx="0">
                  <c:v>33.759</c:v>
                </c:pt>
                <c:pt idx="1">
                  <c:v>167.303</c:v>
                </c:pt>
                <c:pt idx="2">
                  <c:v>65</c:v>
                </c:pt>
                <c:pt idx="3">
                  <c:v>31.888999999999999</c:v>
                </c:pt>
              </c:numCache>
            </c:numRef>
          </c:val>
          <c:extLst>
            <c:ext xmlns:c16="http://schemas.microsoft.com/office/drawing/2014/chart" uri="{C3380CC4-5D6E-409C-BE32-E72D297353CC}">
              <c16:uniqueId val="{0000000E-3B35-4EAA-833E-A98FC42F1FDE}"/>
            </c:ext>
          </c:extLst>
        </c:ser>
        <c:ser>
          <c:idx val="3"/>
          <c:order val="3"/>
          <c:tx>
            <c:strRef>
              <c:f>'iron '!$F$5</c:f>
              <c:strCache>
                <c:ptCount val="1"/>
                <c:pt idx="0">
                  <c:v>MM+MSP</c:v>
                </c:pt>
              </c:strCache>
            </c:strRef>
          </c:tx>
          <c:spPr>
            <a:pattFill prst="lgConfetti">
              <a:fgClr>
                <a:schemeClr val="tx1"/>
              </a:fgClr>
              <a:bgClr>
                <a:schemeClr val="bg1"/>
              </a:bgClr>
            </a:pattFill>
            <a:ln>
              <a:solidFill>
                <a:schemeClr val="tx1"/>
              </a:solidFill>
            </a:ln>
            <a:effectLst/>
          </c:spPr>
          <c:invertIfNegative val="0"/>
          <c:dLbls>
            <c:dLbl>
              <c:idx val="0"/>
              <c:layout>
                <c:manualLayout>
                  <c:x val="0"/>
                  <c:y val="-8.4388185654008435E-2"/>
                </c:manualLayout>
              </c:layout>
              <c:tx>
                <c:rich>
                  <a:bodyPr/>
                  <a:lstStyle/>
                  <a:p>
                    <a:r>
                      <a:rPr lang="en-US">
                        <a:latin typeface="Times New Roman" pitchFamily="18" charset="0"/>
                        <a:cs typeface="Times New Roman" pitchFamily="18" charset="0"/>
                      </a:rPr>
                      <a:t>AB,xy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B35-4EAA-833E-A98FC42F1FDE}"/>
                </c:ext>
              </c:extLst>
            </c:dLbl>
            <c:dLbl>
              <c:idx val="1"/>
              <c:layout>
                <c:manualLayout>
                  <c:x val="0"/>
                  <c:y val="-8.8607594936708861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B35-4EAA-833E-A98FC42F1FDE}"/>
                </c:ext>
              </c:extLst>
            </c:dLbl>
            <c:dLbl>
              <c:idx val="2"/>
              <c:layout>
                <c:manualLayout>
                  <c:x val="0"/>
                  <c:y val="-4.2194092827004405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B35-4EAA-833E-A98FC42F1FDE}"/>
                </c:ext>
              </c:extLst>
            </c:dLbl>
            <c:dLbl>
              <c:idx val="3"/>
              <c:layout>
                <c:manualLayout>
                  <c:x val="0"/>
                  <c:y val="-7.5949367088607597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B35-4EAA-833E-A98FC42F1FDE}"/>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21.437000000000001</c:v>
                </c:pt>
                <c:pt idx="1">
                  <c:v>23.024000000000001</c:v>
                </c:pt>
                <c:pt idx="2">
                  <c:v>10.667</c:v>
                </c:pt>
                <c:pt idx="3">
                  <c:v>18.787999999999986</c:v>
                </c:pt>
              </c:numLit>
            </c:plus>
            <c:minus>
              <c:numLit>
                <c:formatCode>General</c:formatCode>
                <c:ptCount val="4"/>
                <c:pt idx="0">
                  <c:v>21.437000000000001</c:v>
                </c:pt>
                <c:pt idx="1">
                  <c:v>23.024000000000001</c:v>
                </c:pt>
                <c:pt idx="2">
                  <c:v>10.667</c:v>
                </c:pt>
                <c:pt idx="3">
                  <c:v>18.787999999999986</c:v>
                </c:pt>
              </c:numLit>
            </c:minus>
            <c:spPr>
              <a:noFill/>
              <a:ln w="9525" cap="flat" cmpd="sng" algn="ctr">
                <a:solidFill>
                  <a:schemeClr val="tx1">
                    <a:lumMod val="65000"/>
                    <a:lumOff val="35000"/>
                  </a:schemeClr>
                </a:solidFill>
                <a:round/>
              </a:ln>
              <a:effectLst/>
            </c:spPr>
          </c:errBars>
          <c:cat>
            <c:strRef>
              <c:f>'iron '!$G$1:$J$1</c:f>
              <c:strCache>
                <c:ptCount val="4"/>
                <c:pt idx="0">
                  <c:v>Day 0</c:v>
                </c:pt>
                <c:pt idx="1">
                  <c:v>Day 7</c:v>
                </c:pt>
                <c:pt idx="2">
                  <c:v>Day 14</c:v>
                </c:pt>
                <c:pt idx="3">
                  <c:v>Day 21</c:v>
                </c:pt>
              </c:strCache>
            </c:strRef>
          </c:cat>
          <c:val>
            <c:numRef>
              <c:f>'iron '!$G$5:$J$5</c:f>
              <c:numCache>
                <c:formatCode>General</c:formatCode>
                <c:ptCount val="4"/>
                <c:pt idx="0">
                  <c:v>70.59</c:v>
                </c:pt>
                <c:pt idx="1">
                  <c:v>107.97199999999999</c:v>
                </c:pt>
                <c:pt idx="2">
                  <c:v>44.389000000000003</c:v>
                </c:pt>
                <c:pt idx="3">
                  <c:v>37.834000000000003</c:v>
                </c:pt>
              </c:numCache>
            </c:numRef>
          </c:val>
          <c:extLst>
            <c:ext xmlns:c16="http://schemas.microsoft.com/office/drawing/2014/chart" uri="{C3380CC4-5D6E-409C-BE32-E72D297353CC}">
              <c16:uniqueId val="{00000013-3B35-4EAA-833E-A98FC42F1FDE}"/>
            </c:ext>
          </c:extLst>
        </c:ser>
        <c:dLbls>
          <c:showLegendKey val="0"/>
          <c:showVal val="1"/>
          <c:showCatName val="0"/>
          <c:showSerName val="0"/>
          <c:showPercent val="0"/>
          <c:showBubbleSize val="0"/>
        </c:dLbls>
        <c:gapWidth val="219"/>
        <c:overlap val="-27"/>
        <c:axId val="133735552"/>
        <c:axId val="133737088"/>
      </c:barChart>
      <c:catAx>
        <c:axId val="13373555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133737088"/>
        <c:crosses val="autoZero"/>
        <c:auto val="1"/>
        <c:lblAlgn val="ctr"/>
        <c:lblOffset val="100"/>
        <c:noMultiLvlLbl val="0"/>
      </c:catAx>
      <c:valAx>
        <c:axId val="13373708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sz="1200" b="1" baseline="0">
                    <a:solidFill>
                      <a:sysClr val="windowText" lastClr="000000"/>
                    </a:solidFill>
                    <a:latin typeface="Times New Roman" panose="02020603050405020304" pitchFamily="18" charset="0"/>
                  </a:rPr>
                  <a:t>Iron </a:t>
                </a:r>
                <a:r>
                  <a:rPr lang="en-US" sz="1200" b="1" i="0" u="none" strike="noStrike" baseline="0">
                    <a:solidFill>
                      <a:sysClr val="windowText" lastClr="000000"/>
                    </a:solidFill>
                    <a:effectLst/>
                    <a:latin typeface="Times New Roman" panose="02020603050405020304" pitchFamily="18" charset="0"/>
                  </a:rPr>
                  <a:t>(µg/dL) </a:t>
                </a:r>
                <a:endParaRPr lang="en-IN" sz="1200" b="1" baseline="0">
                  <a:solidFill>
                    <a:sysClr val="windowText" lastClr="000000"/>
                  </a:solidFill>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133735552"/>
        <c:crosses val="autoZero"/>
        <c:crossBetween val="between"/>
      </c:valAx>
      <c:spPr>
        <a:noFill/>
        <a:ln>
          <a:noFill/>
        </a:ln>
        <a:effectLst/>
      </c:spPr>
    </c:plotArea>
    <c:legend>
      <c:legendPos val="b"/>
      <c:layout>
        <c:manualLayout>
          <c:xMode val="edge"/>
          <c:yMode val="edge"/>
          <c:x val="0.19145253184815314"/>
          <c:y val="3.2985564304461902E-2"/>
          <c:w val="0.65313786996137679"/>
          <c:h val="8.4244004459864727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5870516185478"/>
          <c:y val="6.4814814814814978E-2"/>
          <c:w val="0.85686351706036767"/>
          <c:h val="0.72520669291338713"/>
        </c:manualLayout>
      </c:layout>
      <c:barChart>
        <c:barDir val="col"/>
        <c:grouping val="clustered"/>
        <c:varyColors val="0"/>
        <c:ser>
          <c:idx val="0"/>
          <c:order val="0"/>
          <c:tx>
            <c:strRef>
              <c:f>zinc!$F$2</c:f>
              <c:strCache>
                <c:ptCount val="1"/>
                <c:pt idx="0">
                  <c:v>Control</c:v>
                </c:pt>
              </c:strCache>
            </c:strRef>
          </c:tx>
          <c:spPr>
            <a:pattFill prst="pct60">
              <a:fgClr>
                <a:schemeClr val="tx1"/>
              </a:fgClr>
              <a:bgClr>
                <a:schemeClr val="bg1"/>
              </a:bgClr>
            </a:pattFill>
            <a:ln>
              <a:solidFill>
                <a:schemeClr val="tx1"/>
              </a:solidFill>
            </a:ln>
            <a:effectLst/>
          </c:spPr>
          <c:invertIfNegative val="0"/>
          <c:dLbls>
            <c:dLbl>
              <c:idx val="0"/>
              <c:layout>
                <c:manualLayout>
                  <c:x val="0"/>
                  <c:y val="-4.9937578027465714E-2"/>
                </c:manualLayout>
              </c:layout>
              <c:tx>
                <c:rich>
                  <a:bodyPr/>
                  <a:lstStyle/>
                  <a:p>
                    <a:r>
                      <a:rPr lang="en-US">
                        <a:solidFill>
                          <a:schemeClr val="tx1"/>
                        </a:solidFill>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6-4362-A7DF-F869BC08F5DB}"/>
                </c:ext>
              </c:extLst>
            </c:dLbl>
            <c:dLbl>
              <c:idx val="1"/>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86-4362-A7DF-F869BC08F5DB}"/>
                </c:ext>
              </c:extLst>
            </c:dLbl>
            <c:dLbl>
              <c:idx val="2"/>
              <c:layout>
                <c:manualLayout>
                  <c:x val="0"/>
                  <c:y val="-2.0807324178110733E-2"/>
                </c:manualLayout>
              </c:layout>
              <c:tx>
                <c:rich>
                  <a:bodyPr/>
                  <a:lstStyle/>
                  <a:p>
                    <a:r>
                      <a:rPr lang="en-US">
                        <a:latin typeface="Times New Roman" pitchFamily="18" charset="0"/>
                        <a:cs typeface="Times New Roman" pitchFamily="18" charset="0"/>
                      </a:rPr>
                      <a:t>A,yz</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86-4362-A7DF-F869BC08F5DB}"/>
                </c:ext>
              </c:extLst>
            </c:dLbl>
            <c:dLbl>
              <c:idx val="3"/>
              <c:layout>
                <c:manualLayout>
                  <c:x val="0"/>
                  <c:y val="-2.0807324178110733E-2"/>
                </c:manualLayout>
              </c:layout>
              <c:tx>
                <c:rich>
                  <a:bodyPr/>
                  <a:lstStyle/>
                  <a:p>
                    <a:r>
                      <a:rPr lang="en-US">
                        <a:latin typeface="Times New Roman" pitchFamily="18" charset="0"/>
                        <a:cs typeface="Times New Roman" pitchFamily="18" charset="0"/>
                      </a:rPr>
                      <a:t>A,z</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86-4362-A7DF-F869BC08F5DB}"/>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31.184000000000001</c:v>
                </c:pt>
                <c:pt idx="1">
                  <c:v>8.3970000000000002</c:v>
                </c:pt>
                <c:pt idx="2">
                  <c:v>16.012</c:v>
                </c:pt>
                <c:pt idx="3">
                  <c:v>12.5</c:v>
                </c:pt>
              </c:numLit>
            </c:plus>
            <c:minus>
              <c:numLit>
                <c:formatCode>General</c:formatCode>
                <c:ptCount val="4"/>
                <c:pt idx="0">
                  <c:v>31.184000000000001</c:v>
                </c:pt>
                <c:pt idx="1">
                  <c:v>8.3970000000000002</c:v>
                </c:pt>
                <c:pt idx="2">
                  <c:v>16.012</c:v>
                </c:pt>
                <c:pt idx="3">
                  <c:v>12.5</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21</c:v>
                </c:pt>
              </c:strCache>
            </c:strRef>
          </c:cat>
          <c:val>
            <c:numRef>
              <c:f>zinc!$G$2:$J$2</c:f>
              <c:numCache>
                <c:formatCode>General</c:formatCode>
                <c:ptCount val="4"/>
                <c:pt idx="0">
                  <c:v>140.55099999999999</c:v>
                </c:pt>
                <c:pt idx="1">
                  <c:v>85.382999999999996</c:v>
                </c:pt>
                <c:pt idx="2">
                  <c:v>42.984000000000002</c:v>
                </c:pt>
                <c:pt idx="3">
                  <c:v>26.472999999999999</c:v>
                </c:pt>
              </c:numCache>
            </c:numRef>
          </c:val>
          <c:extLst>
            <c:ext xmlns:c16="http://schemas.microsoft.com/office/drawing/2014/chart" uri="{C3380CC4-5D6E-409C-BE32-E72D297353CC}">
              <c16:uniqueId val="{00000004-5086-4362-A7DF-F869BC08F5DB}"/>
            </c:ext>
          </c:extLst>
        </c:ser>
        <c:ser>
          <c:idx val="1"/>
          <c:order val="1"/>
          <c:tx>
            <c:strRef>
              <c:f>zinc!$F$3</c:f>
              <c:strCache>
                <c:ptCount val="1"/>
                <c:pt idx="0">
                  <c:v>MM</c:v>
                </c:pt>
              </c:strCache>
            </c:strRef>
          </c:tx>
          <c:spPr>
            <a:pattFill prst="dkUpDiag">
              <a:fgClr>
                <a:schemeClr val="tx1"/>
              </a:fgClr>
              <a:bgClr>
                <a:schemeClr val="bg1"/>
              </a:bgClr>
            </a:pattFill>
            <a:ln>
              <a:solidFill>
                <a:schemeClr val="tx1"/>
              </a:solidFill>
            </a:ln>
            <a:effectLst/>
          </c:spPr>
          <c:invertIfNegative val="0"/>
          <c:dLbls>
            <c:dLbl>
              <c:idx val="0"/>
              <c:layout>
                <c:manualLayout>
                  <c:x val="2.8034763106251793E-3"/>
                  <c:y val="-0.10403662089055359"/>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86-4362-A7DF-F869BC08F5DB}"/>
                </c:ext>
              </c:extLst>
            </c:dLbl>
            <c:dLbl>
              <c:idx val="1"/>
              <c:layout>
                <c:manualLayout>
                  <c:x val="0"/>
                  <c:y val="-7.9067831876820871E-2"/>
                </c:manualLayout>
              </c:layout>
              <c:tx>
                <c:rich>
                  <a:bodyPr/>
                  <a:lstStyle/>
                  <a:p>
                    <a:r>
                      <a:rPr lang="en-US">
                        <a:latin typeface="Times New Roman" pitchFamily="18" charset="0"/>
                        <a:cs typeface="Times New Roman" pitchFamily="18" charset="0"/>
                      </a:rPr>
                      <a:t>B,xy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86-4362-A7DF-F869BC08F5DB}"/>
                </c:ext>
              </c:extLst>
            </c:dLbl>
            <c:dLbl>
              <c:idx val="2"/>
              <c:layout>
                <c:manualLayout>
                  <c:x val="0"/>
                  <c:y val="-3.7453183520599259E-2"/>
                </c:manualLayout>
              </c:layout>
              <c:tx>
                <c:rich>
                  <a:bodyPr/>
                  <a:lstStyle/>
                  <a:p>
                    <a:r>
                      <a:rPr lang="en-US">
                        <a:latin typeface="Times New Roman" pitchFamily="18" charset="0"/>
                        <a:cs typeface="Times New Roman" pitchFamily="18" charset="0"/>
                      </a:rPr>
                      <a:t>AB,z</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86-4362-A7DF-F869BC08F5DB}"/>
                </c:ext>
              </c:extLst>
            </c:dLbl>
            <c:dLbl>
              <c:idx val="3"/>
              <c:layout>
                <c:manualLayout>
                  <c:x val="-5.6069526212502484E-3"/>
                  <c:y val="-6.2421972534332092E-2"/>
                </c:manualLayout>
              </c:layout>
              <c:tx>
                <c:rich>
                  <a:bodyPr/>
                  <a:lstStyle/>
                  <a:p>
                    <a:r>
                      <a:rPr lang="en-US">
                        <a:latin typeface="Times New Roman" pitchFamily="18" charset="0"/>
                        <a:cs typeface="Times New Roman" pitchFamily="18" charset="0"/>
                      </a:rPr>
                      <a:t>BC,yz</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86-4362-A7DF-F869BC08F5DB}"/>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58.356999999999999</c:v>
                </c:pt>
                <c:pt idx="1">
                  <c:v>43.773000000000003</c:v>
                </c:pt>
                <c:pt idx="2">
                  <c:v>21.564999999999987</c:v>
                </c:pt>
                <c:pt idx="3">
                  <c:v>29.921999999999986</c:v>
                </c:pt>
              </c:numLit>
            </c:plus>
            <c:minus>
              <c:numLit>
                <c:formatCode>General</c:formatCode>
                <c:ptCount val="4"/>
                <c:pt idx="0">
                  <c:v>58.356999999999999</c:v>
                </c:pt>
                <c:pt idx="1">
                  <c:v>43.773000000000003</c:v>
                </c:pt>
                <c:pt idx="2">
                  <c:v>21.564999999999987</c:v>
                </c:pt>
                <c:pt idx="3">
                  <c:v>29.921999999999986</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21</c:v>
                </c:pt>
              </c:strCache>
            </c:strRef>
          </c:cat>
          <c:val>
            <c:numRef>
              <c:f>zinc!$G$3:$J$3</c:f>
              <c:numCache>
                <c:formatCode>General</c:formatCode>
                <c:ptCount val="4"/>
                <c:pt idx="0">
                  <c:v>290.71499999999997</c:v>
                </c:pt>
                <c:pt idx="1">
                  <c:v>206.40700000000001</c:v>
                </c:pt>
                <c:pt idx="2">
                  <c:v>72.521000000000001</c:v>
                </c:pt>
                <c:pt idx="3">
                  <c:v>137.86199999999999</c:v>
                </c:pt>
              </c:numCache>
            </c:numRef>
          </c:val>
          <c:extLst>
            <c:ext xmlns:c16="http://schemas.microsoft.com/office/drawing/2014/chart" uri="{C3380CC4-5D6E-409C-BE32-E72D297353CC}">
              <c16:uniqueId val="{00000009-5086-4362-A7DF-F869BC08F5DB}"/>
            </c:ext>
          </c:extLst>
        </c:ser>
        <c:ser>
          <c:idx val="2"/>
          <c:order val="2"/>
          <c:tx>
            <c:strRef>
              <c:f>zinc!$F$4</c:f>
              <c:strCache>
                <c:ptCount val="1"/>
                <c:pt idx="0">
                  <c:v>MSP</c:v>
                </c:pt>
              </c:strCache>
            </c:strRef>
          </c:tx>
          <c:spPr>
            <a:pattFill prst="pct40">
              <a:fgClr>
                <a:schemeClr val="tx1"/>
              </a:fgClr>
              <a:bgClr>
                <a:schemeClr val="bg1"/>
              </a:bgClr>
            </a:pattFill>
            <a:ln>
              <a:solidFill>
                <a:schemeClr val="tx1"/>
              </a:solidFill>
            </a:ln>
            <a:effectLst/>
          </c:spPr>
          <c:invertIfNegative val="0"/>
          <c:dLbls>
            <c:dLbl>
              <c:idx val="0"/>
              <c:layout>
                <c:manualLayout>
                  <c:x val="2.8034763106251793E-3"/>
                  <c:y val="-4.5776113191843534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86-4362-A7DF-F869BC08F5DB}"/>
                </c:ext>
              </c:extLst>
            </c:dLbl>
            <c:dLbl>
              <c:idx val="1"/>
              <c:layout>
                <c:manualLayout>
                  <c:x val="5.6069526212502987E-3"/>
                  <c:y val="-7.0744902205576374E-2"/>
                </c:manualLayout>
              </c:layout>
              <c:tx>
                <c:rich>
                  <a:bodyPr/>
                  <a:lstStyle/>
                  <a:p>
                    <a:r>
                      <a:rPr lang="en-US">
                        <a:latin typeface="Times New Roman" pitchFamily="18" charset="0"/>
                        <a:cs typeface="Times New Roman" pitchFamily="18" charset="0"/>
                      </a:rPr>
                      <a:t>B,y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86-4362-A7DF-F869BC08F5DB}"/>
                </c:ext>
              </c:extLst>
            </c:dLbl>
            <c:dLbl>
              <c:idx val="2"/>
              <c:layout>
                <c:manualLayout>
                  <c:x val="0"/>
                  <c:y val="-3.7453183520599335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86-4362-A7DF-F869BC08F5DB}"/>
                </c:ext>
              </c:extLst>
            </c:dLbl>
            <c:dLbl>
              <c:idx val="3"/>
              <c:layout>
                <c:manualLayout>
                  <c:x val="-2.8036970567913758E-3"/>
                  <c:y val="-9.1552226383687291E-2"/>
                </c:manualLayout>
              </c:layout>
              <c:tx>
                <c:rich>
                  <a:bodyPr/>
                  <a:lstStyle/>
                  <a:p>
                    <a:r>
                      <a:rPr lang="en-US">
                        <a:latin typeface="Times New Roman" pitchFamily="18" charset="0"/>
                        <a:cs typeface="Times New Roman" pitchFamily="18" charset="0"/>
                      </a:rPr>
                      <a:t>C,y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86-4362-A7DF-F869BC08F5DB}"/>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19.132000000000001</c:v>
                </c:pt>
                <c:pt idx="1">
                  <c:v>36.679000000000002</c:v>
                </c:pt>
                <c:pt idx="2">
                  <c:v>25.303000000000001</c:v>
                </c:pt>
                <c:pt idx="3">
                  <c:v>45.202000000000012</c:v>
                </c:pt>
              </c:numLit>
            </c:plus>
            <c:minus>
              <c:numLit>
                <c:formatCode>General</c:formatCode>
                <c:ptCount val="4"/>
                <c:pt idx="0">
                  <c:v>19.132000000000001</c:v>
                </c:pt>
                <c:pt idx="1">
                  <c:v>36.679000000000002</c:v>
                </c:pt>
                <c:pt idx="2">
                  <c:v>25.303000000000001</c:v>
                </c:pt>
                <c:pt idx="3">
                  <c:v>45.202000000000012</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21</c:v>
                </c:pt>
              </c:strCache>
            </c:strRef>
          </c:cat>
          <c:val>
            <c:numRef>
              <c:f>zinc!$G$4:$J$4</c:f>
              <c:numCache>
                <c:formatCode>General</c:formatCode>
                <c:ptCount val="4"/>
                <c:pt idx="0">
                  <c:v>117.797</c:v>
                </c:pt>
                <c:pt idx="1">
                  <c:v>243.077</c:v>
                </c:pt>
                <c:pt idx="2">
                  <c:v>115.294</c:v>
                </c:pt>
                <c:pt idx="3">
                  <c:v>216.58</c:v>
                </c:pt>
              </c:numCache>
            </c:numRef>
          </c:val>
          <c:extLst>
            <c:ext xmlns:c16="http://schemas.microsoft.com/office/drawing/2014/chart" uri="{C3380CC4-5D6E-409C-BE32-E72D297353CC}">
              <c16:uniqueId val="{0000000E-5086-4362-A7DF-F869BC08F5DB}"/>
            </c:ext>
          </c:extLst>
        </c:ser>
        <c:ser>
          <c:idx val="3"/>
          <c:order val="3"/>
          <c:tx>
            <c:strRef>
              <c:f>zinc!$F$5</c:f>
              <c:strCache>
                <c:ptCount val="1"/>
                <c:pt idx="0">
                  <c:v>MM+MSP</c:v>
                </c:pt>
              </c:strCache>
            </c:strRef>
          </c:tx>
          <c:spPr>
            <a:pattFill prst="lgConfetti">
              <a:fgClr>
                <a:schemeClr val="tx1"/>
              </a:fgClr>
              <a:bgClr>
                <a:schemeClr val="bg1"/>
              </a:bgClr>
            </a:pattFill>
            <a:ln>
              <a:solidFill>
                <a:schemeClr val="tx1"/>
              </a:solidFill>
            </a:ln>
            <a:effectLst/>
          </c:spPr>
          <c:invertIfNegative val="0"/>
          <c:dLbls>
            <c:dLbl>
              <c:idx val="0"/>
              <c:layout>
                <c:manualLayout>
                  <c:x val="8.4104289318755257E-3"/>
                  <c:y val="-8.3229296712443002E-2"/>
                </c:manualLayout>
              </c:layout>
              <c:tx>
                <c:rich>
                  <a:bodyPr/>
                  <a:lstStyle/>
                  <a:p>
                    <a:r>
                      <a:rPr lang="en-US">
                        <a:latin typeface="Times New Roman" pitchFamily="18" charset="0"/>
                        <a:cs typeface="Times New Roman" pitchFamily="18" charset="0"/>
                      </a:rPr>
                      <a:t>A,x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86-4362-A7DF-F869BC08F5DB}"/>
                </c:ext>
              </c:extLst>
            </c:dLbl>
            <c:dLbl>
              <c:idx val="1"/>
              <c:layout>
                <c:manualLayout>
                  <c:x val="8.4104289318755257E-3"/>
                  <c:y val="-4.1614648356221473E-2"/>
                </c:manualLayout>
              </c:layout>
              <c:tx>
                <c:rich>
                  <a:bodyPr/>
                  <a:lstStyle/>
                  <a:p>
                    <a:r>
                      <a:rPr lang="en-US">
                        <a:latin typeface="Times New Roman" pitchFamily="18" charset="0"/>
                        <a:cs typeface="Times New Roman" pitchFamily="18" charset="0"/>
                      </a:rPr>
                      <a:t>A,xy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86-4362-A7DF-F869BC08F5DB}"/>
                </c:ext>
              </c:extLst>
            </c:dLbl>
            <c:dLbl>
              <c:idx val="2"/>
              <c:layout>
                <c:manualLayout>
                  <c:x val="0"/>
                  <c:y val="-1.248439450686634E-2"/>
                </c:manualLayout>
              </c:layout>
              <c:tx>
                <c:rich>
                  <a:bodyPr/>
                  <a:lstStyle/>
                  <a:p>
                    <a:r>
                      <a:rPr lang="en-US">
                        <a:latin typeface="Times New Roman" pitchFamily="18" charset="0"/>
                        <a:cs typeface="Times New Roman" pitchFamily="18" charset="0"/>
                      </a:rPr>
                      <a:t>A,y</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086-4362-A7DF-F869BC08F5DB}"/>
                </c:ext>
              </c:extLst>
            </c:dLbl>
            <c:dLbl>
              <c:idx val="3"/>
              <c:layout>
                <c:manualLayout>
                  <c:x val="0"/>
                  <c:y val="-1.6645859342488613E-2"/>
                </c:manualLayout>
              </c:layout>
              <c:tx>
                <c:rich>
                  <a:bodyPr/>
                  <a:lstStyle/>
                  <a:p>
                    <a:r>
                      <a:rPr lang="en-US">
                        <a:latin typeface="Times New Roman" pitchFamily="18" charset="0"/>
                        <a:cs typeface="Times New Roman" pitchFamily="18" charset="0"/>
                      </a:rPr>
                      <a:t>B,x</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086-4362-A7DF-F869BC08F5DB}"/>
                </c:ext>
              </c:extLst>
            </c:dLbl>
            <c:spPr>
              <a:noFill/>
              <a:ln>
                <a:noFill/>
              </a:ln>
              <a:effectLst/>
            </c:spPr>
            <c:txPr>
              <a:bodyPr/>
              <a:lstStyle/>
              <a:p>
                <a:pPr>
                  <a:defRPr lang="en-US"/>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Lit>
                <c:formatCode>General</c:formatCode>
                <c:ptCount val="4"/>
                <c:pt idx="0">
                  <c:v>45.191000000000003</c:v>
                </c:pt>
                <c:pt idx="1">
                  <c:v>16.456</c:v>
                </c:pt>
                <c:pt idx="2">
                  <c:v>8.7690000000000001</c:v>
                </c:pt>
                <c:pt idx="3">
                  <c:v>12.239000000000001</c:v>
                </c:pt>
              </c:numLit>
            </c:plus>
            <c:minus>
              <c:numLit>
                <c:formatCode>General</c:formatCode>
                <c:ptCount val="4"/>
                <c:pt idx="0">
                  <c:v>45.191000000000003</c:v>
                </c:pt>
                <c:pt idx="1">
                  <c:v>16.456</c:v>
                </c:pt>
                <c:pt idx="2">
                  <c:v>8.7690000000000001</c:v>
                </c:pt>
                <c:pt idx="3">
                  <c:v>12.239000000000001</c:v>
                </c:pt>
              </c:numLit>
            </c:minus>
            <c:spPr>
              <a:noFill/>
              <a:ln w="9525" cap="flat" cmpd="sng" algn="ctr">
                <a:solidFill>
                  <a:schemeClr val="tx1">
                    <a:lumMod val="65000"/>
                    <a:lumOff val="35000"/>
                  </a:schemeClr>
                </a:solidFill>
                <a:round/>
              </a:ln>
              <a:effectLst/>
            </c:spPr>
          </c:errBars>
          <c:cat>
            <c:strRef>
              <c:f>zinc!$G$1:$J$1</c:f>
              <c:strCache>
                <c:ptCount val="4"/>
                <c:pt idx="0">
                  <c:v>Day 0</c:v>
                </c:pt>
                <c:pt idx="1">
                  <c:v>Day 7</c:v>
                </c:pt>
                <c:pt idx="2">
                  <c:v>Day 14</c:v>
                </c:pt>
                <c:pt idx="3">
                  <c:v>Day 21</c:v>
                </c:pt>
              </c:strCache>
            </c:strRef>
          </c:cat>
          <c:val>
            <c:numRef>
              <c:f>zinc!$G$5:$J$5</c:f>
              <c:numCache>
                <c:formatCode>General</c:formatCode>
                <c:ptCount val="4"/>
                <c:pt idx="0">
                  <c:v>150.304</c:v>
                </c:pt>
                <c:pt idx="1">
                  <c:v>76.495999999999995</c:v>
                </c:pt>
                <c:pt idx="2">
                  <c:v>33.137999999999998</c:v>
                </c:pt>
                <c:pt idx="3">
                  <c:v>118.14700000000001</c:v>
                </c:pt>
              </c:numCache>
            </c:numRef>
          </c:val>
          <c:extLst>
            <c:ext xmlns:c16="http://schemas.microsoft.com/office/drawing/2014/chart" uri="{C3380CC4-5D6E-409C-BE32-E72D297353CC}">
              <c16:uniqueId val="{00000013-5086-4362-A7DF-F869BC08F5DB}"/>
            </c:ext>
          </c:extLst>
        </c:ser>
        <c:dLbls>
          <c:showLegendKey val="0"/>
          <c:showVal val="1"/>
          <c:showCatName val="0"/>
          <c:showSerName val="0"/>
          <c:showPercent val="0"/>
          <c:showBubbleSize val="0"/>
        </c:dLbls>
        <c:gapWidth val="219"/>
        <c:overlap val="-27"/>
        <c:axId val="133759744"/>
        <c:axId val="133761280"/>
      </c:barChart>
      <c:catAx>
        <c:axId val="133759744"/>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133761280"/>
        <c:crosses val="autoZero"/>
        <c:auto val="1"/>
        <c:lblAlgn val="ctr"/>
        <c:lblOffset val="100"/>
        <c:noMultiLvlLbl val="0"/>
      </c:catAx>
      <c:valAx>
        <c:axId val="133761280"/>
        <c:scaling>
          <c:orientation val="minMax"/>
        </c:scaling>
        <c:delete val="0"/>
        <c:axPos val="l"/>
        <c:title>
          <c:tx>
            <c:rich>
              <a:bodyPr rot="-54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r>
                  <a:rPr lang="en-IN" sz="1200" b="1" baseline="0">
                    <a:solidFill>
                      <a:sysClr val="windowText" lastClr="000000"/>
                    </a:solidFill>
                    <a:latin typeface="Times New Roman" panose="02020603050405020304" pitchFamily="18" charset="0"/>
                  </a:rPr>
                  <a:t>Zinc </a:t>
                </a:r>
                <a:r>
                  <a:rPr lang="en-US" sz="1200" b="1" i="0" u="none" strike="noStrike" baseline="0">
                    <a:solidFill>
                      <a:sysClr val="windowText" lastClr="000000"/>
                    </a:solidFill>
                    <a:effectLst/>
                    <a:latin typeface="Times New Roman" panose="02020603050405020304" pitchFamily="18" charset="0"/>
                  </a:rPr>
                  <a:t>(µg/dL) </a:t>
                </a:r>
                <a:endParaRPr lang="en-IN" sz="1200" b="1" baseline="0">
                  <a:solidFill>
                    <a:sysClr val="windowText" lastClr="000000"/>
                  </a:solidFill>
                  <a:latin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133759744"/>
        <c:crosses val="autoZero"/>
        <c:crossBetween val="between"/>
      </c:valAx>
      <c:spPr>
        <a:noFill/>
        <a:ln>
          <a:noFill/>
        </a:ln>
        <a:effectLst/>
      </c:spPr>
    </c:plotArea>
    <c:legend>
      <c:legendPos val="b"/>
      <c:layout>
        <c:manualLayout>
          <c:xMode val="edge"/>
          <c:yMode val="edge"/>
          <c:x val="0.23702531296287721"/>
          <c:y val="2.5130660165606639E-2"/>
          <c:w val="0.73891076115485566"/>
          <c:h val="8.8690215806357553E-2"/>
        </c:manualLayout>
      </c:layout>
      <c:overlay val="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0.7561</cdr:x>
      <cdr:y>0.6095</cdr:y>
    </cdr:from>
    <cdr:to>
      <cdr:x>0.86829</cdr:x>
      <cdr:y>0.70712</cdr:y>
    </cdr:to>
    <cdr:sp macro="" textlink="">
      <cdr:nvSpPr>
        <cdr:cNvPr id="2" name="TextBox 1">
          <a:extLst xmlns:a="http://schemas.openxmlformats.org/drawingml/2006/main">
            <a:ext uri="{FF2B5EF4-FFF2-40B4-BE49-F238E27FC236}">
              <a16:creationId xmlns:a16="http://schemas.microsoft.com/office/drawing/2014/main" id="{1EE695F7-0DE0-7C95-8EB0-80632C9A3D5E}"/>
            </a:ext>
          </a:extLst>
        </cdr:cNvPr>
        <cdr:cNvSpPr txBox="1"/>
      </cdr:nvSpPr>
      <cdr:spPr>
        <a:xfrm xmlns:a="http://schemas.openxmlformats.org/drawingml/2006/main">
          <a:off x="3543300" y="1760220"/>
          <a:ext cx="525780"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solidFill>
                <a:sysClr val="windowText" lastClr="000000"/>
              </a:solidFill>
              <a:latin typeface="Times New Roman" panose="02020603050405020304" pitchFamily="18" charset="0"/>
              <a:cs typeface="Times New Roman" panose="02020603050405020304" pitchFamily="18" charset="0"/>
            </a:rPr>
            <a:t>A,x</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3210</Words>
  <Characters>18299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73</cp:revision>
  <dcterms:created xsi:type="dcterms:W3CDTF">2025-06-21T11:25:00Z</dcterms:created>
  <dcterms:modified xsi:type="dcterms:W3CDTF">2025-06-27T12:03:00Z</dcterms:modified>
</cp:coreProperties>
</file>