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ACD84" w14:textId="77777777" w:rsidR="00BF2E51" w:rsidRPr="00D70892" w:rsidRDefault="00BF2E51" w:rsidP="00BF2E51">
      <w:pPr>
        <w:pStyle w:val="ListParagraph"/>
        <w:spacing w:before="120" w:after="120" w:line="360" w:lineRule="auto"/>
        <w:rPr>
          <w:rFonts w:ascii="Arial" w:eastAsia="Times New Roman" w:hAnsi="Arial" w:cs="Arial"/>
          <w:b/>
          <w:bCs/>
          <w:i/>
          <w:iCs/>
          <w:sz w:val="20"/>
          <w:szCs w:val="20"/>
          <w:u w:val="single"/>
          <w:lang w:val="en-US"/>
        </w:rPr>
      </w:pPr>
      <w:r w:rsidRPr="00D70892">
        <w:rPr>
          <w:rFonts w:ascii="Arial" w:eastAsia="Times New Roman" w:hAnsi="Arial" w:cs="Arial"/>
          <w:b/>
          <w:bCs/>
          <w:i/>
          <w:iCs/>
          <w:sz w:val="20"/>
          <w:szCs w:val="20"/>
          <w:u w:val="single"/>
          <w:lang w:val="en-US"/>
        </w:rPr>
        <w:t>Original Research Article</w:t>
      </w:r>
    </w:p>
    <w:p w14:paraId="31BAADFA" w14:textId="5814AE1C" w:rsidR="00251DD9" w:rsidRPr="00D70892" w:rsidRDefault="00251DD9" w:rsidP="00837B54">
      <w:pPr>
        <w:pStyle w:val="ListParagraph"/>
        <w:spacing w:before="120" w:after="120" w:line="360" w:lineRule="auto"/>
        <w:jc w:val="right"/>
        <w:rPr>
          <w:rFonts w:ascii="Arial" w:eastAsia="Times New Roman" w:hAnsi="Arial" w:cs="Arial"/>
          <w:b/>
          <w:bCs/>
          <w:sz w:val="20"/>
          <w:szCs w:val="20"/>
        </w:rPr>
      </w:pPr>
      <w:commentRangeStart w:id="0"/>
      <w:proofErr w:type="spellStart"/>
      <w:r w:rsidRPr="00D70892">
        <w:rPr>
          <w:rFonts w:ascii="Arial" w:eastAsia="Times New Roman" w:hAnsi="Arial" w:cs="Arial"/>
          <w:b/>
          <w:bCs/>
          <w:sz w:val="20"/>
          <w:szCs w:val="20"/>
        </w:rPr>
        <w:t>Phytotherapeutic</w:t>
      </w:r>
      <w:proofErr w:type="spellEnd"/>
      <w:r w:rsidRPr="00D70892">
        <w:rPr>
          <w:rFonts w:ascii="Arial" w:eastAsia="Times New Roman" w:hAnsi="Arial" w:cs="Arial"/>
          <w:b/>
          <w:bCs/>
          <w:sz w:val="20"/>
          <w:szCs w:val="20"/>
        </w:rPr>
        <w:t xml:space="preserve"> Efficacy of </w:t>
      </w:r>
      <w:r w:rsidRPr="00D70892">
        <w:rPr>
          <w:rFonts w:ascii="Arial" w:eastAsia="Times New Roman" w:hAnsi="Arial" w:cs="Arial"/>
          <w:b/>
          <w:bCs/>
          <w:i/>
          <w:iCs/>
          <w:sz w:val="20"/>
          <w:szCs w:val="20"/>
        </w:rPr>
        <w:t>Cucurbita pepo</w:t>
      </w:r>
      <w:r w:rsidRPr="00D70892">
        <w:rPr>
          <w:rFonts w:ascii="Arial" w:eastAsia="Times New Roman" w:hAnsi="Arial" w:cs="Arial"/>
          <w:b/>
          <w:bCs/>
          <w:sz w:val="20"/>
          <w:szCs w:val="20"/>
        </w:rPr>
        <w:t xml:space="preserve"> Against Gastrointestinal </w:t>
      </w:r>
      <w:r w:rsidR="00E35537" w:rsidRPr="00D70892">
        <w:rPr>
          <w:rFonts w:ascii="Arial" w:eastAsia="Times New Roman" w:hAnsi="Arial" w:cs="Arial"/>
          <w:b/>
          <w:bCs/>
          <w:sz w:val="20"/>
          <w:szCs w:val="20"/>
        </w:rPr>
        <w:t>Helminths</w:t>
      </w:r>
      <w:r w:rsidRPr="00D70892">
        <w:rPr>
          <w:rFonts w:ascii="Arial" w:eastAsia="Times New Roman" w:hAnsi="Arial" w:cs="Arial"/>
          <w:b/>
          <w:bCs/>
          <w:sz w:val="20"/>
          <w:szCs w:val="20"/>
        </w:rPr>
        <w:t xml:space="preserve"> in Goats</w:t>
      </w:r>
      <w:commentRangeEnd w:id="0"/>
      <w:r w:rsidR="003D4EFF">
        <w:rPr>
          <w:rStyle w:val="CommentReference"/>
          <w:rFonts w:eastAsiaTheme="minorEastAsia"/>
          <w:kern w:val="0"/>
          <w:lang w:eastAsia="en-IN"/>
          <w14:ligatures w14:val="none"/>
        </w:rPr>
        <w:commentReference w:id="0"/>
      </w:r>
    </w:p>
    <w:p w14:paraId="28B2EB15" w14:textId="77777777" w:rsidR="00205836" w:rsidRPr="00D70892" w:rsidRDefault="00205836"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p>
    <w:p w14:paraId="1D5C4992" w14:textId="77777777" w:rsidR="00744497" w:rsidRPr="00D70892" w:rsidRDefault="00744497" w:rsidP="00814B91">
      <w:pPr>
        <w:pStyle w:val="ListParagraph"/>
        <w:pBdr>
          <w:bottom w:val="single" w:sz="12" w:space="1" w:color="auto"/>
        </w:pBdr>
        <w:spacing w:before="120" w:after="120" w:line="360" w:lineRule="auto"/>
        <w:jc w:val="right"/>
        <w:rPr>
          <w:rFonts w:ascii="Arial" w:eastAsia="Times New Roman" w:hAnsi="Arial" w:cs="Arial"/>
          <w:i/>
          <w:iCs/>
          <w:sz w:val="20"/>
          <w:szCs w:val="20"/>
        </w:rPr>
      </w:pPr>
      <w:bookmarkStart w:id="1" w:name="_GoBack"/>
      <w:bookmarkEnd w:id="1"/>
    </w:p>
    <w:p w14:paraId="167972B4" w14:textId="040180EE" w:rsidR="00814B91" w:rsidRPr="00D70892" w:rsidRDefault="00814B91" w:rsidP="00837B54">
      <w:pPr>
        <w:pStyle w:val="ListParagraph"/>
        <w:spacing w:before="120" w:after="120" w:line="360" w:lineRule="auto"/>
        <w:jc w:val="right"/>
        <w:rPr>
          <w:rFonts w:ascii="Arial" w:eastAsia="Times New Roman" w:hAnsi="Arial" w:cs="Arial"/>
          <w:i/>
          <w:iCs/>
          <w:sz w:val="20"/>
          <w:szCs w:val="20"/>
        </w:rPr>
      </w:pPr>
      <w:r w:rsidRPr="00D70892">
        <w:rPr>
          <w:rFonts w:ascii="Arial" w:eastAsia="Times New Roman" w:hAnsi="Arial" w:cs="Arial"/>
          <w:i/>
          <w:iCs/>
          <w:sz w:val="20"/>
          <w:szCs w:val="20"/>
        </w:rPr>
        <w:t xml:space="preserve"> </w:t>
      </w:r>
    </w:p>
    <w:p w14:paraId="57108F7F" w14:textId="1D2F1162" w:rsidR="00FA1DEA" w:rsidRPr="00D70892" w:rsidRDefault="00FA1DEA" w:rsidP="00FA1DEA">
      <w:pPr>
        <w:pStyle w:val="ListParagraph"/>
        <w:spacing w:before="120" w:after="120" w:line="360" w:lineRule="auto"/>
        <w:jc w:val="both"/>
        <w:rPr>
          <w:rFonts w:ascii="Arial" w:eastAsia="Times New Roman" w:hAnsi="Arial" w:cs="Arial"/>
          <w:b/>
          <w:bCs/>
          <w:sz w:val="20"/>
          <w:szCs w:val="20"/>
        </w:rPr>
      </w:pPr>
      <w:r w:rsidRPr="00D70892">
        <w:rPr>
          <w:rFonts w:ascii="Arial" w:eastAsia="Times New Roman" w:hAnsi="Arial" w:cs="Arial"/>
          <w:b/>
          <w:bCs/>
          <w:sz w:val="20"/>
          <w:szCs w:val="20"/>
        </w:rPr>
        <w:t>ABSTRACT</w:t>
      </w:r>
    </w:p>
    <w:p w14:paraId="00427963" w14:textId="1A162BB9" w:rsidR="00FA1DEA" w:rsidRPr="00D70892" w:rsidRDefault="00FA1DEA" w:rsidP="00FA1DEA">
      <w:pPr>
        <w:pStyle w:val="ListParagraph"/>
        <w:spacing w:before="120" w:after="120" w:line="480" w:lineRule="auto"/>
        <w:jc w:val="both"/>
        <w:rPr>
          <w:rFonts w:ascii="Arial" w:eastAsia="Times New Roman" w:hAnsi="Arial" w:cs="Arial"/>
          <w:b/>
          <w:bCs/>
          <w:sz w:val="20"/>
          <w:szCs w:val="20"/>
        </w:rPr>
      </w:pPr>
      <w:commentRangeStart w:id="2"/>
      <w:r w:rsidRPr="00D70892">
        <w:rPr>
          <w:rFonts w:ascii="Arial" w:hAnsi="Arial" w:cs="Arial"/>
          <w:sz w:val="20"/>
          <w:szCs w:val="20"/>
        </w:rPr>
        <w:t xml:space="preserve">Gastrointestinal helminth infections significantly impair productivity in goats, particularly in resource-limited rural areas. Rising resistance to conventional anthelmintic drugs underscores the urgent need for safe, affordable, and sustainable alternatives. The present study evaluated the in vivo anthelmintic efficacy of aqueous seed extract of </w:t>
      </w:r>
      <w:r w:rsidRPr="00D70892">
        <w:rPr>
          <w:rFonts w:ascii="Arial" w:hAnsi="Arial" w:cs="Arial"/>
          <w:i/>
          <w:iCs/>
          <w:sz w:val="20"/>
          <w:szCs w:val="20"/>
        </w:rPr>
        <w:t>Cucurbita pepo</w:t>
      </w:r>
      <w:r w:rsidRPr="00D70892">
        <w:rPr>
          <w:rFonts w:ascii="Arial" w:hAnsi="Arial" w:cs="Arial"/>
          <w:sz w:val="20"/>
          <w:szCs w:val="20"/>
        </w:rPr>
        <w:t xml:space="preserve"> against mixed gastrointestinal helminths in goats. Ten naturally infected goats were administered the extract orally at 160 mg/kg body weight for three consecutive days. Faecal samples were examined on days 0, 3, 7, and 21 post-treatments to determine egg per gram (EPG) counts, while haematological and biochemical parameters were assessed on days 0 and 21. The treated group showed a progressive and significant reduction in EPG, with a 98.59% reduction by day 21. Haematological improvements were observed in haemoglobin; packed cell volume and total erythrocyte count parameters indicating recovery from anaemia and enhanced erythropoiesis. No significant alterations were noted in liver enzymes or serum proteins, and no adverse effects were observed, suggesting the extract’s safety. These findings demonstrate that </w:t>
      </w:r>
      <w:r w:rsidRPr="00D70892">
        <w:rPr>
          <w:rFonts w:ascii="Arial" w:hAnsi="Arial" w:cs="Arial"/>
          <w:i/>
          <w:iCs/>
          <w:sz w:val="20"/>
          <w:szCs w:val="20"/>
        </w:rPr>
        <w:t>Cucurbita pepo</w:t>
      </w:r>
      <w:r w:rsidRPr="00D70892">
        <w:rPr>
          <w:rFonts w:ascii="Arial" w:hAnsi="Arial" w:cs="Arial"/>
          <w:sz w:val="20"/>
          <w:szCs w:val="20"/>
        </w:rPr>
        <w:t xml:space="preserve"> seed extract is an effective and safe </w:t>
      </w:r>
      <w:proofErr w:type="spellStart"/>
      <w:r w:rsidRPr="00D70892">
        <w:rPr>
          <w:rFonts w:ascii="Arial" w:hAnsi="Arial" w:cs="Arial"/>
          <w:sz w:val="20"/>
          <w:szCs w:val="20"/>
        </w:rPr>
        <w:t>phytotherapeutic</w:t>
      </w:r>
      <w:proofErr w:type="spellEnd"/>
      <w:r w:rsidRPr="00D70892">
        <w:rPr>
          <w:rFonts w:ascii="Arial" w:hAnsi="Arial" w:cs="Arial"/>
          <w:sz w:val="20"/>
          <w:szCs w:val="20"/>
        </w:rPr>
        <w:t xml:space="preserve"> option for controlling gastrointestinal helminths in goats. Its use could reduce dependence on synthetic anthelmintics and help mitigate drug resistance. Further studies to isolate active compounds and validate long-term efficacy are recommended.</w:t>
      </w:r>
      <w:commentRangeEnd w:id="2"/>
      <w:r w:rsidR="001E6245" w:rsidRPr="00D70892">
        <w:rPr>
          <w:rStyle w:val="CommentReference"/>
          <w:rFonts w:ascii="Arial" w:eastAsiaTheme="minorEastAsia" w:hAnsi="Arial" w:cs="Arial"/>
          <w:kern w:val="0"/>
          <w:sz w:val="20"/>
          <w:szCs w:val="20"/>
          <w:lang w:eastAsia="en-IN"/>
          <w14:ligatures w14:val="none"/>
        </w:rPr>
        <w:commentReference w:id="2"/>
      </w:r>
    </w:p>
    <w:p w14:paraId="11378111" w14:textId="77777777" w:rsidR="00FA1DEA" w:rsidRPr="00D70892" w:rsidRDefault="00FA1DEA" w:rsidP="00FA1DEA">
      <w:pPr>
        <w:spacing w:after="160" w:line="480" w:lineRule="auto"/>
        <w:ind w:left="720"/>
        <w:rPr>
          <w:rFonts w:ascii="Arial" w:hAnsi="Arial" w:cs="Arial"/>
          <w:sz w:val="20"/>
          <w:szCs w:val="20"/>
        </w:rPr>
      </w:pPr>
      <w:commentRangeStart w:id="3"/>
      <w:r w:rsidRPr="00D70892">
        <w:rPr>
          <w:rFonts w:ascii="Arial" w:hAnsi="Arial" w:cs="Arial"/>
          <w:b/>
          <w:bCs/>
          <w:sz w:val="20"/>
          <w:szCs w:val="20"/>
        </w:rPr>
        <w:t>Keywords</w:t>
      </w:r>
      <w:r w:rsidRPr="00D70892">
        <w:rPr>
          <w:rFonts w:ascii="Arial" w:hAnsi="Arial" w:cs="Arial"/>
          <w:sz w:val="20"/>
          <w:szCs w:val="20"/>
        </w:rPr>
        <w:t xml:space="preserve">: </w:t>
      </w:r>
      <w:commentRangeEnd w:id="3"/>
      <w:r w:rsidR="00D70892" w:rsidRPr="00D70892">
        <w:rPr>
          <w:rStyle w:val="CommentReference"/>
          <w:rFonts w:ascii="Arial" w:hAnsi="Arial" w:cs="Arial"/>
          <w:sz w:val="20"/>
          <w:szCs w:val="20"/>
        </w:rPr>
        <w:commentReference w:id="3"/>
      </w:r>
      <w:commentRangeStart w:id="4"/>
      <w:r w:rsidRPr="00D70892">
        <w:rPr>
          <w:rFonts w:ascii="Arial" w:hAnsi="Arial" w:cs="Arial"/>
          <w:i/>
          <w:iCs/>
          <w:sz w:val="20"/>
          <w:szCs w:val="20"/>
        </w:rPr>
        <w:t>Cucurbita pepo</w:t>
      </w:r>
      <w:r w:rsidRPr="00D70892">
        <w:rPr>
          <w:rFonts w:ascii="Arial" w:hAnsi="Arial" w:cs="Arial"/>
          <w:sz w:val="20"/>
          <w:szCs w:val="20"/>
        </w:rPr>
        <w:t xml:space="preserve">, goats, gastrointestinal helminths, anthelmintic, faecal egg count, </w:t>
      </w:r>
      <w:proofErr w:type="spellStart"/>
      <w:r w:rsidRPr="00D70892">
        <w:rPr>
          <w:rFonts w:ascii="Arial" w:hAnsi="Arial" w:cs="Arial"/>
          <w:sz w:val="20"/>
          <w:szCs w:val="20"/>
        </w:rPr>
        <w:t>phytotherapy</w:t>
      </w:r>
      <w:commentRangeEnd w:id="4"/>
      <w:proofErr w:type="spellEnd"/>
      <w:r w:rsidR="0022797F" w:rsidRPr="00D70892">
        <w:rPr>
          <w:rStyle w:val="CommentReference"/>
          <w:rFonts w:ascii="Arial" w:hAnsi="Arial" w:cs="Arial"/>
          <w:sz w:val="20"/>
          <w:szCs w:val="20"/>
        </w:rPr>
        <w:commentReference w:id="4"/>
      </w:r>
    </w:p>
    <w:p w14:paraId="10720966" w14:textId="39BA3F1E" w:rsidR="00FA1DEA" w:rsidRPr="00D70892" w:rsidRDefault="00FA1DEA" w:rsidP="00FA1DEA">
      <w:pPr>
        <w:pStyle w:val="ListParagraph"/>
        <w:numPr>
          <w:ilvl w:val="0"/>
          <w:numId w:val="1"/>
        </w:numPr>
        <w:spacing w:before="120" w:after="120" w:line="360" w:lineRule="auto"/>
        <w:jc w:val="both"/>
        <w:rPr>
          <w:rFonts w:ascii="Arial" w:hAnsi="Arial" w:cs="Arial"/>
          <w:b/>
          <w:bCs/>
          <w:szCs w:val="20"/>
        </w:rPr>
      </w:pPr>
      <w:r w:rsidRPr="00D70892">
        <w:rPr>
          <w:rFonts w:ascii="Arial" w:eastAsia="Times New Roman" w:hAnsi="Arial" w:cs="Arial"/>
          <w:b/>
          <w:bCs/>
          <w:szCs w:val="20"/>
        </w:rPr>
        <w:t>INTRODUCTION</w:t>
      </w:r>
    </w:p>
    <w:p w14:paraId="2A822D42" w14:textId="44B330D4" w:rsidR="00E5420E" w:rsidRPr="00D70892" w:rsidRDefault="00B17BF7" w:rsidP="004322A2">
      <w:pPr>
        <w:pStyle w:val="ListParagraph"/>
        <w:spacing w:before="120" w:after="120" w:line="480" w:lineRule="auto"/>
        <w:jc w:val="both"/>
        <w:rPr>
          <w:rFonts w:ascii="Arial" w:hAnsi="Arial" w:cs="Arial"/>
          <w:sz w:val="20"/>
          <w:szCs w:val="20"/>
        </w:rPr>
      </w:pPr>
      <w:r w:rsidRPr="00D70892">
        <w:rPr>
          <w:rFonts w:ascii="Arial" w:eastAsia="Times New Roman" w:hAnsi="Arial" w:cs="Arial"/>
          <w:sz w:val="20"/>
          <w:szCs w:val="20"/>
        </w:rPr>
        <w:t xml:space="preserve">Goats contribute significantly to food and nutrition security for rural populations, particularly in rainfed areas where unpredictable crop yields and limited availability of feed and fodder make it difficult to raise larger livestock. </w:t>
      </w:r>
      <w:r w:rsidR="009247FB" w:rsidRPr="00D70892">
        <w:rPr>
          <w:rFonts w:ascii="Arial" w:eastAsia="Times New Roman" w:hAnsi="Arial" w:cs="Arial"/>
          <w:sz w:val="20"/>
          <w:szCs w:val="20"/>
        </w:rPr>
        <w:t xml:space="preserve">Gastrointestinal helminths </w:t>
      </w:r>
      <w:r w:rsidR="00123980" w:rsidRPr="00D70892">
        <w:rPr>
          <w:rFonts w:ascii="Arial" w:eastAsia="Times New Roman" w:hAnsi="Arial" w:cs="Arial"/>
          <w:sz w:val="20"/>
          <w:szCs w:val="20"/>
        </w:rPr>
        <w:t>cause chronic</w:t>
      </w:r>
      <w:r w:rsidR="009247FB" w:rsidRPr="00D70892">
        <w:rPr>
          <w:rFonts w:ascii="Arial" w:eastAsia="Times New Roman" w:hAnsi="Arial" w:cs="Arial"/>
          <w:sz w:val="20"/>
          <w:szCs w:val="20"/>
        </w:rPr>
        <w:t xml:space="preserve"> wasting condition that affects </w:t>
      </w:r>
      <w:r w:rsidRPr="00D70892">
        <w:rPr>
          <w:rFonts w:ascii="Arial" w:eastAsia="Times New Roman" w:hAnsi="Arial" w:cs="Arial"/>
          <w:sz w:val="20"/>
          <w:szCs w:val="20"/>
        </w:rPr>
        <w:t>goats</w:t>
      </w:r>
      <w:r w:rsidR="009247FB" w:rsidRPr="00D70892">
        <w:rPr>
          <w:rFonts w:ascii="Arial" w:eastAsia="Times New Roman" w:hAnsi="Arial" w:cs="Arial"/>
          <w:sz w:val="20"/>
          <w:szCs w:val="20"/>
        </w:rPr>
        <w:t xml:space="preserve"> by depriving them of nutrients or through harmful parasite by-products</w:t>
      </w:r>
      <w:r w:rsidR="00123980" w:rsidRPr="00D70892">
        <w:rPr>
          <w:rFonts w:ascii="Arial" w:eastAsia="Times New Roman" w:hAnsi="Arial" w:cs="Arial"/>
          <w:sz w:val="20"/>
          <w:szCs w:val="20"/>
        </w:rPr>
        <w:t xml:space="preserve">. </w:t>
      </w:r>
      <w:r w:rsidR="009247FB" w:rsidRPr="00D70892">
        <w:rPr>
          <w:rFonts w:ascii="Arial" w:eastAsia="Times New Roman" w:hAnsi="Arial" w:cs="Arial"/>
          <w:sz w:val="20"/>
          <w:szCs w:val="20"/>
        </w:rPr>
        <w:lastRenderedPageBreak/>
        <w:t xml:space="preserve">Infected females </w:t>
      </w:r>
      <w:r w:rsidR="00123980" w:rsidRPr="00D70892">
        <w:rPr>
          <w:rFonts w:ascii="Arial" w:eastAsia="Times New Roman" w:hAnsi="Arial" w:cs="Arial"/>
          <w:sz w:val="20"/>
          <w:szCs w:val="20"/>
        </w:rPr>
        <w:t>suffer from</w:t>
      </w:r>
      <w:r w:rsidR="009247FB" w:rsidRPr="00D70892">
        <w:rPr>
          <w:rFonts w:ascii="Arial" w:eastAsia="Times New Roman" w:hAnsi="Arial" w:cs="Arial"/>
          <w:sz w:val="20"/>
          <w:szCs w:val="20"/>
        </w:rPr>
        <w:t xml:space="preserve"> irregular reproductive cycles, reduced fertility, and miscarriages, while males show decreased breeding </w:t>
      </w:r>
      <w:proofErr w:type="gramStart"/>
      <w:r w:rsidR="009247FB" w:rsidRPr="00D70892">
        <w:rPr>
          <w:rFonts w:ascii="Arial" w:eastAsia="Times New Roman" w:hAnsi="Arial" w:cs="Arial"/>
          <w:sz w:val="20"/>
          <w:szCs w:val="20"/>
        </w:rPr>
        <w:t>efficiency,</w:t>
      </w:r>
      <w:proofErr w:type="gramEnd"/>
      <w:r w:rsidR="009247FB" w:rsidRPr="00D70892">
        <w:rPr>
          <w:rFonts w:ascii="Arial" w:eastAsia="Times New Roman" w:hAnsi="Arial" w:cs="Arial"/>
          <w:sz w:val="20"/>
          <w:szCs w:val="20"/>
        </w:rPr>
        <w:t xml:space="preserve"> and young animals face lower survival rates</w:t>
      </w:r>
      <w:r w:rsidR="00123980" w:rsidRPr="00D70892">
        <w:rPr>
          <w:rFonts w:ascii="Arial" w:eastAsia="Times New Roman" w:hAnsi="Arial" w:cs="Arial"/>
          <w:sz w:val="20"/>
          <w:szCs w:val="20"/>
        </w:rPr>
        <w:t xml:space="preserve">. </w:t>
      </w:r>
      <w:r w:rsidR="009247FB" w:rsidRPr="00D70892">
        <w:rPr>
          <w:rFonts w:ascii="Arial" w:eastAsia="Times New Roman" w:hAnsi="Arial" w:cs="Arial"/>
          <w:sz w:val="20"/>
          <w:szCs w:val="20"/>
        </w:rPr>
        <w:t xml:space="preserve">Severe </w:t>
      </w:r>
      <w:r w:rsidR="00320179" w:rsidRPr="00D70892">
        <w:rPr>
          <w:rFonts w:ascii="Arial" w:eastAsia="Times New Roman" w:hAnsi="Arial" w:cs="Arial"/>
          <w:sz w:val="20"/>
          <w:szCs w:val="20"/>
        </w:rPr>
        <w:t>infections</w:t>
      </w:r>
      <w:r w:rsidR="009247FB" w:rsidRPr="00D70892">
        <w:rPr>
          <w:rFonts w:ascii="Arial" w:eastAsia="Times New Roman" w:hAnsi="Arial" w:cs="Arial"/>
          <w:sz w:val="20"/>
          <w:szCs w:val="20"/>
        </w:rPr>
        <w:t xml:space="preserve"> can result in widespread livestock deaths, leading to economic </w:t>
      </w:r>
      <w:r w:rsidR="00123980" w:rsidRPr="00D70892">
        <w:rPr>
          <w:rFonts w:ascii="Arial" w:eastAsia="Times New Roman" w:hAnsi="Arial" w:cs="Arial"/>
          <w:sz w:val="20"/>
          <w:szCs w:val="20"/>
        </w:rPr>
        <w:t>losses</w:t>
      </w:r>
      <w:r w:rsidR="00341240" w:rsidRPr="00D70892">
        <w:rPr>
          <w:rFonts w:ascii="Arial" w:eastAsia="Times New Roman" w:hAnsi="Arial" w:cs="Arial"/>
          <w:sz w:val="20"/>
          <w:szCs w:val="20"/>
        </w:rPr>
        <w:t xml:space="preserve"> </w:t>
      </w:r>
      <w:r w:rsidR="00123980" w:rsidRPr="00D70892">
        <w:rPr>
          <w:rFonts w:ascii="Arial" w:eastAsia="Times New Roman" w:hAnsi="Arial" w:cs="Arial"/>
          <w:sz w:val="20"/>
          <w:szCs w:val="20"/>
        </w:rPr>
        <w:fldChar w:fldCharType="begin"/>
      </w:r>
      <w:r w:rsidR="00123980" w:rsidRPr="00D70892">
        <w:rPr>
          <w:rFonts w:ascii="Arial" w:eastAsia="Times New Roman" w:hAnsi="Arial" w:cs="Arial"/>
          <w:sz w:val="20"/>
          <w:szCs w:val="20"/>
        </w:rPr>
        <w:instrText xml:space="preserve"> ADDIN ZOTERO_ITEM CSL_CITATION {"citationID":"RELGBMqY","properties":{"formattedCitation":"(Cai et al., 2023)","plainCitation":"(Cai et al., 2023)","noteIndex":0},"citationItems":[{"id":122,"uris":["http://zotero.org/users/14224827/items/SNYBPLG2"],"itemData":{"id":122,"type":"article-journal","abstract":"Gastrointestinal (GI) parasites in small ruminants, especially goats and sheep, have caused significant socio-economic and public health challenges worldwide. The aim of the present study was to investigate the diversity and prevalence of GI parasites in goats and sheep in Jiangsu, Shaanxi and Hunan provinces of China, and to assess whether the age of animals, sampling season and feeding mode influence the distribution and infection of GI parasites. A total of 1,081 fecal samples collected from goats (\n              n\n               = 835) and sheep (\n              n\n               = 246) were detected by saturated saline flotation technique and nylon sifter elutriation and sieving method for eggs/oocysts, respectively. Based on the morphological observation of eggs and oocysts, one tapeworm, five nematodes, three trematodes and nineteen coccidia were identified, of which seven helminths belong to zoonotic parasites. The infection rate of parasites was 83.4% (902/1081) in total samples, 91.6% (765/835) in goats, and 55.7% (137/246) in sheep. The infection rate of coccidia was 71.0% (767/1081), and that of helminths was 56.2% (607/1081). The dominant species was\n              E. alijeri\n              (67.3%, 562/835) in goats,\n              E. parva\n              (30.1%, 74/246) in sheep. The highest prevalent helminths were Trichostrongylidae spp. in goats (58.3%, 487/835), and\n              Moniezia\n              spp. in sheep (22.76%, 56/246). Of 902 positive samples, 825 (91.5%, 825/902) contained multiple (2–10) parasites. The feeding mode, sampling season and regions were relevant risk factors which have significant influence on the occurrence of GI parasites in goats and sheep. The risk coefficient of parasite infection in autumn was 2.49 times higher than spring (Odds ratio = 2.49, 95% CI = 1.51–4.09,\n              p\n               &amp;lt; 0.001). Compared to raising on the high beds, the goats and sheep raising on the ground had the higher risk of parasite infection (OR = 3.91, 95% CI = 2.07–7.40,\n              p\n               &amp;lt; 0.001). The risk coefficient of parasite infection in Shaanxi and Hunan was 3.78 and 1.25 times higher than that in Jiangsu (OR = 3.78, 95% CI = 2.01–7.12,\n              p\n               &amp;lt; 0.001; OR = 1.25, 95% CI = 1.21–1.29,\n              p\n               &amp;lt; 0.001). These data are significant for the development of prevention strategies to minimise economic losses from small ruminant production and to reduce the risk of water and food infecting humans as vectors of zoonotic parasitic diseases.","container-title":"Frontiers in Microbiology","DOI":"10.3389/fmicb.2023.1287835","ISSN":"1664-302X","journalAbbreviation":"Front. Microbiol.","language":"en","page":"1287835","source":"DOI.org (Crossref)","title":"Prevalence and risk factors associated with gastrointestinal parasites in goats (Capra hircus) and sheep (Ovis aries) from three provinces of China","volume":"14","author":[{"family":"Cai","given":"Weimin"},{"family":"Cheng","given":"Cheng"},{"family":"Feng","given":"Qianqian"},{"family":"Ma","given":"Yifei"},{"family":"Hua","given":"Enyu"},{"family":"Jiang","given":"Shimin"},{"family":"Hou","given":"Zhaofeng"},{"family":"Liu","given":"Dandan"},{"family":"Yang","given":"Anlong"},{"family":"Cheng","given":"Darong"},{"family":"Xu","given":"Jinjun"},{"family":"Tao","given":"Jianping"}],"issued":{"date-parts":[["2023",11,30]]}}}],"schema":"https://github.com/citation-style-language/schema/raw/master/csl-citation.json"} </w:instrText>
      </w:r>
      <w:r w:rsidR="00123980" w:rsidRPr="00D70892">
        <w:rPr>
          <w:rFonts w:ascii="Arial" w:eastAsia="Times New Roman" w:hAnsi="Arial" w:cs="Arial"/>
          <w:sz w:val="20"/>
          <w:szCs w:val="20"/>
        </w:rPr>
        <w:fldChar w:fldCharType="separate"/>
      </w:r>
      <w:r w:rsidR="00123980" w:rsidRPr="00D70892">
        <w:rPr>
          <w:rFonts w:ascii="Arial" w:hAnsi="Arial" w:cs="Arial"/>
          <w:sz w:val="20"/>
          <w:szCs w:val="20"/>
        </w:rPr>
        <w:t>(Cai et al., 2023)</w:t>
      </w:r>
      <w:r w:rsidR="00123980" w:rsidRPr="00D70892">
        <w:rPr>
          <w:rFonts w:ascii="Arial" w:eastAsia="Times New Roman" w:hAnsi="Arial" w:cs="Arial"/>
          <w:sz w:val="20"/>
          <w:szCs w:val="20"/>
        </w:rPr>
        <w:fldChar w:fldCharType="end"/>
      </w:r>
      <w:r w:rsidR="00123980" w:rsidRPr="00D70892">
        <w:rPr>
          <w:rFonts w:ascii="Arial" w:eastAsia="Times New Roman" w:hAnsi="Arial" w:cs="Arial"/>
          <w:sz w:val="20"/>
          <w:szCs w:val="20"/>
        </w:rPr>
        <w:t>.</w:t>
      </w:r>
      <w:r w:rsidRPr="00D70892">
        <w:rPr>
          <w:rFonts w:ascii="Arial" w:eastAsia="Times New Roman" w:hAnsi="Arial" w:cs="Arial"/>
          <w:sz w:val="20"/>
          <w:szCs w:val="20"/>
        </w:rPr>
        <w:t xml:space="preserve"> </w:t>
      </w:r>
      <w:r w:rsidR="00E5420E" w:rsidRPr="00D70892">
        <w:rPr>
          <w:rFonts w:ascii="Arial" w:hAnsi="Arial" w:cs="Arial"/>
          <w:sz w:val="20"/>
          <w:szCs w:val="20"/>
        </w:rPr>
        <w:t>Goats infected with internal parasites clinically show a rough, dull-coat, weakness, diarrhoea, apathy, tail rubbing, signs of hypo-</w:t>
      </w:r>
      <w:r w:rsidRPr="00D70892">
        <w:rPr>
          <w:rFonts w:ascii="Arial" w:hAnsi="Arial" w:cs="Arial"/>
          <w:sz w:val="20"/>
          <w:szCs w:val="20"/>
        </w:rPr>
        <w:t>proteinemia</w:t>
      </w:r>
      <w:r w:rsidR="00E5420E" w:rsidRPr="00D70892">
        <w:rPr>
          <w:rFonts w:ascii="Arial" w:hAnsi="Arial" w:cs="Arial"/>
          <w:sz w:val="20"/>
          <w:szCs w:val="20"/>
        </w:rPr>
        <w:t xml:space="preserve">, </w:t>
      </w:r>
      <w:r w:rsidRPr="00D70892">
        <w:rPr>
          <w:rFonts w:ascii="Arial" w:hAnsi="Arial" w:cs="Arial"/>
          <w:sz w:val="20"/>
          <w:szCs w:val="20"/>
        </w:rPr>
        <w:t xml:space="preserve">submandibular </w:t>
      </w:r>
      <w:r w:rsidR="00E5420E" w:rsidRPr="00D70892">
        <w:rPr>
          <w:rFonts w:ascii="Arial" w:hAnsi="Arial" w:cs="Arial"/>
          <w:sz w:val="20"/>
          <w:szCs w:val="20"/>
        </w:rPr>
        <w:t>oedema (bottle jaw), loss of appetite and weight loss</w:t>
      </w:r>
      <w:r w:rsidR="00531B22" w:rsidRPr="00D70892">
        <w:rPr>
          <w:rFonts w:ascii="Arial" w:hAnsi="Arial" w:cs="Arial"/>
          <w:sz w:val="20"/>
          <w:szCs w:val="20"/>
        </w:rPr>
        <w:t xml:space="preserve"> </w:t>
      </w:r>
      <w:r w:rsidR="00E11D6D" w:rsidRPr="00D70892">
        <w:rPr>
          <w:rFonts w:ascii="Arial" w:hAnsi="Arial" w:cs="Arial"/>
          <w:sz w:val="20"/>
          <w:szCs w:val="20"/>
        </w:rPr>
        <w:fldChar w:fldCharType="begin"/>
      </w:r>
      <w:r w:rsidR="00E11D6D" w:rsidRPr="00D70892">
        <w:rPr>
          <w:rFonts w:ascii="Arial" w:hAnsi="Arial" w:cs="Arial"/>
          <w:sz w:val="20"/>
          <w:szCs w:val="20"/>
        </w:rPr>
        <w:instrText xml:space="preserve"> ADDIN ZOTERO_ITEM CSL_CITATION {"citationID":"2X08pnZK","properties":{"formattedCitation":"(Aiello et al., 2016)","plainCitation":"(Aiello et al., 2016)","noteIndex":0},"citationItems":[{"id":124,"uris":["http://zotero.org/users/14224827/items/KPFQLP82"],"itemData":{"id":124,"type":"book","edition":"Eleventh edition","event-place":"Kenilworth, NJ, USA","ISBN":"978-0-911910-61-2","language":"en","number-of-pages":"3325","publisher":"Merck &amp; Co., Inc","publisher-place":"Kenilworth, NJ, USA","source":"K10plus ISBN","title":"The Merck veterinary manual","editor":[{"family":"Aiello","given":"Susan E."},{"family":"Moses","given":"Michael A."},{"family":"Allen","given":"Dana G."}],"issued":{"date-parts":[["2016"]]}}}],"schema":"https://github.com/citation-style-language/schema/raw/master/csl-citation.json"} </w:instrText>
      </w:r>
      <w:r w:rsidR="00E11D6D" w:rsidRPr="00D70892">
        <w:rPr>
          <w:rFonts w:ascii="Arial" w:hAnsi="Arial" w:cs="Arial"/>
          <w:sz w:val="20"/>
          <w:szCs w:val="20"/>
        </w:rPr>
        <w:fldChar w:fldCharType="separate"/>
      </w:r>
      <w:r w:rsidR="00E11D6D" w:rsidRPr="00D70892">
        <w:rPr>
          <w:rFonts w:ascii="Arial" w:hAnsi="Arial" w:cs="Arial"/>
          <w:sz w:val="20"/>
          <w:szCs w:val="20"/>
        </w:rPr>
        <w:t>(Aiello et al., 2016)</w:t>
      </w:r>
      <w:r w:rsidR="00E11D6D" w:rsidRPr="00D70892">
        <w:rPr>
          <w:rFonts w:ascii="Arial" w:hAnsi="Arial" w:cs="Arial"/>
          <w:sz w:val="20"/>
          <w:szCs w:val="20"/>
        </w:rPr>
        <w:fldChar w:fldCharType="end"/>
      </w:r>
      <w:r w:rsidR="00E5420E" w:rsidRPr="00D70892">
        <w:rPr>
          <w:rFonts w:ascii="Arial" w:hAnsi="Arial" w:cs="Arial"/>
          <w:sz w:val="20"/>
          <w:szCs w:val="20"/>
        </w:rPr>
        <w:t>.</w:t>
      </w:r>
      <w:r w:rsidR="00250EC3" w:rsidRPr="00D70892">
        <w:rPr>
          <w:rFonts w:ascii="Arial" w:hAnsi="Arial" w:cs="Arial"/>
          <w:sz w:val="20"/>
          <w:szCs w:val="20"/>
        </w:rPr>
        <w:t xml:space="preserve"> The primary strategy for controlling gastrointestinal helminths in goats involves the use of anthelmintic drugs. However, repeated and widespread application of these drugs has led to the emergence of resistance against one or more commonly used compounds across various countries, including confirmed cases of multi-drug resistance. In India, such resistance is increasingly reported, particularly in institutional sheep and goat farms </w:t>
      </w:r>
      <w:r w:rsidR="00250EC3" w:rsidRPr="00D70892">
        <w:rPr>
          <w:rFonts w:ascii="Arial" w:hAnsi="Arial" w:cs="Arial"/>
          <w:sz w:val="20"/>
          <w:szCs w:val="20"/>
        </w:rPr>
        <w:fldChar w:fldCharType="begin"/>
      </w:r>
      <w:r w:rsidR="00250EC3" w:rsidRPr="00D70892">
        <w:rPr>
          <w:rFonts w:ascii="Arial" w:hAnsi="Arial" w:cs="Arial"/>
          <w:sz w:val="20"/>
          <w:szCs w:val="20"/>
        </w:rPr>
        <w:instrText xml:space="preserve"> ADDIN ZOTERO_ITEM CSL_CITATION {"citationID":"Lu0cPpEj","properties":{"formattedCitation":"(Ratanapob et al., 2022; Singh et al., 2017)","plainCitation":"(Ratanapob et al., 2022; Singh et al., 2017)","noteIndex":0},"citationItems":[{"id":126,"uris":["http://zotero.org/users/14224827/items/YVQZTQW8"],"itemData":{"id":126,"type":"article-journal","abstract":"Background and Aim: Promotions of goat farming by both public and private sectors encouraged considerable goat raising in central Thailand. Gastrointestinal nematodes (GIN) infection is a major health and economic problem; however, evidence of resistance to broad-spectrum anthelmintics is frequently reported. Investigation of anthelmintic resistance (AR) status and identification of factors related to the development of AR is important components for sustainable GIN control. However, no information is available on this topic in the study area. The present study aimed to gather information on GIN control practices and to evaluate the effectiveness of albendazole, ivermectin, and levamisole for treating GIN infestation in goat herds in Sing Buri Province. Materials and Methods: Twenty-nine herds were randomly selected. Information on management practices was collected by face-to-face interview using a structured questionnaire. Three field experiments for routinely used anthelmintics, including albendazole, ivermectin, and levamisole were conducted from June 2019 to November 2019. Fecal samples were collected pre- and post-treatment and examined for fecal egg count reduction to determine the status of anthelmintic resistance of goat GIN.\nResults: Several improper practices were identified that lead to AR, especially chronic use of albendazole and ivermectin. All herds were considered resistant to albendazole and ivermectin, and levamisole resistant nematodes were detected in two herds. AR was strongly linked with the continuous use of anthelmintics.\nConclusion: Levamisole, which was still effective in the province, should be used with caution to minimize the selection of resistant strains. Farmers should be provided with updated information for sustainable parasite control. Further, the efficacy of anthelmintics should be routinely monitored.","container-title":"Veterinary World","DOI":"10.14202/vetworld.2022.83-90","ISSN":"22310916, 09728988","journalAbbreviation":"Vet World","language":"en","license":"http://creativecommons.org/licenses/by/4.0/","page":"83-90","source":"DOI.org (Crossref)","title":"Anthelmintic resistance status of goat gastrointestinal nematodes in Sing Buri Province, Thailand","author":[{"family":"Ratanapob","given":"Niorn"},{"family":"Thuamsuwan","given":"Nattanan"},{"family":"Thongyuan","given":"Suporn"}],"issued":{"date-parts":[["2022",1,20]]}}},{"id":127,"uris":["http://zotero.org/users/14224827/items/5QSHIARR"],"itemData":{"id":127,"type":"article-journal","abstract":"Anthelmintic resistance against commonly used anthelmintic fenbendazole was evaluated by employing faecal egg count reduction test (FECRT) in naturally occurring gastrointestinal (GI) nematodes in the semi organized sheep and goat farms of Ludhiana and Amritsar districts. A total of 80 animals (20 each for sheep and goat in both districts) were randomly selected and their faecal samples were examined by qualitative and quantitative parasitological techniques. Results indicate presence of high level of resistance against fenbendazole in both sheep and goat population of Ludhiana and Amritsar districts. More resistance was observed in the GI nematodes from animals reared in Amritsar district as compared to Ludhiana district. The level of anthelmintic resistance observed was apparently more in sheep than goats.","container-title":"Journal of Parasitic Diseases: Official Organ of the Indian Society for Parasitology","DOI":"10.1007/s12639-016-0828-8","ISSN":"0971-7196","issue":"2","journalAbbreviation":"J Parasit Dis","note":"PMID: 28615860\nPMCID: PMC5447605","page":"463-466","source":"PubMed Central","title":"Detection of anthelmintic resistance in sheep and goat against fenbendazole by faecal egg count reduction test","volume":"41","author":[{"family":"Singh","given":"Ramandeep"},{"family":"Bal","given":"M. S."},{"family":"Singla","given":"L. D."},{"family":"Kaur","given":"Paramjit"}],"issued":{"date-parts":[["2017",6]]}}}],"schema":"https://github.com/citation-style-language/schema/raw/master/csl-citation.json"} </w:instrText>
      </w:r>
      <w:r w:rsidR="00250EC3" w:rsidRPr="00D70892">
        <w:rPr>
          <w:rFonts w:ascii="Arial" w:hAnsi="Arial" w:cs="Arial"/>
          <w:sz w:val="20"/>
          <w:szCs w:val="20"/>
        </w:rPr>
        <w:fldChar w:fldCharType="separate"/>
      </w:r>
      <w:r w:rsidR="00250EC3" w:rsidRPr="00D70892">
        <w:rPr>
          <w:rFonts w:ascii="Arial" w:hAnsi="Arial" w:cs="Arial"/>
          <w:sz w:val="20"/>
          <w:szCs w:val="20"/>
        </w:rPr>
        <w:t>(Ratanapob et al., 2022; Singh et al., 2017)</w:t>
      </w:r>
      <w:r w:rsidR="00250EC3" w:rsidRPr="00D70892">
        <w:rPr>
          <w:rFonts w:ascii="Arial" w:hAnsi="Arial" w:cs="Arial"/>
          <w:sz w:val="20"/>
          <w:szCs w:val="20"/>
        </w:rPr>
        <w:fldChar w:fldCharType="end"/>
      </w:r>
      <w:r w:rsidR="00250EC3" w:rsidRPr="00D70892">
        <w:rPr>
          <w:rFonts w:ascii="Arial" w:hAnsi="Arial" w:cs="Arial"/>
          <w:sz w:val="20"/>
          <w:szCs w:val="20"/>
        </w:rPr>
        <w:t>.</w:t>
      </w:r>
      <w:r w:rsidR="003F1559" w:rsidRPr="00D70892">
        <w:rPr>
          <w:rFonts w:ascii="Arial" w:hAnsi="Arial" w:cs="Arial"/>
          <w:sz w:val="20"/>
          <w:szCs w:val="20"/>
        </w:rPr>
        <w:t xml:space="preserve"> </w:t>
      </w:r>
      <w:r w:rsidR="00A40AC3" w:rsidRPr="00D70892">
        <w:rPr>
          <w:rFonts w:ascii="Arial" w:hAnsi="Arial" w:cs="Arial"/>
          <w:sz w:val="20"/>
          <w:szCs w:val="20"/>
        </w:rPr>
        <w:t>The shortage of new anthelmintic drugs, the high cost of those currently available, and concerns about chemical residues in animal-derived products highlight the need for alternative control strategies that are practical, environmentally safe, and aligned with both consumer expectations and farmers requirements</w:t>
      </w:r>
      <w:r w:rsidR="00082623" w:rsidRPr="00D70892">
        <w:rPr>
          <w:rFonts w:ascii="Arial" w:hAnsi="Arial" w:cs="Arial"/>
          <w:sz w:val="20"/>
          <w:szCs w:val="20"/>
        </w:rPr>
        <w:t xml:space="preserve"> </w:t>
      </w:r>
      <w:r w:rsidR="00A40AC3" w:rsidRPr="00D70892">
        <w:rPr>
          <w:rFonts w:ascii="Arial" w:hAnsi="Arial" w:cs="Arial"/>
          <w:sz w:val="20"/>
          <w:szCs w:val="20"/>
        </w:rPr>
        <w:fldChar w:fldCharType="begin"/>
      </w:r>
      <w:r w:rsidR="00A40AC3" w:rsidRPr="00D70892">
        <w:rPr>
          <w:rFonts w:ascii="Arial" w:hAnsi="Arial" w:cs="Arial"/>
          <w:sz w:val="20"/>
          <w:szCs w:val="20"/>
        </w:rPr>
        <w:instrText xml:space="preserve"> ADDIN ZOTERO_ITEM CSL_CITATION {"citationID":"Mfmk2mH3","properties":{"formattedCitation":"(Meenakshisundaram*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A40AC3" w:rsidRPr="00D70892">
        <w:rPr>
          <w:rFonts w:ascii="Arial" w:hAnsi="Arial" w:cs="Arial"/>
          <w:sz w:val="20"/>
          <w:szCs w:val="20"/>
        </w:rPr>
        <w:fldChar w:fldCharType="separate"/>
      </w:r>
      <w:r w:rsidR="00E92C09" w:rsidRPr="00D70892">
        <w:rPr>
          <w:rFonts w:ascii="Arial" w:hAnsi="Arial" w:cs="Arial"/>
          <w:sz w:val="20"/>
          <w:szCs w:val="20"/>
        </w:rPr>
        <w:t>(Meenakshisundaram et al., 2017)</w:t>
      </w:r>
      <w:r w:rsidR="00A40AC3" w:rsidRPr="00D70892">
        <w:rPr>
          <w:rFonts w:ascii="Arial" w:hAnsi="Arial" w:cs="Arial"/>
          <w:sz w:val="20"/>
          <w:szCs w:val="20"/>
        </w:rPr>
        <w:fldChar w:fldCharType="end"/>
      </w:r>
      <w:r w:rsidR="00A40AC3" w:rsidRPr="00D70892">
        <w:rPr>
          <w:rFonts w:ascii="Arial" w:hAnsi="Arial" w:cs="Arial"/>
          <w:sz w:val="20"/>
          <w:szCs w:val="20"/>
        </w:rPr>
        <w:t xml:space="preserve">. </w:t>
      </w:r>
      <w:r w:rsidR="006E4EF5" w:rsidRPr="00D70892">
        <w:rPr>
          <w:rFonts w:ascii="Arial" w:hAnsi="Arial" w:cs="Arial"/>
          <w:sz w:val="20"/>
          <w:szCs w:val="20"/>
        </w:rPr>
        <w:t>Since ancient times, plants have been utilized for their anthelmintic properties. Numerous plant species and their extracts have demonstrated anthelmintic activity. Those with scientifically validated effects could serve as valuable alternatives within the broader strategy for sustainably managing gastrointestinal helminths, potentially reducing dependence on synthetic anthelmintics</w:t>
      </w:r>
      <w:r w:rsidR="005E6BBA" w:rsidRPr="00D70892">
        <w:rPr>
          <w:rFonts w:ascii="Arial" w:hAnsi="Arial" w:cs="Arial"/>
          <w:sz w:val="20"/>
          <w:szCs w:val="20"/>
        </w:rPr>
        <w:t xml:space="preserve"> </w:t>
      </w:r>
      <w:r w:rsidR="004322A2" w:rsidRPr="00D70892">
        <w:rPr>
          <w:rFonts w:ascii="Arial" w:hAnsi="Arial" w:cs="Arial"/>
          <w:sz w:val="20"/>
          <w:szCs w:val="20"/>
        </w:rPr>
        <w:fldChar w:fldCharType="begin"/>
      </w:r>
      <w:r w:rsidR="004322A2" w:rsidRPr="00D70892">
        <w:rPr>
          <w:rFonts w:ascii="Arial" w:hAnsi="Arial" w:cs="Arial"/>
          <w:sz w:val="20"/>
          <w:szCs w:val="20"/>
        </w:rPr>
        <w:instrText xml:space="preserve"> ADDIN ZOTERO_ITEM CSL_CITATION {"citationID":"6mNUZ2jR","properties":{"formattedCitation":"(Manjusa &amp; Pradeep, 2022)","plainCitation":"(Manjusa &amp; Pradeep, 2022)","noteIndex":0},"citationItems":[{"id":131,"uris":["http://zotero.org/users/14224827/items/NEIEA6CZ"],"itemData":{"id":131,"type":"article-journal","abstract":"Helminths or Parasitic worms of humans may cause chronic and sometimes deadly diseases, considered as neglected tropical diseases (NTDs) that infect around two billion people worldwide. Plants have been used as anthelmintics from ancient times. This review is a compilation of plants as source of anthelmintic drug. All information presented in this review article regarding the anthelmintic activities of plants from 2005 and has been acquired by approaching various electronic databases, including Scopus, Google scholar, Web of science and PubMed. Literature was surveyed for anthelmintic activity of plants which showed that secondary metabolites of plants like terpenes, glycosides, saponins, flavonoids, tannins and alkaloids were having anthelmintic activity. Since this review is a compilation of anthelmintic activity of plants from the year 2005, it will definitely be a fruitful study for researchers working in this field.","container-title":"Journal of Traditional Chinese Medicine","DOI":"10.19852/j.cnki.jtcm.2022.04.007","ISSN":"0255-2922","issue":"4","journalAbbreviation":"J Tradit Chin Med","note":"PMID: 35848982\nPMCID: PMC9924796","page":"641-651","source":"PubMed Central","title":"Herbal anthelmintic agents: a narrative review","title-short":"Herbal anthelmintic agents","volume":"42","author":[{"family":"Manjusa","given":"Adak"},{"family":"Pradeep","given":"Kumar"}],"issued":{"date-parts":[["2022",8,15]]}}}],"schema":"https://github.com/citation-style-language/schema/raw/master/csl-citation.json"} </w:instrText>
      </w:r>
      <w:r w:rsidR="004322A2" w:rsidRPr="00D70892">
        <w:rPr>
          <w:rFonts w:ascii="Arial" w:hAnsi="Arial" w:cs="Arial"/>
          <w:sz w:val="20"/>
          <w:szCs w:val="20"/>
        </w:rPr>
        <w:fldChar w:fldCharType="separate"/>
      </w:r>
      <w:r w:rsidR="004322A2" w:rsidRPr="00D70892">
        <w:rPr>
          <w:rFonts w:ascii="Arial" w:hAnsi="Arial" w:cs="Arial"/>
          <w:sz w:val="20"/>
          <w:szCs w:val="20"/>
        </w:rPr>
        <w:t>(Manjusa &amp; Pradeep 2022)</w:t>
      </w:r>
      <w:r w:rsidR="004322A2" w:rsidRPr="00D70892">
        <w:rPr>
          <w:rFonts w:ascii="Arial" w:hAnsi="Arial" w:cs="Arial"/>
          <w:sz w:val="20"/>
          <w:szCs w:val="20"/>
        </w:rPr>
        <w:fldChar w:fldCharType="end"/>
      </w:r>
      <w:r w:rsidR="006E4EF5" w:rsidRPr="00D70892">
        <w:rPr>
          <w:rFonts w:ascii="Arial" w:hAnsi="Arial" w:cs="Arial"/>
          <w:sz w:val="20"/>
          <w:szCs w:val="20"/>
        </w:rPr>
        <w:t>.</w:t>
      </w:r>
      <w:r w:rsidR="004322A2" w:rsidRPr="00D70892">
        <w:rPr>
          <w:rFonts w:ascii="Arial" w:hAnsi="Arial" w:cs="Arial"/>
          <w:sz w:val="20"/>
          <w:szCs w:val="20"/>
        </w:rPr>
        <w:t xml:space="preserve"> </w:t>
      </w:r>
      <w:r w:rsidR="004322A2" w:rsidRPr="00D70892">
        <w:rPr>
          <w:rFonts w:ascii="Arial" w:eastAsia="Times New Roman" w:hAnsi="Arial" w:cs="Arial"/>
          <w:sz w:val="20"/>
          <w:szCs w:val="20"/>
        </w:rPr>
        <w:t xml:space="preserve">The Cucurbitaceae family, which includes crops such as cucumber and melon, comprises plants with notable medicinal value and is commonly referred to as cucurbits. These plants are rich in various phytochemicals, including glycosides, terpenoids, saponins, tannins, steroids, carotenoids, and resins, with </w:t>
      </w:r>
      <w:proofErr w:type="spellStart"/>
      <w:r w:rsidR="004322A2" w:rsidRPr="00D70892">
        <w:rPr>
          <w:rFonts w:ascii="Arial" w:eastAsia="Times New Roman" w:hAnsi="Arial" w:cs="Arial"/>
          <w:sz w:val="20"/>
          <w:szCs w:val="20"/>
        </w:rPr>
        <w:t>cucurbitacins</w:t>
      </w:r>
      <w:proofErr w:type="spellEnd"/>
      <w:r w:rsidR="004322A2" w:rsidRPr="00D70892">
        <w:rPr>
          <w:rFonts w:ascii="Arial" w:eastAsia="Times New Roman" w:hAnsi="Arial" w:cs="Arial"/>
          <w:sz w:val="20"/>
          <w:szCs w:val="20"/>
        </w:rPr>
        <w:t>—</w:t>
      </w:r>
      <w:proofErr w:type="spellStart"/>
      <w:r w:rsidR="004322A2" w:rsidRPr="00D70892">
        <w:rPr>
          <w:rFonts w:ascii="Arial" w:eastAsia="Times New Roman" w:hAnsi="Arial" w:cs="Arial"/>
          <w:sz w:val="20"/>
          <w:szCs w:val="20"/>
        </w:rPr>
        <w:t>terpenoid</w:t>
      </w:r>
      <w:proofErr w:type="spellEnd"/>
      <w:r w:rsidR="004322A2" w:rsidRPr="00D70892">
        <w:rPr>
          <w:rFonts w:ascii="Arial" w:eastAsia="Times New Roman" w:hAnsi="Arial" w:cs="Arial"/>
          <w:sz w:val="20"/>
          <w:szCs w:val="20"/>
        </w:rPr>
        <w:t xml:space="preserve"> compounds—being particularly prominent. Over the past decade, pumpkin fruits and seeds have been extensively studied for their ethnopharmacological potential in treating parasitic infections. Several studies have demonstrated that extracts from </w:t>
      </w:r>
      <w:r w:rsidR="004322A2" w:rsidRPr="00D70892">
        <w:rPr>
          <w:rFonts w:ascii="Arial" w:eastAsia="Times New Roman" w:hAnsi="Arial" w:cs="Arial"/>
          <w:i/>
          <w:iCs/>
          <w:sz w:val="20"/>
          <w:szCs w:val="20"/>
        </w:rPr>
        <w:t>Cucurbita pepo</w:t>
      </w:r>
      <w:r w:rsidR="004322A2" w:rsidRPr="00D70892">
        <w:rPr>
          <w:rFonts w:ascii="Arial" w:eastAsia="Times New Roman" w:hAnsi="Arial" w:cs="Arial"/>
          <w:sz w:val="20"/>
          <w:szCs w:val="20"/>
        </w:rPr>
        <w:t xml:space="preserve"> possess anthelmintic activity</w:t>
      </w:r>
      <w:r w:rsidR="006E0DD8" w:rsidRPr="00D70892">
        <w:rPr>
          <w:rFonts w:ascii="Arial" w:eastAsia="Times New Roman" w:hAnsi="Arial" w:cs="Arial"/>
          <w:sz w:val="20"/>
          <w:szCs w:val="20"/>
        </w:rPr>
        <w:t xml:space="preserve"> </w:t>
      </w:r>
      <w:r w:rsidR="004322A2" w:rsidRPr="00D70892">
        <w:rPr>
          <w:rFonts w:ascii="Arial" w:eastAsia="Times New Roman" w:hAnsi="Arial" w:cs="Arial"/>
          <w:sz w:val="20"/>
          <w:szCs w:val="20"/>
        </w:rPr>
        <w:fldChar w:fldCharType="begin"/>
      </w:r>
      <w:r w:rsidR="004322A2" w:rsidRPr="00D70892">
        <w:rPr>
          <w:rFonts w:ascii="Arial" w:eastAsia="Times New Roman" w:hAnsi="Arial" w:cs="Arial"/>
          <w:sz w:val="20"/>
          <w:szCs w:val="20"/>
        </w:rPr>
        <w:instrText xml:space="preserve"> ADDIN ZOTERO_ITEM CSL_CITATION {"citationID":"y0JbBZwR","properties":{"formattedCitation":"(Grzybek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004322A2" w:rsidRPr="00D70892">
        <w:rPr>
          <w:rFonts w:ascii="Arial" w:eastAsia="Times New Roman" w:hAnsi="Arial" w:cs="Arial"/>
          <w:sz w:val="20"/>
          <w:szCs w:val="20"/>
        </w:rPr>
        <w:fldChar w:fldCharType="separate"/>
      </w:r>
      <w:r w:rsidR="004322A2" w:rsidRPr="00D70892">
        <w:rPr>
          <w:rFonts w:ascii="Arial" w:hAnsi="Arial" w:cs="Arial"/>
          <w:sz w:val="20"/>
          <w:szCs w:val="20"/>
        </w:rPr>
        <w:t>(Grzybek et al., 2016)</w:t>
      </w:r>
      <w:r w:rsidR="004322A2" w:rsidRPr="00D70892">
        <w:rPr>
          <w:rFonts w:ascii="Arial" w:eastAsia="Times New Roman" w:hAnsi="Arial" w:cs="Arial"/>
          <w:sz w:val="20"/>
          <w:szCs w:val="20"/>
        </w:rPr>
        <w:fldChar w:fldCharType="end"/>
      </w:r>
      <w:r w:rsidR="004322A2" w:rsidRPr="00D70892">
        <w:rPr>
          <w:rFonts w:ascii="Arial" w:eastAsia="Times New Roman" w:hAnsi="Arial" w:cs="Arial"/>
          <w:sz w:val="20"/>
          <w:szCs w:val="20"/>
        </w:rPr>
        <w:t>.</w:t>
      </w:r>
      <w:r w:rsidR="00BF0E9E" w:rsidRPr="00D70892">
        <w:rPr>
          <w:rFonts w:ascii="Arial" w:eastAsia="Times New Roman" w:hAnsi="Arial" w:cs="Arial"/>
          <w:sz w:val="20"/>
          <w:szCs w:val="20"/>
        </w:rPr>
        <w:t xml:space="preserve"> In the present study, the </w:t>
      </w:r>
      <w:r w:rsidR="00E5420E" w:rsidRPr="00D70892">
        <w:rPr>
          <w:rFonts w:ascii="Arial" w:hAnsi="Arial" w:cs="Arial"/>
          <w:sz w:val="20"/>
          <w:szCs w:val="20"/>
        </w:rPr>
        <w:t xml:space="preserve">anthelmintic efficacy of aqueous seed extract of </w:t>
      </w:r>
      <w:r w:rsidR="00E5420E" w:rsidRPr="00D70892">
        <w:rPr>
          <w:rFonts w:ascii="Arial" w:hAnsi="Arial" w:cs="Arial"/>
          <w:i/>
          <w:sz w:val="20"/>
          <w:szCs w:val="20"/>
        </w:rPr>
        <w:t>Cucurbita pepo</w:t>
      </w:r>
      <w:r w:rsidR="00E5420E" w:rsidRPr="00D70892">
        <w:rPr>
          <w:rFonts w:ascii="Arial" w:hAnsi="Arial" w:cs="Arial"/>
          <w:sz w:val="20"/>
          <w:szCs w:val="20"/>
        </w:rPr>
        <w:t xml:space="preserve"> </w:t>
      </w:r>
      <w:r w:rsidR="00BF0E9E" w:rsidRPr="00D70892">
        <w:rPr>
          <w:rFonts w:ascii="Arial" w:hAnsi="Arial" w:cs="Arial"/>
          <w:sz w:val="20"/>
          <w:szCs w:val="20"/>
        </w:rPr>
        <w:t>was evaluated against the mixed gastrointestinal helminths of goats.</w:t>
      </w:r>
    </w:p>
    <w:p w14:paraId="12029095" w14:textId="691D4201" w:rsidR="00BF0E9E" w:rsidRPr="00D70892" w:rsidRDefault="00BF0E9E" w:rsidP="00BF0E9E">
      <w:pPr>
        <w:pStyle w:val="ListParagraph"/>
        <w:numPr>
          <w:ilvl w:val="0"/>
          <w:numId w:val="1"/>
        </w:numPr>
        <w:spacing w:before="120" w:after="120" w:line="480" w:lineRule="auto"/>
        <w:jc w:val="both"/>
        <w:rPr>
          <w:rFonts w:ascii="Arial" w:hAnsi="Arial" w:cs="Arial"/>
          <w:b/>
          <w:bCs/>
          <w:szCs w:val="20"/>
        </w:rPr>
      </w:pPr>
      <w:r w:rsidRPr="00D70892">
        <w:rPr>
          <w:rFonts w:ascii="Arial" w:hAnsi="Arial" w:cs="Arial"/>
          <w:b/>
          <w:bCs/>
          <w:szCs w:val="20"/>
        </w:rPr>
        <w:t>MATERIAL AND METHODS</w:t>
      </w:r>
    </w:p>
    <w:p w14:paraId="641B53D3" w14:textId="076BB6DF" w:rsidR="001D17A9" w:rsidRPr="00D70892" w:rsidRDefault="00456F75" w:rsidP="001D17A9">
      <w:pPr>
        <w:pStyle w:val="ListParagraph"/>
        <w:numPr>
          <w:ilvl w:val="1"/>
          <w:numId w:val="1"/>
        </w:numPr>
        <w:spacing w:before="120" w:after="120" w:line="480" w:lineRule="auto"/>
        <w:jc w:val="both"/>
        <w:rPr>
          <w:rFonts w:ascii="Arial" w:hAnsi="Arial" w:cs="Arial"/>
          <w:b/>
          <w:bCs/>
          <w:szCs w:val="20"/>
        </w:rPr>
      </w:pPr>
      <w:commentRangeStart w:id="5"/>
      <w:r w:rsidRPr="00D70892">
        <w:rPr>
          <w:rFonts w:ascii="Arial" w:hAnsi="Arial" w:cs="Arial"/>
          <w:b/>
          <w:bCs/>
          <w:szCs w:val="20"/>
        </w:rPr>
        <w:lastRenderedPageBreak/>
        <w:t>Collection of plant material and extraction</w:t>
      </w:r>
      <w:commentRangeEnd w:id="5"/>
      <w:r w:rsidR="00D70892">
        <w:rPr>
          <w:rStyle w:val="CommentReference"/>
          <w:rFonts w:eastAsiaTheme="minorEastAsia"/>
          <w:kern w:val="0"/>
          <w:lang w:eastAsia="en-IN"/>
          <w14:ligatures w14:val="none"/>
        </w:rPr>
        <w:commentReference w:id="5"/>
      </w:r>
    </w:p>
    <w:p w14:paraId="4F1B1983" w14:textId="3E1A4250" w:rsidR="000D0B14" w:rsidRPr="00D70892" w:rsidRDefault="000D0B14" w:rsidP="000D0B14">
      <w:pPr>
        <w:pStyle w:val="ListParagraph"/>
        <w:spacing w:before="120" w:after="120" w:line="480" w:lineRule="auto"/>
        <w:jc w:val="both"/>
        <w:rPr>
          <w:rFonts w:ascii="Arial" w:eastAsia="Times New Roman" w:hAnsi="Arial" w:cs="Arial"/>
          <w:sz w:val="20"/>
          <w:szCs w:val="20"/>
        </w:rPr>
      </w:pPr>
      <w:r w:rsidRPr="00D70892">
        <w:rPr>
          <w:rFonts w:ascii="Arial" w:eastAsia="Times New Roman" w:hAnsi="Arial" w:cs="Arial"/>
          <w:sz w:val="20"/>
          <w:szCs w:val="20"/>
        </w:rPr>
        <w:t xml:space="preserve">Seeds of </w:t>
      </w:r>
      <w:r w:rsidRPr="00D70892">
        <w:rPr>
          <w:rFonts w:ascii="Arial" w:eastAsia="Times New Roman" w:hAnsi="Arial" w:cs="Arial"/>
          <w:i/>
          <w:iCs/>
          <w:sz w:val="20"/>
          <w:szCs w:val="20"/>
        </w:rPr>
        <w:t>Cucurbita pepo</w:t>
      </w:r>
      <w:r w:rsidRPr="00D70892">
        <w:rPr>
          <w:rFonts w:ascii="Arial" w:eastAsia="Times New Roman" w:hAnsi="Arial" w:cs="Arial"/>
          <w:sz w:val="20"/>
          <w:szCs w:val="20"/>
        </w:rPr>
        <w:t xml:space="preserve"> (pumpkin) were collected from fresh fruits and sourced from the local market. After cleaning, the seeds were shade-dried for two weeks and then ground into a fine powder using a laboratory mixer grinder. For the preparation of aqueous seed extracts, 40 grams of powdered seeds were boiled in 500 mL of distilled water for 30 minutes. The resulting mixture was filtered through muslin cloth, and the filtrate was evaporated at 40°C until completely dry, yielding a fine solid residue. This residue was weighed, placed in airtight, moisture-proof containers, and stored at 4°C in a refrigerator. The extraction procedure followed the method outlined by </w:t>
      </w:r>
      <w:r w:rsidRPr="00D70892">
        <w:rPr>
          <w:rFonts w:ascii="Arial" w:eastAsia="Times New Roman" w:hAnsi="Arial" w:cs="Arial"/>
          <w:sz w:val="20"/>
          <w:szCs w:val="20"/>
        </w:rPr>
        <w:fldChar w:fldCharType="begin"/>
      </w:r>
      <w:r w:rsidRPr="00D70892">
        <w:rPr>
          <w:rFonts w:ascii="Arial" w:eastAsia="Times New Roman" w:hAnsi="Arial" w:cs="Arial"/>
          <w:sz w:val="20"/>
          <w:szCs w:val="20"/>
        </w:rPr>
        <w:instrText xml:space="preserve"> ADDIN ZOTERO_ITEM CSL_CITATION {"citationID":"W6BhlU0o","properties":{"formattedCitation":"(Adeneye et al., 2009)","plainCitation":"(Adeneye et al., 2009)","noteIndex":0},"citationItems":[{"id":142,"uris":["http://zotero.org/users/14224827/items/DHAMYJKJ"],"itemData":{"id":142,"type":"article-journal","abstract":"Carica papaya Linn. is known to have a versatile application in African folkloric medicine. In the current study, the dose-dependent (100 – 400 mg/kg/day/oral route) and time-course protective effects of the 400 mg/kg/oral route of the aqueous seed extract of unripe and mature Carica papaya fruit (CPE) were investigated in carbon tetrachloride (CCl4) hepatotoxic rats for 72 hours. Results showed the extract to cause significant (p&lt;0.05, p&lt;0.001), dose related attenuation in the elevation of serum liver enzyme markers of acute hepatocellular injury (ALT, AST), serum lipids (TG, TC, HDL-c, LDL-c and VLDL-c) and serum proteins (TP and ALB). Maximum hepatoprotection was offered at an oral dose of 400 mg/kg/day of the extract. The biochemical results obtained were corroborated by improvements in the CCl4-induced hepatic histological changes. In addition, maximum hepatoprotection was offered at the 400 mg/kg of CPE for up to 3 hours postCCl4 induction. In conclusion, the results obtained in the current study justify the folkloric application of CPE in the treatment of drug-related hepatic injury.","language":"en","source":"Zotero","title":"The Aqueous Seed Extract Of Carica papaya Linn. Prevents Carbon Tetrachloride Induced Hepatotoxicity In Rats","author":[{"family":"Adeneye","given":"Aa"},{"family":"Ja","given":"Olagunju"},{"family":"Aaf","given":"Banjo"},{"family":"Sf","given":"Abdul"},{"family":"Oa","given":"Sanusi"},{"family":"Oo","given":"Sanni"},{"family":"Oe","given":"Shonoiki"}],"issued":{"date-parts":[["2009"]]}}}],"schema":"https://github.com/citation-style-language/schema/raw/master/csl-citation.json"} </w:instrText>
      </w:r>
      <w:r w:rsidRPr="00D70892">
        <w:rPr>
          <w:rFonts w:ascii="Arial" w:eastAsia="Times New Roman" w:hAnsi="Arial" w:cs="Arial"/>
          <w:sz w:val="20"/>
          <w:szCs w:val="20"/>
        </w:rPr>
        <w:fldChar w:fldCharType="separate"/>
      </w:r>
      <w:r w:rsidRPr="00D70892">
        <w:rPr>
          <w:rFonts w:ascii="Arial" w:hAnsi="Arial" w:cs="Arial"/>
          <w:sz w:val="20"/>
          <w:szCs w:val="20"/>
        </w:rPr>
        <w:t>(Adeneye et al., 2009)</w:t>
      </w:r>
      <w:r w:rsidRPr="00D70892">
        <w:rPr>
          <w:rFonts w:ascii="Arial" w:eastAsia="Times New Roman" w:hAnsi="Arial" w:cs="Arial"/>
          <w:sz w:val="20"/>
          <w:szCs w:val="20"/>
        </w:rPr>
        <w:fldChar w:fldCharType="end"/>
      </w:r>
      <w:r w:rsidR="00AD2140" w:rsidRPr="00D70892">
        <w:rPr>
          <w:rFonts w:ascii="Arial" w:eastAsia="Times New Roman" w:hAnsi="Arial" w:cs="Arial"/>
          <w:sz w:val="20"/>
          <w:szCs w:val="20"/>
        </w:rPr>
        <w:t>.</w:t>
      </w:r>
    </w:p>
    <w:p w14:paraId="13F0A1DA" w14:textId="74E571DA" w:rsidR="00362712" w:rsidRPr="00D70892" w:rsidRDefault="00362712" w:rsidP="001D17A9">
      <w:pPr>
        <w:pStyle w:val="ListParagraph"/>
        <w:numPr>
          <w:ilvl w:val="1"/>
          <w:numId w:val="1"/>
        </w:numPr>
        <w:spacing w:before="120" w:after="120" w:line="480" w:lineRule="auto"/>
        <w:jc w:val="both"/>
        <w:rPr>
          <w:rFonts w:ascii="Arial" w:hAnsi="Arial" w:cs="Arial"/>
          <w:b/>
          <w:bCs/>
          <w:sz w:val="20"/>
          <w:szCs w:val="20"/>
        </w:rPr>
      </w:pPr>
      <w:commentRangeStart w:id="6"/>
      <w:commentRangeStart w:id="7"/>
      <w:r w:rsidRPr="00D70892">
        <w:rPr>
          <w:rFonts w:ascii="Arial" w:hAnsi="Arial" w:cs="Arial"/>
          <w:b/>
          <w:bCs/>
          <w:szCs w:val="20"/>
        </w:rPr>
        <w:t xml:space="preserve">Animal experiment </w:t>
      </w:r>
      <w:commentRangeEnd w:id="6"/>
      <w:r w:rsidR="006B21A7" w:rsidRPr="00D70892">
        <w:rPr>
          <w:rStyle w:val="CommentReference"/>
          <w:rFonts w:ascii="Arial" w:eastAsiaTheme="minorEastAsia" w:hAnsi="Arial" w:cs="Arial"/>
          <w:kern w:val="0"/>
          <w:sz w:val="22"/>
          <w:szCs w:val="20"/>
          <w:lang w:eastAsia="en-IN"/>
          <w14:ligatures w14:val="none"/>
        </w:rPr>
        <w:commentReference w:id="6"/>
      </w:r>
      <w:commentRangeEnd w:id="7"/>
      <w:r w:rsidR="00D70892">
        <w:rPr>
          <w:rStyle w:val="CommentReference"/>
          <w:rFonts w:eastAsiaTheme="minorEastAsia"/>
          <w:kern w:val="0"/>
          <w:lang w:eastAsia="en-IN"/>
          <w14:ligatures w14:val="none"/>
        </w:rPr>
        <w:commentReference w:id="7"/>
      </w:r>
    </w:p>
    <w:p w14:paraId="69C0ECBA" w14:textId="0866A7DB" w:rsidR="009D291F" w:rsidRPr="00D70892" w:rsidRDefault="009209C5" w:rsidP="009D291F">
      <w:pPr>
        <w:pStyle w:val="ListParagraph"/>
        <w:spacing w:before="120" w:after="120" w:line="480" w:lineRule="auto"/>
        <w:ind w:left="732"/>
        <w:jc w:val="both"/>
        <w:rPr>
          <w:rFonts w:ascii="Arial" w:hAnsi="Arial" w:cs="Arial"/>
          <w:sz w:val="20"/>
          <w:szCs w:val="20"/>
        </w:rPr>
      </w:pPr>
      <w:r w:rsidRPr="00D70892">
        <w:rPr>
          <w:rFonts w:ascii="Arial" w:hAnsi="Arial" w:cs="Arial"/>
          <w:sz w:val="20"/>
          <w:szCs w:val="20"/>
        </w:rPr>
        <w:t>The experimental doses of the plant extracts in this study were determined based on previously reported effective dosages from earlier research</w:t>
      </w:r>
      <w:r w:rsidR="00074BEC" w:rsidRPr="00D70892">
        <w:rPr>
          <w:rFonts w:ascii="Arial" w:hAnsi="Arial" w:cs="Arial"/>
          <w:sz w:val="20"/>
          <w:szCs w:val="20"/>
        </w:rPr>
        <w:t xml:space="preserve"> </w:t>
      </w:r>
      <w:r w:rsidRPr="00D70892">
        <w:rPr>
          <w:rFonts w:ascii="Arial" w:hAnsi="Arial" w:cs="Arial"/>
          <w:sz w:val="20"/>
          <w:szCs w:val="20"/>
        </w:rPr>
        <w:fldChar w:fldCharType="begin"/>
      </w:r>
      <w:r w:rsidR="00EC231D" w:rsidRPr="00D70892">
        <w:rPr>
          <w:rFonts w:ascii="Arial" w:hAnsi="Arial" w:cs="Arial"/>
          <w:sz w:val="20"/>
          <w:szCs w:val="20"/>
        </w:rPr>
        <w:instrText xml:space="preserve"> ADDIN ZOTERO_ITEM CSL_CITATION {"citationID":"5mdqZPUV","properties":{"formattedCitation":"(Abdel Aziz et al., 2018; Babaei et al., 2018; Kalmob\\uc0\\u233{} et al., 2017; Meenakshisundaram* et al., 2017)","plainCitation":"(Abdel Aziz et al., 2018; Babaei et al., 2018; Kalmobé et al., 2017; Meenakshisundaram* et al., 2017)","noteIndex":0},"citationItems":[{"id":150,"uris":["http://zotero.org/users/14224827/items/2JRXIZ2Z"],"itemData":{"id":150,"type":"article-journal","abstract":"Pumpkin seeds (Cucurbita pepo) and Pomegranate peel (Punica granatum) have anthelmintic properties. The aim of this study was to compare the anthelmintic eﬃcacy of pumpkin seeds ethanolic extract and pomegranate peel aqueous extract against Ascaridia galli in vitro and in vivo in Baladi chicks. On adult worms, the extracts of the two herbs were compared in vitro at concentrations of 25, 50, and 75 mg/ml with fenbendazole at a concentration of 5 mg/ml. Chicks were infected with Ascaridia galli eggs containing second stage larva and treated with 2000 mg/ kg of each of the extracts compared with 100 mg/kg fenbendazole. In vitro, all concentrations of pumpkin seed extract and the concentration of 75 mg/ml pomegranate peel extract exhibited a nearly similar eﬀect to fenbendazole. In vivo, the mortality rate of the worms extracted from the 2000 mg/kg pumpkin seeds extract-treated chicken was non-signiﬁcantly diﬀerent from that of fenbendazole for 48 h. While pomegranate peels extract exhibited a lower lethal eﬀect than fenbendazole. The anthelmintic eﬃcacy was dependent on time and concentration. The study presented the anthelmintic eﬃcacy of the pumpkin seeds and pomegranate peel extracts on Ascaridia galli. Pumpkin seed extract was more eﬀective than pomegranate peel extract. Future studies to determine the optimal dose to maximize their eﬀectiveness especially for pumpkin seeds as anthelmintic therapeutic are required.","container-title":"Beni-Suef University Journal of Basic and Applied Sciences","DOI":"10.1016/j.bjbas.2018.02.003","ISSN":"23148535","issue":"2","journalAbbreviation":"Beni-Suef University Journal of Basic and Applied Sciences","language":"en","page":"231-234","source":"DOI.org (Crossref)","title":"In vitro and in vivo anthelmintic activity of pumpkin seeds and pomegranate peels extracts against Ascaridia galli","volume":"7","author":[{"family":"Abdel Aziz","given":"Amer R."},{"family":"AbouLaila","given":"Mahmoud R."},{"family":"Aziz","given":"Mohammad"},{"family":"Omar","given":"Mosaab A."},{"family":"Sultan","given":"Khaled"}],"issued":{"date-parts":[["2018",6]]}}},{"id":152,"uris":["http://zotero.org/users/14224827/items/LFS93IKN"],"itemData":{"id":152,"type":"article-journal","abstract":"Introduction: Hydatid Disease (HD), a helminth infection with various clinical complications is a serious economic and public health concern around the world. Nowadays, different agents have been broadly applied as scolicids; these agents have several side effects on patients. Therefore, the aims of this experimental study were to evaluate the scolicidal activity of Cucurbita maxima seeds methanolic extract (ME) against protoscolices of hydatid cyst in-vitro. Also, an in vivo assay was designed to prove the preventive effects of the extract. Materials and methods: For this work, Two different concentrations (25 and 50 mg/ml) of the C. maxima seeds ME were used in various exposure times (10, 20, 30, 40, 50, and 60 min). Additionally, thirty mice were infected intraperitoneally by injection of 1000 viable protoscolices and were divided into three groups with ten mice in each Group I (treated by Albendazole), group II (received 50 mg/ml of C. maxima seeds ME) and group III (untreated controls).\nResults: Overall, C. maxima seeds ME exhibited signiﬁcant scolicidal effects in compared with control group (P&lt;0.05). At a concentration of 50 mg/ml, the mortality percentage increased to 84.7%, 96.1% and 100% after 40, 50 and 60 minutes, respectively. Also, the obtain data in necropsy demonstrated that C. maxima seeds ME have an inhibitory effect on the hydatid cyst development. No hydatid cyst formation observed in mice treated with C. maxima seeds ME (50 mg/ml) versus control group which hydatid cyst occurred in 6 (from 10) mice.\nConclusion: The current investigation indicated that applying C. maxima seeds ME could be considered as a potential scolicidal agent due to being economical, safer and non-toxic compared to the reference chemical drugs. However, further studies on probably active compounds and also to the determination of its mode of action on parasites are required.","container-title":"Journal of Basic Research in Medical Sciences","DOI":"10.29252/jbrms.5.1.22","ISSN":"2383-0506, 2383-0972","issue":"1","journalAbbreviation":"JBRMS","language":"en","page":"22-28","source":"DOI.org (Crossref)","title":"Cucurbita maxima (Pumpkin) seeds: Scolicidal activity and preventive efficacy of its extract on experimental hydatidosis in mice","title-short":"Cucurbita maxima (Pumpkin) seeds","volume":"5","author":[{"family":"Babaei","given":"Arash"},{"literal":"Department of Biology, Faculty of Sciences, Malayer University, Malayer, Iran"},{"family":"Jafari","given":"Arash"},{"literal":"Department of Pathobiology, Faculty of Veterinary Medicine, Shiraz University, Shiraz, Iran"},{"family":"Asadpour","given":"Mohammad"},{"literal":"Department of Pathobiology, Faculty of Veterinary Medicine, Shiraz University, Shiraz, Iran"},{"family":"Shamsi","given":"Morteza"},{"literal":"Department of Parasitology, Faculty of Paramedical Sciences, Ilam University of Medical Sciences, Ilam, Iran"}],"issued":{"date-parts":[["2018",1,1]]}}},{"id":145,"uris":["http://zotero.org/users/14224827/items/A7HIKLP5"],"itemData":{"id":145,"type":"article-journal","container-title":"Journal of Pharmaceutical Research International","DOI":"10.9734/BJPR/2017/33381","ISSN":"2456-9119","language":"en","page":"1-8","source":"www.journaljpri.com","title":"Antifilarial Activity of Cucurbita pepo ovifera var ovifera (Cucurbitaceae) on Onchocerca ochengi Adult Worms","author":[{"family":"Kalmobé","given":"Justin"},{"family":"Ndjonka","given":"Dieudonné"},{"family":"Dikti","given":"Jacqueline Vildina"},{"family":"Liebau","given":"Eva"}],"issued":{"date-parts":[["2017",6,9]]}}},{"id":137,"uris":["http://zotero.org/users/14224827/items/L745ZDZB"],"itemData":{"id":137,"type":"article-journal","abstract":"The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70892">
        <w:rPr>
          <w:rFonts w:ascii="Arial" w:hAnsi="Arial" w:cs="Arial"/>
          <w:sz w:val="20"/>
          <w:szCs w:val="20"/>
        </w:rPr>
        <w:fldChar w:fldCharType="separate"/>
      </w:r>
      <w:r w:rsidR="00EC231D" w:rsidRPr="00D70892">
        <w:rPr>
          <w:rFonts w:ascii="Arial" w:hAnsi="Arial" w:cs="Arial"/>
          <w:kern w:val="0"/>
          <w:sz w:val="20"/>
          <w:szCs w:val="20"/>
        </w:rPr>
        <w:t>(Abdel Aziz et al., 2018; Babaei et al., 2018; Kalmobé et al., 2017; Meenakshisundaram et al., 2017)</w:t>
      </w:r>
      <w:r w:rsidRPr="00D70892">
        <w:rPr>
          <w:rFonts w:ascii="Arial" w:hAnsi="Arial" w:cs="Arial"/>
          <w:sz w:val="20"/>
          <w:szCs w:val="20"/>
        </w:rPr>
        <w:fldChar w:fldCharType="end"/>
      </w:r>
      <w:r w:rsidRPr="00D70892">
        <w:rPr>
          <w:rFonts w:ascii="Arial" w:hAnsi="Arial" w:cs="Arial"/>
          <w:sz w:val="20"/>
          <w:szCs w:val="20"/>
        </w:rPr>
        <w:t>.</w:t>
      </w:r>
      <w:r w:rsidR="009D291F" w:rsidRPr="00D70892">
        <w:rPr>
          <w:rFonts w:ascii="Arial" w:hAnsi="Arial" w:cs="Arial"/>
          <w:sz w:val="20"/>
          <w:szCs w:val="20"/>
        </w:rPr>
        <w:t xml:space="preserve"> A total of </w:t>
      </w:r>
      <w:commentRangeStart w:id="8"/>
      <w:r w:rsidR="009D291F" w:rsidRPr="00D70892">
        <w:rPr>
          <w:rFonts w:ascii="Arial" w:hAnsi="Arial" w:cs="Arial"/>
          <w:sz w:val="20"/>
          <w:szCs w:val="20"/>
        </w:rPr>
        <w:t>10 goats</w:t>
      </w:r>
      <w:commentRangeEnd w:id="8"/>
      <w:r w:rsidR="00051300" w:rsidRPr="00D70892">
        <w:rPr>
          <w:rStyle w:val="CommentReference"/>
          <w:rFonts w:ascii="Arial" w:eastAsiaTheme="minorEastAsia" w:hAnsi="Arial" w:cs="Arial"/>
          <w:kern w:val="0"/>
          <w:sz w:val="20"/>
          <w:szCs w:val="20"/>
          <w:lang w:eastAsia="en-IN"/>
          <w14:ligatures w14:val="none"/>
        </w:rPr>
        <w:commentReference w:id="8"/>
      </w:r>
      <w:r w:rsidR="009D291F" w:rsidRPr="00D70892">
        <w:rPr>
          <w:rFonts w:ascii="Arial" w:hAnsi="Arial" w:cs="Arial"/>
          <w:sz w:val="20"/>
          <w:szCs w:val="20"/>
        </w:rPr>
        <w:t xml:space="preserve"> </w:t>
      </w:r>
      <w:commentRangeStart w:id="9"/>
      <w:r w:rsidR="009D291F" w:rsidRPr="00D70892">
        <w:rPr>
          <w:rFonts w:ascii="Arial" w:hAnsi="Arial" w:cs="Arial"/>
          <w:sz w:val="20"/>
          <w:szCs w:val="20"/>
        </w:rPr>
        <w:t>aged between 6 to 12 months</w:t>
      </w:r>
      <w:commentRangeEnd w:id="9"/>
      <w:r w:rsidR="00C35DCC" w:rsidRPr="00D70892">
        <w:rPr>
          <w:rStyle w:val="CommentReference"/>
          <w:rFonts w:ascii="Arial" w:eastAsiaTheme="minorEastAsia" w:hAnsi="Arial" w:cs="Arial"/>
          <w:kern w:val="0"/>
          <w:sz w:val="20"/>
          <w:szCs w:val="20"/>
          <w:lang w:eastAsia="en-IN"/>
          <w14:ligatures w14:val="none"/>
        </w:rPr>
        <w:commentReference w:id="9"/>
      </w:r>
      <w:r w:rsidR="009D291F" w:rsidRPr="00D70892">
        <w:rPr>
          <w:rFonts w:ascii="Arial" w:hAnsi="Arial" w:cs="Arial"/>
          <w:sz w:val="20"/>
          <w:szCs w:val="20"/>
        </w:rPr>
        <w:t xml:space="preserve">, exhibiting faecal egg counts (EPG) ranging from 1000 to 1400 prior to treatment, were selected for the study. These goats received aqueous seed extract of </w:t>
      </w:r>
      <w:r w:rsidR="00362BFA" w:rsidRPr="00D70892">
        <w:rPr>
          <w:rFonts w:ascii="Arial" w:hAnsi="Arial" w:cs="Arial"/>
          <w:i/>
          <w:iCs/>
          <w:sz w:val="20"/>
          <w:szCs w:val="20"/>
        </w:rPr>
        <w:t>Cucurbita pepo</w:t>
      </w:r>
      <w:r w:rsidR="009D291F" w:rsidRPr="00D70892">
        <w:rPr>
          <w:rFonts w:ascii="Arial" w:hAnsi="Arial" w:cs="Arial"/>
          <w:sz w:val="20"/>
          <w:szCs w:val="20"/>
        </w:rPr>
        <w:t xml:space="preserve"> at a dose of 160 mg/kg body weight, administered orally once daily for three consecutive days. Additionally, ten clinically healthy goats free from helminth infections were maintained as an untreated control group.</w:t>
      </w:r>
      <w:r w:rsidR="00B26321" w:rsidRPr="00D70892">
        <w:rPr>
          <w:rFonts w:ascii="Arial" w:hAnsi="Arial" w:cs="Arial"/>
          <w:sz w:val="20"/>
          <w:szCs w:val="20"/>
        </w:rPr>
        <w:t xml:space="preserve"> </w:t>
      </w:r>
      <w:r w:rsidR="009D291F" w:rsidRPr="00D70892">
        <w:rPr>
          <w:rFonts w:ascii="Arial" w:hAnsi="Arial" w:cs="Arial"/>
          <w:sz w:val="20"/>
          <w:szCs w:val="20"/>
        </w:rPr>
        <w:t>Body weight measurements were recorded on day 0 and again on the 21st day after treatment.</w:t>
      </w:r>
    </w:p>
    <w:p w14:paraId="3E297304" w14:textId="77777777" w:rsidR="0040750C" w:rsidRPr="00D70892" w:rsidRDefault="00E313CC" w:rsidP="0041154B">
      <w:pPr>
        <w:pStyle w:val="ListParagraph"/>
        <w:numPr>
          <w:ilvl w:val="1"/>
          <w:numId w:val="1"/>
        </w:numPr>
        <w:spacing w:before="120" w:after="120" w:line="480" w:lineRule="auto"/>
        <w:jc w:val="both"/>
        <w:rPr>
          <w:rFonts w:ascii="Arial" w:hAnsi="Arial" w:cs="Arial"/>
          <w:b/>
          <w:bCs/>
        </w:rPr>
      </w:pPr>
      <w:commentRangeStart w:id="10"/>
      <w:r w:rsidRPr="00D70892">
        <w:rPr>
          <w:rFonts w:ascii="Arial" w:hAnsi="Arial" w:cs="Arial"/>
          <w:b/>
          <w:bCs/>
        </w:rPr>
        <w:t xml:space="preserve">Collection and examination of </w:t>
      </w:r>
      <w:r w:rsidR="00060BAF" w:rsidRPr="00D70892">
        <w:rPr>
          <w:rFonts w:ascii="Arial" w:hAnsi="Arial" w:cs="Arial"/>
          <w:b/>
          <w:bCs/>
        </w:rPr>
        <w:t>faecal</w:t>
      </w:r>
      <w:r w:rsidRPr="00D70892">
        <w:rPr>
          <w:rFonts w:ascii="Arial" w:hAnsi="Arial" w:cs="Arial"/>
          <w:b/>
          <w:bCs/>
        </w:rPr>
        <w:t xml:space="preserve"> sample</w:t>
      </w:r>
      <w:commentRangeEnd w:id="10"/>
      <w:r w:rsidR="00D70892" w:rsidRPr="00D70892">
        <w:rPr>
          <w:rStyle w:val="CommentReference"/>
          <w:rFonts w:eastAsiaTheme="minorEastAsia"/>
          <w:kern w:val="0"/>
          <w:sz w:val="22"/>
          <w:szCs w:val="22"/>
          <w:lang w:eastAsia="en-IN"/>
          <w14:ligatures w14:val="none"/>
        </w:rPr>
        <w:commentReference w:id="10"/>
      </w:r>
    </w:p>
    <w:p w14:paraId="572E4408" w14:textId="77777777" w:rsidR="0040750C" w:rsidRPr="00D70892" w:rsidRDefault="0040750C" w:rsidP="0040750C">
      <w:pPr>
        <w:pStyle w:val="ListParagraph"/>
        <w:spacing w:before="120" w:after="120" w:line="480" w:lineRule="auto"/>
        <w:jc w:val="both"/>
        <w:rPr>
          <w:rFonts w:ascii="Arial" w:hAnsi="Arial" w:cs="Arial"/>
          <w:sz w:val="20"/>
          <w:szCs w:val="20"/>
        </w:rPr>
      </w:pPr>
      <w:r w:rsidRPr="00D70892">
        <w:rPr>
          <w:rFonts w:ascii="Arial" w:hAnsi="Arial" w:cs="Arial"/>
          <w:sz w:val="20"/>
          <w:szCs w:val="20"/>
        </w:rPr>
        <w:t xml:space="preserve">Faecal samples weighing approximately 3–5 grams were collected directly from the rectum of each goat into plastic containers for microscopic examination and EPG (Egg per gram) analysis on day 0 (pre-treatment) and on the 3rd, 7th, and 21st days post-treatment. Microscopic analysis of the samples was performed using the </w:t>
      </w:r>
      <w:commentRangeStart w:id="11"/>
      <w:r w:rsidRPr="00D70892">
        <w:rPr>
          <w:rFonts w:ascii="Arial" w:hAnsi="Arial" w:cs="Arial"/>
          <w:sz w:val="20"/>
          <w:szCs w:val="20"/>
        </w:rPr>
        <w:t xml:space="preserve">sedimentation or flotation technique </w:t>
      </w:r>
      <w:commentRangeEnd w:id="11"/>
      <w:r w:rsidR="00E641B7" w:rsidRPr="00D70892">
        <w:rPr>
          <w:rStyle w:val="CommentReference"/>
          <w:rFonts w:ascii="Arial" w:eastAsiaTheme="minorEastAsia" w:hAnsi="Arial" w:cs="Arial"/>
          <w:kern w:val="0"/>
          <w:sz w:val="20"/>
          <w:szCs w:val="20"/>
          <w:lang w:eastAsia="en-IN"/>
          <w14:ligatures w14:val="none"/>
        </w:rPr>
        <w:commentReference w:id="11"/>
      </w:r>
      <w:r w:rsidRPr="00D70892">
        <w:rPr>
          <w:rFonts w:ascii="Arial" w:hAnsi="Arial" w:cs="Arial"/>
          <w:sz w:val="20"/>
          <w:szCs w:val="20"/>
        </w:rPr>
        <w:t xml:space="preserve">and EPG (Egg per gram) was estimated using Stoll’s dilution method as described by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{"citationID":"vBgnydHN","properties":{"formattedCitation":"(Soulsby, E. J. L., 1982)","plainCitation":"(Soulsby, E. J. L., 1982)","noteIndex":0},"citationItems":[{"id":153,"uris":["http://zotero.org/users/14224827/items/BC8VVJSK"],"itemData":{"id":153,"type":"book","edition":"6th","publisher":"Bailliere, Tindall,  Cassel and Condon","title":"Helminths, arthopods and protoazoa of domesticated animals.","author":[{"family":"Soulsby, E. J. L.","given":""}],"issued":{"date-parts":[["1982"]]}}}],"schema":"https://github.com/citation-style-language/schema/raw/master/csl-citation.json"}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(Soulsby, E. J. L., 1982)</w:t>
      </w:r>
      <w:r w:rsidRPr="00D70892">
        <w:rPr>
          <w:rFonts w:ascii="Arial" w:hAnsi="Arial" w:cs="Arial"/>
          <w:sz w:val="20"/>
          <w:szCs w:val="20"/>
        </w:rPr>
        <w:fldChar w:fldCharType="end"/>
      </w:r>
      <w:r w:rsidRPr="00D70892">
        <w:rPr>
          <w:rFonts w:ascii="Arial" w:hAnsi="Arial" w:cs="Arial"/>
          <w:sz w:val="20"/>
          <w:szCs w:val="20"/>
        </w:rPr>
        <w:t>.</w:t>
      </w:r>
    </w:p>
    <w:p w14:paraId="46CD4072" w14:textId="77777777" w:rsidR="00BC1560" w:rsidRPr="00D70892" w:rsidRDefault="0040750C" w:rsidP="00BC1560">
      <w:pPr>
        <w:pStyle w:val="ListParagraph"/>
        <w:numPr>
          <w:ilvl w:val="1"/>
          <w:numId w:val="1"/>
        </w:numPr>
        <w:spacing w:before="120" w:after="120" w:line="480" w:lineRule="auto"/>
        <w:jc w:val="both"/>
        <w:rPr>
          <w:rFonts w:ascii="Arial" w:hAnsi="Arial" w:cs="Arial"/>
          <w:b/>
          <w:bCs/>
          <w:szCs w:val="20"/>
        </w:rPr>
      </w:pPr>
      <w:commentRangeStart w:id="12"/>
      <w:r w:rsidRPr="00D70892">
        <w:rPr>
          <w:rFonts w:ascii="Arial" w:hAnsi="Arial" w:cs="Arial"/>
          <w:b/>
          <w:bCs/>
          <w:szCs w:val="20"/>
        </w:rPr>
        <w:t>Estimation of haematological and biochemical parameters</w:t>
      </w:r>
      <w:commentRangeEnd w:id="12"/>
      <w:r w:rsidR="00D70892">
        <w:rPr>
          <w:rStyle w:val="CommentReference"/>
          <w:rFonts w:eastAsiaTheme="minorEastAsia"/>
          <w:kern w:val="0"/>
          <w:lang w:eastAsia="en-IN"/>
          <w14:ligatures w14:val="none"/>
        </w:rPr>
        <w:commentReference w:id="12"/>
      </w:r>
    </w:p>
    <w:p w14:paraId="439E7393" w14:textId="77777777" w:rsidR="00F447FB" w:rsidRPr="00D70892" w:rsidRDefault="00F447FB" w:rsidP="00F447FB">
      <w:pPr>
        <w:pStyle w:val="ListParagraph"/>
        <w:spacing w:before="120" w:after="120" w:line="480" w:lineRule="auto"/>
        <w:jc w:val="both"/>
        <w:rPr>
          <w:rFonts w:ascii="Arial" w:hAnsi="Arial" w:cs="Arial"/>
          <w:b/>
          <w:bCs/>
          <w:sz w:val="20"/>
          <w:szCs w:val="20"/>
        </w:rPr>
      </w:pPr>
      <w:r w:rsidRPr="00D70892">
        <w:rPr>
          <w:rFonts w:ascii="Arial" w:hAnsi="Arial" w:cs="Arial"/>
          <w:sz w:val="20"/>
          <w:szCs w:val="20"/>
        </w:rPr>
        <w:t xml:space="preserve">Blood samples were collected from the jugular vein of each goat on day 0 (pre-treatment) and on the 21st day post-treatment using 5 mL syringes and 24-gauge needles. The samples were transferred into properly labelled EDTA vials. Haematological parameters were analysed </w:t>
      </w:r>
      <w:r w:rsidRPr="00D70892">
        <w:rPr>
          <w:rFonts w:ascii="Arial" w:hAnsi="Arial" w:cs="Arial"/>
          <w:sz w:val="20"/>
          <w:szCs w:val="20"/>
        </w:rPr>
        <w:lastRenderedPageBreak/>
        <w:t xml:space="preserve">following the methods described by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{"citationID":"5NTpIp6h","properties":{"formattedCitation":"(Sastry, G. A., 1989)","plainCitation":"(Sastry, G. A., 1989)","noteIndex":0},"citationItems":[{"id":154,"uris":["http://zotero.org/users/14224827/items/QCXFQZXH"],"itemData":{"id":154,"type":"book","edition":"3rd","publisher":"CBS Publishers and Distributors (Pvt.) Ltd., Delhi, lndia","title":"Veterinary Clinical Pathology","author":[{"family":"Sastry, G. A.","given":""}],"issued":{"date-parts":[["1989"]]}}}],"schema":"https://github.com/citation-style-language/schema/raw/master/csl-citation.json"}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(Sastry, G. A., 1989)</w:t>
      </w:r>
      <w:r w:rsidRPr="00D70892">
        <w:rPr>
          <w:rFonts w:ascii="Arial" w:hAnsi="Arial" w:cs="Arial"/>
          <w:sz w:val="20"/>
          <w:szCs w:val="20"/>
        </w:rPr>
        <w:fldChar w:fldCharType="end"/>
      </w:r>
      <w:r w:rsidRPr="00D70892">
        <w:rPr>
          <w:rFonts w:ascii="Arial" w:hAnsi="Arial" w:cs="Arial"/>
          <w:sz w:val="20"/>
          <w:szCs w:val="20"/>
        </w:rPr>
        <w:t xml:space="preserve"> and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{"citationID":"VRG4pZIL","properties":{"formattedCitation":"(Chakrabarthi, A., 1994)","plainCitation":"(Chakrabarthi, A., 1994)","noteIndex":0},"citationItems":[{"id":155,"uris":["http://zotero.org/users/14224827/items/YC27G9G2"],"itemData":{"id":155,"type":"book","edition":"2nd","publisher":"Kalyani Publishers, New Delhi","title":"Textbook of clinical Vet. Medicine","author":[{"family":"Chakrabarthi, A.","given":""}],"issued":{"date-parts":[["1994"]]}}}],"schema":"https://github.com/citation-style-language/schema/raw/master/csl-citation.json"}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(Chakrabarthi, A., 1994)</w:t>
      </w:r>
      <w:r w:rsidRPr="00D70892">
        <w:rPr>
          <w:rFonts w:ascii="Arial" w:hAnsi="Arial" w:cs="Arial"/>
          <w:sz w:val="20"/>
          <w:szCs w:val="20"/>
        </w:rPr>
        <w:fldChar w:fldCharType="end"/>
      </w:r>
      <w:r w:rsidRPr="00D70892">
        <w:rPr>
          <w:rFonts w:ascii="Arial" w:hAnsi="Arial" w:cs="Arial"/>
          <w:sz w:val="20"/>
          <w:szCs w:val="20"/>
        </w:rPr>
        <w:t xml:space="preserve">. Biochemical parameters analysed using AGD </w:t>
      </w:r>
      <w:proofErr w:type="spellStart"/>
      <w:r w:rsidRPr="00D70892">
        <w:rPr>
          <w:rFonts w:ascii="Arial" w:hAnsi="Arial" w:cs="Arial"/>
          <w:sz w:val="20"/>
          <w:szCs w:val="20"/>
        </w:rPr>
        <w:t>CliniPak</w:t>
      </w:r>
      <w:proofErr w:type="spellEnd"/>
      <w:r w:rsidRPr="00D70892">
        <w:rPr>
          <w:rFonts w:ascii="Arial" w:hAnsi="Arial" w:cs="Arial"/>
          <w:sz w:val="20"/>
          <w:szCs w:val="20"/>
        </w:rPr>
        <w:t xml:space="preserve"> test kits (AGD Biomedicals (P) Ltd.) on Clinical Chemistry Analyzer AGD 2020.</w:t>
      </w:r>
    </w:p>
    <w:p w14:paraId="050AC996" w14:textId="071662C4" w:rsidR="00DC0AD0" w:rsidRPr="00D70892" w:rsidRDefault="00DC0AD0" w:rsidP="00BC1560">
      <w:pPr>
        <w:pStyle w:val="ListParagraph"/>
        <w:numPr>
          <w:ilvl w:val="1"/>
          <w:numId w:val="1"/>
        </w:numPr>
        <w:spacing w:before="120" w:after="120" w:line="480" w:lineRule="auto"/>
        <w:jc w:val="both"/>
        <w:rPr>
          <w:rFonts w:ascii="Arial" w:hAnsi="Arial" w:cs="Arial"/>
          <w:b/>
          <w:bCs/>
          <w:szCs w:val="20"/>
        </w:rPr>
      </w:pPr>
      <w:commentRangeStart w:id="13"/>
      <w:r w:rsidRPr="00D70892">
        <w:rPr>
          <w:rFonts w:ascii="Arial" w:hAnsi="Arial" w:cs="Arial"/>
          <w:b/>
          <w:bCs/>
          <w:szCs w:val="20"/>
        </w:rPr>
        <w:t xml:space="preserve">Anthelmintic efficacy </w:t>
      </w:r>
      <w:commentRangeEnd w:id="13"/>
      <w:r w:rsidR="00D70892">
        <w:rPr>
          <w:rStyle w:val="CommentReference"/>
          <w:rFonts w:eastAsiaTheme="minorEastAsia"/>
          <w:kern w:val="0"/>
          <w:lang w:eastAsia="en-IN"/>
          <w14:ligatures w14:val="none"/>
        </w:rPr>
        <w:commentReference w:id="13"/>
      </w:r>
    </w:p>
    <w:p w14:paraId="48925BCA" w14:textId="77777777" w:rsidR="005D2B08" w:rsidRPr="00D70892" w:rsidRDefault="005D2B08" w:rsidP="005D2B08">
      <w:pPr>
        <w:pStyle w:val="ListParagraph"/>
        <w:spacing w:before="120" w:after="120" w:line="480" w:lineRule="auto"/>
        <w:jc w:val="both"/>
        <w:rPr>
          <w:rFonts w:ascii="Arial" w:hAnsi="Arial" w:cs="Arial"/>
          <w:sz w:val="20"/>
          <w:szCs w:val="20"/>
        </w:rPr>
      </w:pPr>
      <w:commentRangeStart w:id="14"/>
      <w:r w:rsidRPr="00D70892">
        <w:rPr>
          <w:rFonts w:ascii="Arial" w:hAnsi="Arial" w:cs="Arial"/>
          <w:sz w:val="20"/>
          <w:szCs w:val="20"/>
        </w:rPr>
        <w:t xml:space="preserve">The anthelmintic efficacy of the aqueous seed extract of </w:t>
      </w:r>
      <w:r w:rsidRPr="00D70892">
        <w:rPr>
          <w:rFonts w:ascii="Arial" w:hAnsi="Arial" w:cs="Arial"/>
          <w:i/>
          <w:iCs/>
          <w:sz w:val="20"/>
          <w:szCs w:val="20"/>
        </w:rPr>
        <w:t>Cucurbita pepo</w:t>
      </w:r>
      <w:r w:rsidRPr="00D70892">
        <w:rPr>
          <w:rFonts w:ascii="Arial" w:hAnsi="Arial" w:cs="Arial"/>
          <w:sz w:val="20"/>
          <w:szCs w:val="20"/>
        </w:rPr>
        <w:t xml:space="preserve"> was evaluated by measuring EPG (Egg per gram) on day 0 (pre-treatment) and on the 3rd, 7th, and 21st days following treatment. </w:t>
      </w:r>
      <w:commentRangeEnd w:id="14"/>
      <w:r w:rsidR="00E641B7" w:rsidRPr="00D70892">
        <w:rPr>
          <w:rStyle w:val="CommentReference"/>
          <w:rFonts w:ascii="Arial" w:eastAsiaTheme="minorEastAsia" w:hAnsi="Arial" w:cs="Arial"/>
          <w:kern w:val="0"/>
          <w:sz w:val="20"/>
          <w:szCs w:val="20"/>
          <w:lang w:eastAsia="en-IN"/>
          <w14:ligatures w14:val="none"/>
        </w:rPr>
        <w:commentReference w:id="14"/>
      </w:r>
      <w:r w:rsidRPr="00D70892">
        <w:rPr>
          <w:rFonts w:ascii="Arial" w:hAnsi="Arial" w:cs="Arial"/>
          <w:sz w:val="20"/>
          <w:szCs w:val="20"/>
        </w:rPr>
        <w:t>Treatment efficacy was determined based on the reduction in EPG values and improvements in haematological and biochemical parameters.</w:t>
      </w:r>
    </w:p>
    <w:p w14:paraId="31D821DC" w14:textId="77777777" w:rsidR="005D2B08" w:rsidRPr="00D70892" w:rsidRDefault="005D2B08" w:rsidP="005D2B08">
      <w:pPr>
        <w:pStyle w:val="ListParagraph"/>
        <w:spacing w:before="120" w:after="120" w:line="480" w:lineRule="auto"/>
        <w:jc w:val="both"/>
        <w:rPr>
          <w:rFonts w:ascii="Arial" w:hAnsi="Arial" w:cs="Arial"/>
          <w:sz w:val="20"/>
          <w:szCs w:val="20"/>
        </w:rPr>
      </w:pPr>
      <w:commentRangeStart w:id="15"/>
      <w:r w:rsidRPr="00D70892">
        <w:rPr>
          <w:rFonts w:ascii="Arial" w:hAnsi="Arial" w:cs="Arial"/>
          <w:sz w:val="20"/>
          <w:szCs w:val="20"/>
        </w:rPr>
        <w:t>Percent efficacy of was calculated as below:</w:t>
      </w:r>
    </w:p>
    <w:p w14:paraId="4B97C7B8" w14:textId="77777777" w:rsidR="005D2B08" w:rsidRPr="00D70892"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70892">
        <w:rPr>
          <w:rFonts w:ascii="Arial" w:hAnsi="Arial" w:cs="Arial"/>
          <w:sz w:val="20"/>
          <w:szCs w:val="20"/>
        </w:rPr>
        <w:tab/>
        <w:t xml:space="preserve">                      EPG before treatment - EPG after treatment </w:t>
      </w:r>
      <w:r w:rsidRPr="00D70892">
        <w:rPr>
          <w:rFonts w:ascii="Arial" w:hAnsi="Arial" w:cs="Arial"/>
          <w:sz w:val="20"/>
          <w:szCs w:val="20"/>
        </w:rPr>
        <w:tab/>
      </w:r>
      <w:r w:rsidRPr="00D70892">
        <w:rPr>
          <w:rFonts w:ascii="Arial" w:hAnsi="Arial" w:cs="Arial"/>
          <w:sz w:val="20"/>
          <w:szCs w:val="20"/>
        </w:rPr>
        <w:tab/>
      </w:r>
    </w:p>
    <w:p w14:paraId="18D5ACAC" w14:textId="77777777" w:rsidR="005D2B08" w:rsidRPr="00D70892"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70892">
        <w:rPr>
          <w:rFonts w:ascii="Arial" w:hAnsi="Arial" w:cs="Arial"/>
          <w:sz w:val="20"/>
          <w:szCs w:val="20"/>
        </w:rPr>
        <w:t xml:space="preserve"> </w:t>
      </w:r>
      <w:r w:rsidRPr="00D70892">
        <w:rPr>
          <w:rFonts w:ascii="Arial" w:hAnsi="Arial" w:cs="Arial"/>
          <w:sz w:val="20"/>
          <w:szCs w:val="20"/>
        </w:rPr>
        <w:tab/>
        <w:t xml:space="preserve">  Percent efficacy = ----------------------------------------------------------- × 100</w:t>
      </w:r>
    </w:p>
    <w:p w14:paraId="584DF941" w14:textId="77777777" w:rsidR="005D2B08" w:rsidRPr="00D70892" w:rsidRDefault="005D2B08" w:rsidP="005D2B08">
      <w:pPr>
        <w:pStyle w:val="ListParagraph"/>
        <w:tabs>
          <w:tab w:val="center" w:pos="4230"/>
        </w:tabs>
        <w:autoSpaceDE w:val="0"/>
        <w:autoSpaceDN w:val="0"/>
        <w:adjustRightInd w:val="0"/>
        <w:spacing w:before="40" w:after="40" w:line="240" w:lineRule="auto"/>
        <w:jc w:val="both"/>
        <w:rPr>
          <w:rFonts w:ascii="Arial" w:hAnsi="Arial" w:cs="Arial"/>
          <w:sz w:val="20"/>
          <w:szCs w:val="20"/>
        </w:rPr>
      </w:pPr>
      <w:r w:rsidRPr="00D70892">
        <w:rPr>
          <w:rFonts w:ascii="Arial" w:hAnsi="Arial" w:cs="Arial"/>
          <w:sz w:val="20"/>
          <w:szCs w:val="20"/>
        </w:rPr>
        <w:tab/>
        <w:t xml:space="preserve">                      EPG before treatment</w:t>
      </w:r>
      <w:commentRangeEnd w:id="15"/>
      <w:r w:rsidR="00E641B7" w:rsidRPr="00D70892">
        <w:rPr>
          <w:rStyle w:val="CommentReference"/>
          <w:rFonts w:ascii="Arial" w:eastAsiaTheme="minorEastAsia" w:hAnsi="Arial" w:cs="Arial"/>
          <w:kern w:val="0"/>
          <w:sz w:val="20"/>
          <w:szCs w:val="20"/>
          <w:lang w:eastAsia="en-IN"/>
          <w14:ligatures w14:val="none"/>
        </w:rPr>
        <w:commentReference w:id="15"/>
      </w:r>
    </w:p>
    <w:p w14:paraId="205A7049" w14:textId="77777777" w:rsidR="005D2B08" w:rsidRPr="00D70892" w:rsidRDefault="005D2B08" w:rsidP="005D2B08">
      <w:pPr>
        <w:pStyle w:val="ListParagraph"/>
        <w:spacing w:before="120" w:after="120" w:line="480" w:lineRule="auto"/>
        <w:ind w:left="732"/>
        <w:jc w:val="both"/>
        <w:rPr>
          <w:rFonts w:ascii="Arial" w:hAnsi="Arial" w:cs="Arial"/>
          <w:b/>
          <w:bCs/>
          <w:sz w:val="20"/>
          <w:szCs w:val="20"/>
        </w:rPr>
      </w:pPr>
    </w:p>
    <w:p w14:paraId="69AC4DB7" w14:textId="77777777" w:rsidR="00F361D1" w:rsidRPr="00D70892" w:rsidRDefault="00C7384F" w:rsidP="00F361D1">
      <w:pPr>
        <w:pStyle w:val="ListParagraph"/>
        <w:numPr>
          <w:ilvl w:val="1"/>
          <w:numId w:val="1"/>
        </w:numPr>
        <w:spacing w:before="120" w:after="120" w:line="480" w:lineRule="auto"/>
        <w:jc w:val="both"/>
        <w:rPr>
          <w:rFonts w:ascii="Arial" w:hAnsi="Arial" w:cs="Arial"/>
          <w:b/>
          <w:bCs/>
          <w:szCs w:val="20"/>
        </w:rPr>
      </w:pPr>
      <w:commentRangeStart w:id="16"/>
      <w:r w:rsidRPr="00D70892">
        <w:rPr>
          <w:rFonts w:ascii="Arial" w:hAnsi="Arial" w:cs="Arial"/>
          <w:b/>
          <w:bCs/>
          <w:szCs w:val="20"/>
        </w:rPr>
        <w:t>Statistical analysis</w:t>
      </w:r>
      <w:commentRangeEnd w:id="16"/>
      <w:r w:rsidR="00D70892">
        <w:rPr>
          <w:rStyle w:val="CommentReference"/>
          <w:rFonts w:eastAsiaTheme="minorEastAsia"/>
          <w:kern w:val="0"/>
          <w:lang w:eastAsia="en-IN"/>
          <w14:ligatures w14:val="none"/>
        </w:rPr>
        <w:commentReference w:id="16"/>
      </w:r>
    </w:p>
    <w:p w14:paraId="3DFD7899" w14:textId="05712B9B" w:rsidR="00F361D1" w:rsidRPr="00D70892" w:rsidRDefault="00F361D1" w:rsidP="00F361D1">
      <w:pPr>
        <w:pStyle w:val="ListParagraph"/>
        <w:spacing w:before="120" w:after="120" w:line="480" w:lineRule="auto"/>
        <w:ind w:left="732"/>
        <w:jc w:val="both"/>
        <w:rPr>
          <w:rFonts w:ascii="Arial" w:hAnsi="Arial" w:cs="Arial"/>
          <w:sz w:val="20"/>
          <w:szCs w:val="20"/>
        </w:rPr>
      </w:pPr>
      <w:r w:rsidRPr="00D70892">
        <w:rPr>
          <w:rFonts w:ascii="Arial" w:hAnsi="Arial" w:cs="Arial"/>
          <w:sz w:val="20"/>
          <w:szCs w:val="20"/>
        </w:rPr>
        <w:t>Data was collected and analysed statistically by application of two-way Factorial Completely Randomized Design and Completely Randomized Design</w:t>
      </w:r>
      <w:r w:rsidR="00C05B49" w:rsidRPr="00D70892">
        <w:rPr>
          <w:rFonts w:ascii="Arial" w:hAnsi="Arial" w:cs="Arial"/>
          <w:sz w:val="20"/>
          <w:szCs w:val="20"/>
        </w:rPr>
        <w:fldChar w:fldCharType="begin"/>
      </w:r>
      <w:r w:rsidR="00C05B49" w:rsidRPr="00D70892">
        <w:rPr>
          <w:rFonts w:ascii="Arial" w:hAnsi="Arial" w:cs="Arial"/>
          <w:sz w:val="20"/>
          <w:szCs w:val="20"/>
        </w:rPr>
        <w:instrText xml:space="preserve"> ADDIN ZOTERO_ITEM CSL_CITATION {"citationID":"Vc9IqGP7","properties":{"formattedCitation":"(Snedecor, G. W., 1994)","plainCitation":"(Snedecor, G. W., 1994)","noteIndex":0},"citationItems":[{"id":156,"uris":["http://zotero.org/users/14224827/items/ICP77N8F"],"itemData":{"id":156,"type":"book","edition":"8th","publisher":"Low State University Press, USA, Oxford and IBH Publication, New Delhi","title":"Statistical methods","author":[{"family":"Snedecor, G. W.","given":"Cochran","suffix":"W. G."}],"issued":{"date-parts":[["1994"]]}}}],"schema":"https://github.com/citation-style-language/schema/raw/master/csl-citation.json"} </w:instrText>
      </w:r>
      <w:r w:rsidR="00C05B49" w:rsidRPr="00D70892">
        <w:rPr>
          <w:rFonts w:ascii="Arial" w:hAnsi="Arial" w:cs="Arial"/>
          <w:sz w:val="20"/>
          <w:szCs w:val="20"/>
        </w:rPr>
        <w:fldChar w:fldCharType="separate"/>
      </w:r>
      <w:r w:rsidR="00C05B49" w:rsidRPr="00D70892">
        <w:rPr>
          <w:rFonts w:ascii="Arial" w:hAnsi="Arial" w:cs="Arial"/>
          <w:sz w:val="20"/>
          <w:szCs w:val="20"/>
        </w:rPr>
        <w:t>(Snedecor, G. W., 1994)</w:t>
      </w:r>
      <w:r w:rsidR="00C05B49" w:rsidRPr="00D70892">
        <w:rPr>
          <w:rFonts w:ascii="Arial" w:hAnsi="Arial" w:cs="Arial"/>
          <w:sz w:val="20"/>
          <w:szCs w:val="20"/>
        </w:rPr>
        <w:fldChar w:fldCharType="end"/>
      </w:r>
      <w:r w:rsidR="00CC4991" w:rsidRPr="00D70892">
        <w:rPr>
          <w:rFonts w:ascii="Arial" w:hAnsi="Arial" w:cs="Arial"/>
          <w:sz w:val="20"/>
          <w:szCs w:val="20"/>
        </w:rPr>
        <w:t>.</w:t>
      </w:r>
    </w:p>
    <w:p w14:paraId="04F08C66" w14:textId="77777777" w:rsidR="006E731C" w:rsidRPr="00D70892" w:rsidRDefault="00D46B58" w:rsidP="006E731C">
      <w:pPr>
        <w:pStyle w:val="ListParagraph"/>
        <w:numPr>
          <w:ilvl w:val="0"/>
          <w:numId w:val="1"/>
        </w:numPr>
        <w:spacing w:before="120" w:after="120" w:line="480" w:lineRule="auto"/>
        <w:jc w:val="both"/>
        <w:rPr>
          <w:rFonts w:ascii="Arial" w:hAnsi="Arial" w:cs="Arial"/>
          <w:b/>
          <w:bCs/>
          <w:szCs w:val="20"/>
        </w:rPr>
      </w:pPr>
      <w:r w:rsidRPr="00D70892">
        <w:rPr>
          <w:rFonts w:ascii="Arial" w:hAnsi="Arial" w:cs="Arial"/>
          <w:b/>
          <w:bCs/>
          <w:szCs w:val="20"/>
        </w:rPr>
        <w:t>RESULTS AND DISCUSSION</w:t>
      </w:r>
    </w:p>
    <w:p w14:paraId="658E2BEC" w14:textId="6194C44B" w:rsidR="00CE69D6" w:rsidRPr="00D70892" w:rsidRDefault="00CE69D6" w:rsidP="006A3AC1">
      <w:pPr>
        <w:pStyle w:val="ListParagraph"/>
        <w:numPr>
          <w:ilvl w:val="1"/>
          <w:numId w:val="1"/>
        </w:numPr>
        <w:spacing w:before="120" w:after="120" w:line="480" w:lineRule="auto"/>
        <w:jc w:val="both"/>
        <w:rPr>
          <w:rFonts w:ascii="Arial" w:hAnsi="Arial" w:cs="Arial"/>
          <w:b/>
          <w:bCs/>
          <w:szCs w:val="20"/>
        </w:rPr>
      </w:pPr>
      <w:commentRangeStart w:id="17"/>
      <w:r w:rsidRPr="00D70892">
        <w:rPr>
          <w:rFonts w:ascii="Arial" w:hAnsi="Arial" w:cs="Arial"/>
          <w:b/>
          <w:bCs/>
          <w:szCs w:val="20"/>
        </w:rPr>
        <w:t>Anthelmintic efficacy</w:t>
      </w:r>
      <w:commentRangeEnd w:id="17"/>
      <w:r w:rsidR="00D70892">
        <w:rPr>
          <w:rStyle w:val="CommentReference"/>
          <w:rFonts w:eastAsiaTheme="minorEastAsia"/>
          <w:kern w:val="0"/>
          <w:lang w:eastAsia="en-IN"/>
          <w14:ligatures w14:val="none"/>
        </w:rPr>
        <w:commentReference w:id="17"/>
      </w:r>
    </w:p>
    <w:p w14:paraId="42319B2B" w14:textId="238A39C4" w:rsidR="00B71029" w:rsidRPr="00D70892" w:rsidRDefault="00B71029" w:rsidP="00B71029">
      <w:pPr>
        <w:pStyle w:val="ListParagraph"/>
        <w:spacing w:before="120" w:after="120" w:line="480" w:lineRule="auto"/>
        <w:jc w:val="both"/>
        <w:rPr>
          <w:rFonts w:ascii="Arial" w:hAnsi="Arial" w:cs="Arial"/>
          <w:sz w:val="20"/>
          <w:szCs w:val="20"/>
        </w:rPr>
      </w:pPr>
      <w:r w:rsidRPr="00D70892">
        <w:rPr>
          <w:rFonts w:ascii="Arial" w:hAnsi="Arial" w:cs="Arial"/>
          <w:sz w:val="20"/>
          <w:szCs w:val="20"/>
        </w:rPr>
        <w:t xml:space="preserve">The results of aqueous seed extracts of </w:t>
      </w:r>
      <w:r w:rsidRPr="00D70892">
        <w:rPr>
          <w:rFonts w:ascii="Arial" w:hAnsi="Arial" w:cs="Arial"/>
          <w:i/>
          <w:iCs/>
          <w:sz w:val="20"/>
          <w:szCs w:val="20"/>
        </w:rPr>
        <w:t>Cucurbita pepo</w:t>
      </w:r>
      <w:r w:rsidRPr="00D70892">
        <w:rPr>
          <w:rFonts w:ascii="Arial" w:hAnsi="Arial" w:cs="Arial"/>
          <w:sz w:val="20"/>
          <w:szCs w:val="20"/>
        </w:rPr>
        <w:t xml:space="preserve"> effect on gastrointestinal helminths in goats are presented in Table 1. The mean EPG on day 0 was 1420, which significantly declined to 20 by the 21st day following treatment with aqueous seed extract of </w:t>
      </w:r>
      <w:r w:rsidRPr="00D70892">
        <w:rPr>
          <w:rFonts w:ascii="Arial" w:hAnsi="Arial" w:cs="Arial"/>
          <w:i/>
          <w:iCs/>
          <w:sz w:val="20"/>
          <w:szCs w:val="20"/>
        </w:rPr>
        <w:t>Cucurbita pepo</w:t>
      </w:r>
      <w:r w:rsidRPr="00D70892">
        <w:rPr>
          <w:rFonts w:ascii="Arial" w:hAnsi="Arial" w:cs="Arial"/>
          <w:sz w:val="20"/>
          <w:szCs w:val="20"/>
        </w:rPr>
        <w:t xml:space="preserve"> at a dosage of 160 mg/kg. A progressive reduction in EPG was recorded, with decreases of 42.25 %, 78.87 %, and 98.59 % observed on the 3rd, 7th, and 21st days post-treatment, respectively.</w:t>
      </w:r>
      <w:r w:rsidRPr="00D70892">
        <w:rPr>
          <w:rFonts w:ascii="Arial" w:eastAsiaTheme="minorEastAsia" w:hAnsi="Arial" w:cs="Arial"/>
          <w:kern w:val="0"/>
          <w:sz w:val="20"/>
          <w:szCs w:val="20"/>
          <w:lang w:eastAsia="en-IN"/>
          <w14:ligatures w14:val="none"/>
        </w:rPr>
        <w:t xml:space="preserve"> </w:t>
      </w:r>
      <w:r w:rsidRPr="00D70892">
        <w:rPr>
          <w:rFonts w:ascii="Arial" w:hAnsi="Arial" w:cs="Arial"/>
          <w:sz w:val="20"/>
          <w:szCs w:val="20"/>
        </w:rPr>
        <w:t xml:space="preserve">This substantial reduction aligns with previous reports highlighting the anthelmintic potential of </w:t>
      </w:r>
      <w:r w:rsidRPr="00D70892">
        <w:rPr>
          <w:rFonts w:ascii="Arial" w:hAnsi="Arial" w:cs="Arial"/>
          <w:i/>
          <w:iCs/>
          <w:sz w:val="20"/>
          <w:szCs w:val="20"/>
        </w:rPr>
        <w:t>C. pepo</w:t>
      </w:r>
      <w:r w:rsidRPr="00D70892">
        <w:rPr>
          <w:rFonts w:ascii="Arial" w:hAnsi="Arial" w:cs="Arial"/>
          <w:sz w:val="20"/>
          <w:szCs w:val="20"/>
        </w:rPr>
        <w:t xml:space="preserve"> seeds.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{"citationID":"V7ERrGwH","properties":{"formattedCitation":"(Feitosa et al., 2012)","plainCitation":"(Feitosa et al., 2012)","noteIndex":0},"citationItems":[{"id":157,"uris":["http://zotero.org/users/14224827/items/FFIANTZ8"],"itemData":{"id":157,"type":"article-journal","abstract":"The aim of this study was to verify the in vivo effectiveness of pumpkin seed (Curcubita pepo Linnaeus, 1753) in naturally infected ostriches in the Cariri zone, semiarid region of Paraíba State, Brazil. Forty-eight ostriches were used, African Black breed, of 14 to 36 months old, naturally infected by gastrointestinal nematodes. These animals were divided into four groups of 12 ostriches. Group 1 consists of animals treated with 0.5 g/kg live weight (l. w.) of pumpkin seed meal; group 2 received 1 g/kg l. w. of pumpkin seed meal; group 3 was treated with Albendazole 5 %, at the dosage of 1 mL/10 kg l. w.; and Group 4 was the control group and do not received treatment. Groups 1 and 2 received the treatment for three consecutive days, orally, at intervals of 7 days, totaling nine administrations. The Albendazole 5 % was administered one time, at the beginning of the experiment, according to the manufacturer’s recommendations. The groups treated with pumpkin seed showed a significant decrease in egg counts per gram of feces (EPG), wherein group 2 (1 g/kg l. w.) was the most effective. The control and drug groups showed no reduction in EPG. The results of the present study demonstrate that the administration of pumpkin seed was effective in controlling gastrointestinal helminths in naturally infected ostriches.","container-title":"Tropical Animal Health and Production","DOI":"10.1007/s11250-012-0182-5","ISSN":"1573-7438","issue":"1","journalAbbreviation":"Trop Anim Health Prod","language":"en","page":"123-127","source":"Springer Link","title":"Anthelmintic efficacy of pumpkin seed (Cucurbita pepo Linnaeus, 1753) on ostrich gastrointestinal nematodes in a semiarid region of Paraíba State, Brazil","volume":"45","author":[{"family":"Feitosa","given":"Thais Ferreira"},{"family":"Vilela","given":"Vinícius Longo Ribeiro"},{"family":"Athayde","given":"Ana Célia Rodrigues"},{"family":"Braga","given":"Fábio Ribeiro"},{"family":"Dantas","given":"Elaine Silva"},{"family":"Vieira","given":"Vanessa Diniz"},{"family":"Melo","given":"Lídio Ricardo Bezerra","non-dropping-particle":"de"}],"issued":{"date-parts":[["2012",12,1]]}}}],"schema":"https://github.com/citation-style-language/schema/raw/master/csl-citation.json"}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(Feitosa et al., 2012)</w:t>
      </w:r>
      <w:r w:rsidRPr="00D70892">
        <w:rPr>
          <w:rFonts w:ascii="Arial" w:hAnsi="Arial" w:cs="Arial"/>
          <w:sz w:val="20"/>
          <w:szCs w:val="20"/>
        </w:rPr>
        <w:fldChar w:fldCharType="end"/>
      </w:r>
      <w:r w:rsidRPr="00D70892">
        <w:rPr>
          <w:rFonts w:ascii="Arial" w:hAnsi="Arial" w:cs="Arial"/>
          <w:sz w:val="20"/>
          <w:szCs w:val="20"/>
        </w:rPr>
        <w:t xml:space="preserve"> also reported the anthelmintic potential and significant reduction in EPG in naturally infected ostriches treated with seeds of </w:t>
      </w:r>
      <w:r w:rsidRPr="00D70892">
        <w:rPr>
          <w:rFonts w:ascii="Arial" w:hAnsi="Arial" w:cs="Arial"/>
          <w:i/>
          <w:iCs/>
          <w:sz w:val="20"/>
          <w:szCs w:val="20"/>
        </w:rPr>
        <w:t>Cucurbita pepo</w:t>
      </w:r>
      <w:r w:rsidRPr="00D70892">
        <w:rPr>
          <w:rFonts w:ascii="Arial" w:hAnsi="Arial" w:cs="Arial"/>
          <w:sz w:val="20"/>
          <w:szCs w:val="20"/>
        </w:rPr>
        <w:t xml:space="preserve">. Similar findings by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{"citationID":"aoVbqCNW","properties":{"formattedCitation":"(Grzybek et al., 2016)","plainCitation":"(Grzybek et al., 2016)","noteIndex":0},"citationItems":[{"id":134,"uris":["http://zotero.org/users/14224827/items/QEA4REJB"],"itemData":{"id":134,"type":"article-journal","abstract":"A significant number of studies report growing resistance in nematodes thriving in both humans and livestock. This study was conducted to evaluate the in vitro and in vivo anthelmintic efficiency of Curcubita pepo (C. pepo) L. hot water extract (HWE), cold water extract (CWE) or ethanol extract (ETE) on two model nematodes: Caenorhabditis elegans (C. elegans) and Heligmosoides bakeri (H. bakeri). Methods: Raman, IR and LC-MS spectroscopy analyses were performed on the studied plant material to deliver qualitative and quantitative data on the composition of the obtained extracts: ETE, HWE and CWE. The in vitro activity evaluation showed an impact of C. pepo extracts on C. elegans and different developmental stages of H. bakeri. The following in vivo experiments on mice infected with H. bakeri confirmed inhibitory properties of the most active pumpkin extract selected by the in vitro study. All of the extracts were found to contain cucurbitine, aminoacids, fatty acids, and-for the first time-berberine and palmatine were identified. All C. pepo seed extracts exhibited a nematidicidal potential in vitro, affecting the survival of L1 and L2 H. bakeri larvae. The ETE was the strongest and demonstrated a positive effect on H. bakeri eggs hatching and marked inhibitory properties against worm motility, compared to a PBS control. No significant effects of pumpkin seed extracts on C. elegans integrity or motility were found. The EtOH extract in the in vivo studies showed anthelmintic properties against both H. bakeri fecal egg counts and adult worm burdens. The highest egg counts reduction was observed for the 8 g/kg dose (IC50 against H. bakeri = 2.43; 95% Cl = 2.01–2.94). A decrease in faecal egg counts (FEC) was accompanied by a significant reduction in worm burden of the treated mice compared to the control group. Conclusions: Pumpkin seed extracts may be used to control of Gastrointestinal (G.I.) nematode infections. This relatively inexpensive alternative to the currently available chemotherapeutic should be considered as a novel drug candidate in the nearest future.","container-title":"International Journal of Molecular Sciences","DOI":"10.3390/ijms17091456","ISSN":"1422-0067","issue":"9","language":"en","license":"http://creativecommons.org/licenses/by/3.0/","note":"number: 9\npublisher: Multidisciplinary Digital Publishing Institute","page":"1456","source":"www.mdpi.com","title":"Evaluation of Anthelmintic Activity and Composition of Pumpkin (Cucurbita pepo L.) Seed Extracts—In Vitro and in Vivo Studies","volume":"17","author":[{"family":"Grzybek","given":"Maciej"},{"family":"Kukula-Koch","given":"Wirginia"},{"family":"Strachecka","given":"Aneta"},{"family":"Jaworska","given":"Aleksandra"},{"family":"Phiri","given":"Andrew M."},{"family":"Paleolog","given":"Jerzy"},{"family":"Tomczuk","given":"Krzysztof"}],"issued":{"date-parts":[["2016",9]]}}}],"schema":"https://github.com/citation-style-language/schema/raw/master/csl-citation.json"}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(Grzybek et al., 2016)</w:t>
      </w:r>
      <w:r w:rsidRPr="00D70892">
        <w:rPr>
          <w:rFonts w:ascii="Arial" w:hAnsi="Arial" w:cs="Arial"/>
          <w:sz w:val="20"/>
          <w:szCs w:val="20"/>
        </w:rPr>
        <w:fldChar w:fldCharType="end"/>
      </w:r>
      <w:r w:rsidRPr="00D70892">
        <w:rPr>
          <w:rFonts w:ascii="Arial" w:hAnsi="Arial" w:cs="Arial"/>
          <w:sz w:val="20"/>
          <w:szCs w:val="20"/>
        </w:rPr>
        <w:t xml:space="preserve"> were reported demonstrating significant in vitro and in vivo anthelmintic activity of </w:t>
      </w:r>
      <w:r w:rsidRPr="00D70892">
        <w:rPr>
          <w:rFonts w:ascii="Arial" w:hAnsi="Arial" w:cs="Arial"/>
          <w:i/>
          <w:iCs/>
          <w:sz w:val="20"/>
          <w:szCs w:val="20"/>
        </w:rPr>
        <w:t>Cucurbita pepo</w:t>
      </w:r>
      <w:r w:rsidRPr="00D70892">
        <w:rPr>
          <w:rFonts w:ascii="Arial" w:hAnsi="Arial" w:cs="Arial"/>
          <w:sz w:val="20"/>
          <w:szCs w:val="20"/>
        </w:rPr>
        <w:t xml:space="preserve"> seed extracts against helminths in mice attributing to bioactive compounds such as </w:t>
      </w:r>
      <w:proofErr w:type="spellStart"/>
      <w:r w:rsidRPr="00D70892">
        <w:rPr>
          <w:rFonts w:ascii="Arial" w:hAnsi="Arial" w:cs="Arial"/>
          <w:sz w:val="20"/>
          <w:szCs w:val="20"/>
        </w:rPr>
        <w:t>cucurbitin</w:t>
      </w:r>
      <w:proofErr w:type="spellEnd"/>
      <w:r w:rsidRPr="00D70892">
        <w:rPr>
          <w:rFonts w:ascii="Arial" w:hAnsi="Arial" w:cs="Arial"/>
          <w:sz w:val="20"/>
          <w:szCs w:val="20"/>
        </w:rPr>
        <w:t xml:space="preserve">, </w:t>
      </w:r>
      <w:proofErr w:type="spellStart"/>
      <w:r w:rsidRPr="00D70892">
        <w:rPr>
          <w:rFonts w:ascii="Arial" w:hAnsi="Arial" w:cs="Arial"/>
          <w:sz w:val="20"/>
          <w:szCs w:val="20"/>
        </w:rPr>
        <w:t>berberine</w:t>
      </w:r>
      <w:proofErr w:type="spellEnd"/>
      <w:r w:rsidRPr="00D70892">
        <w:rPr>
          <w:rFonts w:ascii="Arial" w:hAnsi="Arial" w:cs="Arial"/>
          <w:sz w:val="20"/>
          <w:szCs w:val="20"/>
        </w:rPr>
        <w:t xml:space="preserve">, </w:t>
      </w:r>
      <w:proofErr w:type="spellStart"/>
      <w:r w:rsidRPr="00D70892">
        <w:rPr>
          <w:rFonts w:ascii="Arial" w:hAnsi="Arial" w:cs="Arial"/>
          <w:sz w:val="20"/>
          <w:szCs w:val="20"/>
        </w:rPr>
        <w:t>palmatine</w:t>
      </w:r>
      <w:proofErr w:type="spellEnd"/>
      <w:r w:rsidRPr="00D70892">
        <w:rPr>
          <w:rFonts w:ascii="Arial" w:hAnsi="Arial" w:cs="Arial"/>
          <w:sz w:val="20"/>
          <w:szCs w:val="20"/>
        </w:rPr>
        <w:t xml:space="preserve">, and nitrogen-containing metabolites known to impair egg hatching, larval development, and adult worm motility. The findings are further corroborated by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{"citationID":"a4KRjTFT","properties":{"formattedCitation":"(Meenakshisundaram*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 xml:space="preserve">(Meenakshisundaram et al., </w:t>
      </w:r>
      <w:r w:rsidRPr="00D70892">
        <w:rPr>
          <w:rFonts w:ascii="Arial" w:hAnsi="Arial" w:cs="Arial"/>
          <w:sz w:val="20"/>
          <w:szCs w:val="20"/>
        </w:rPr>
        <w:lastRenderedPageBreak/>
        <w:t>2017)</w:t>
      </w:r>
      <w:r w:rsidRPr="00D70892">
        <w:rPr>
          <w:rFonts w:ascii="Arial" w:hAnsi="Arial" w:cs="Arial"/>
          <w:sz w:val="20"/>
          <w:szCs w:val="20"/>
        </w:rPr>
        <w:fldChar w:fldCharType="end"/>
      </w:r>
      <w:r w:rsidRPr="00D70892">
        <w:rPr>
          <w:rFonts w:ascii="Arial" w:hAnsi="Arial" w:cs="Arial"/>
          <w:sz w:val="20"/>
          <w:szCs w:val="20"/>
        </w:rPr>
        <w:t xml:space="preserve"> who evaluated the in vitro and in vivo anthelmintic efficacy of aqueous and ethanolic seed extracts of </w:t>
      </w:r>
      <w:r w:rsidRPr="00D70892">
        <w:rPr>
          <w:rFonts w:ascii="Arial" w:hAnsi="Arial" w:cs="Arial"/>
          <w:i/>
          <w:iCs/>
          <w:sz w:val="20"/>
          <w:szCs w:val="20"/>
        </w:rPr>
        <w:t>Cucurbita pepo</w:t>
      </w:r>
      <w:r w:rsidRPr="00D70892">
        <w:rPr>
          <w:rFonts w:ascii="Arial" w:hAnsi="Arial" w:cs="Arial"/>
          <w:sz w:val="20"/>
          <w:szCs w:val="20"/>
        </w:rPr>
        <w:t xml:space="preserve"> in sheep, reporting a 96.61% reduction in EPG with the aqueous extract compared to 48.20% with the ethanolic extract, attributing the superior efficacy to the presence of several phytochemical constituents uniquely detected in the aqueous extract.</w:t>
      </w:r>
    </w:p>
    <w:p w14:paraId="041A8556" w14:textId="77777777" w:rsidR="00B71029" w:rsidRPr="00D70892" w:rsidRDefault="00B71029" w:rsidP="00D80FE2">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proofErr w:type="gramStart"/>
      <w:r w:rsidRPr="00D70892">
        <w:rPr>
          <w:rFonts w:ascii="Arial" w:hAnsi="Arial" w:cs="Arial"/>
          <w:b/>
          <w:bCs/>
          <w:sz w:val="20"/>
          <w:szCs w:val="20"/>
        </w:rPr>
        <w:t>Table 1.</w:t>
      </w:r>
      <w:proofErr w:type="gramEnd"/>
      <w:r w:rsidRPr="00D70892">
        <w:rPr>
          <w:rFonts w:ascii="Arial" w:hAnsi="Arial" w:cs="Arial"/>
          <w:b/>
          <w:bCs/>
          <w:sz w:val="20"/>
          <w:szCs w:val="20"/>
        </w:rPr>
        <w:t xml:space="preserve"> </w:t>
      </w:r>
      <w:commentRangeStart w:id="18"/>
      <w:r w:rsidRPr="00D70892">
        <w:rPr>
          <w:rFonts w:ascii="Arial" w:hAnsi="Arial" w:cs="Arial"/>
          <w:b/>
          <w:bCs/>
          <w:sz w:val="20"/>
          <w:szCs w:val="20"/>
        </w:rPr>
        <w:t xml:space="preserve">Effect of </w:t>
      </w:r>
      <w:r w:rsidRPr="00D70892">
        <w:rPr>
          <w:rFonts w:ascii="Arial" w:hAnsi="Arial" w:cs="Arial"/>
          <w:b/>
          <w:bCs/>
          <w:i/>
          <w:iCs/>
          <w:sz w:val="20"/>
          <w:szCs w:val="20"/>
        </w:rPr>
        <w:t>Cucurbita pepo</w:t>
      </w:r>
      <w:r w:rsidRPr="00D70892">
        <w:rPr>
          <w:rFonts w:ascii="Arial" w:hAnsi="Arial" w:cs="Arial"/>
          <w:b/>
          <w:bCs/>
          <w:sz w:val="20"/>
          <w:szCs w:val="20"/>
        </w:rPr>
        <w:t xml:space="preserve"> aqueous seed extract on average EPG (Mean ± SE) and per cent faecal egg count reduction in goats infested with gastrointestinal helminths.</w:t>
      </w:r>
      <w:commentRangeEnd w:id="18"/>
      <w:r w:rsidR="00010E65" w:rsidRPr="00D70892">
        <w:rPr>
          <w:rStyle w:val="CommentReference"/>
          <w:rFonts w:ascii="Arial" w:eastAsiaTheme="minorEastAsia" w:hAnsi="Arial" w:cs="Arial"/>
          <w:kern w:val="0"/>
          <w:sz w:val="20"/>
          <w:szCs w:val="20"/>
          <w:lang w:eastAsia="en-IN"/>
          <w14:ligatures w14:val="none"/>
        </w:rPr>
        <w:commentReference w:id="18"/>
      </w:r>
    </w:p>
    <w:tbl>
      <w:tblPr>
        <w:tblStyle w:val="TableGrid"/>
        <w:tblW w:w="5000" w:type="pct"/>
        <w:tblLook w:val="04A0" w:firstRow="1" w:lastRow="0" w:firstColumn="1" w:lastColumn="0" w:noHBand="0" w:noVBand="1"/>
      </w:tblPr>
      <w:tblGrid>
        <w:gridCol w:w="3705"/>
        <w:gridCol w:w="1451"/>
        <w:gridCol w:w="1360"/>
        <w:gridCol w:w="1360"/>
        <w:gridCol w:w="1366"/>
      </w:tblGrid>
      <w:tr w:rsidR="00B71029" w:rsidRPr="00D70892" w14:paraId="625E5236" w14:textId="77777777" w:rsidTr="00E61ED2">
        <w:tc>
          <w:tcPr>
            <w:tcW w:w="2004" w:type="pct"/>
          </w:tcPr>
          <w:p w14:paraId="0879D703" w14:textId="77777777" w:rsidR="00B71029" w:rsidRPr="00D70892"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70892">
              <w:rPr>
                <w:rFonts w:ascii="Arial" w:hAnsi="Arial" w:cs="Arial"/>
                <w:b/>
                <w:bCs/>
                <w:sz w:val="20"/>
                <w:szCs w:val="20"/>
              </w:rPr>
              <w:t>Parameter\Intervals</w:t>
            </w:r>
          </w:p>
        </w:tc>
        <w:tc>
          <w:tcPr>
            <w:tcW w:w="785" w:type="pct"/>
          </w:tcPr>
          <w:p w14:paraId="453A4C5B"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70892">
              <w:rPr>
                <w:rFonts w:ascii="Arial" w:hAnsi="Arial" w:cs="Arial"/>
                <w:b/>
                <w:bCs/>
                <w:sz w:val="20"/>
                <w:szCs w:val="20"/>
              </w:rPr>
              <w:t>0 day</w:t>
            </w:r>
          </w:p>
        </w:tc>
        <w:tc>
          <w:tcPr>
            <w:tcW w:w="736" w:type="pct"/>
          </w:tcPr>
          <w:p w14:paraId="689016B9"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70892">
              <w:rPr>
                <w:rFonts w:ascii="Arial" w:hAnsi="Arial" w:cs="Arial"/>
                <w:b/>
                <w:bCs/>
                <w:sz w:val="20"/>
                <w:szCs w:val="20"/>
              </w:rPr>
              <w:t>3</w:t>
            </w:r>
            <w:r w:rsidRPr="00D70892">
              <w:rPr>
                <w:rFonts w:ascii="Arial" w:hAnsi="Arial" w:cs="Arial"/>
                <w:b/>
                <w:bCs/>
                <w:sz w:val="20"/>
                <w:szCs w:val="20"/>
                <w:vertAlign w:val="superscript"/>
              </w:rPr>
              <w:t>rd</w:t>
            </w:r>
            <w:r w:rsidRPr="00D70892">
              <w:rPr>
                <w:rFonts w:ascii="Arial" w:hAnsi="Arial" w:cs="Arial"/>
                <w:b/>
                <w:bCs/>
                <w:sz w:val="20"/>
                <w:szCs w:val="20"/>
              </w:rPr>
              <w:t xml:space="preserve"> day</w:t>
            </w:r>
          </w:p>
        </w:tc>
        <w:tc>
          <w:tcPr>
            <w:tcW w:w="736" w:type="pct"/>
          </w:tcPr>
          <w:p w14:paraId="7AC4A4F9"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70892">
              <w:rPr>
                <w:rFonts w:ascii="Arial" w:hAnsi="Arial" w:cs="Arial"/>
                <w:b/>
                <w:bCs/>
                <w:sz w:val="20"/>
                <w:szCs w:val="20"/>
              </w:rPr>
              <w:t>7</w:t>
            </w:r>
            <w:r w:rsidRPr="00D70892">
              <w:rPr>
                <w:rFonts w:ascii="Arial" w:hAnsi="Arial" w:cs="Arial"/>
                <w:b/>
                <w:bCs/>
                <w:sz w:val="20"/>
                <w:szCs w:val="20"/>
                <w:vertAlign w:val="superscript"/>
              </w:rPr>
              <w:t>th</w:t>
            </w:r>
            <w:r w:rsidRPr="00D70892">
              <w:rPr>
                <w:rFonts w:ascii="Arial" w:hAnsi="Arial" w:cs="Arial"/>
                <w:b/>
                <w:bCs/>
                <w:sz w:val="20"/>
                <w:szCs w:val="20"/>
              </w:rPr>
              <w:t xml:space="preserve"> day</w:t>
            </w:r>
          </w:p>
        </w:tc>
        <w:tc>
          <w:tcPr>
            <w:tcW w:w="740" w:type="pct"/>
          </w:tcPr>
          <w:p w14:paraId="64F9E8A1"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b/>
                <w:bCs/>
                <w:sz w:val="20"/>
                <w:szCs w:val="20"/>
              </w:rPr>
            </w:pPr>
            <w:r w:rsidRPr="00D70892">
              <w:rPr>
                <w:rFonts w:ascii="Arial" w:hAnsi="Arial" w:cs="Arial"/>
                <w:b/>
                <w:bCs/>
                <w:sz w:val="20"/>
                <w:szCs w:val="20"/>
              </w:rPr>
              <w:t>21</w:t>
            </w:r>
            <w:r w:rsidRPr="00D70892">
              <w:rPr>
                <w:rFonts w:ascii="Arial" w:hAnsi="Arial" w:cs="Arial"/>
                <w:b/>
                <w:bCs/>
                <w:sz w:val="20"/>
                <w:szCs w:val="20"/>
                <w:vertAlign w:val="superscript"/>
              </w:rPr>
              <w:t>st</w:t>
            </w:r>
            <w:r w:rsidRPr="00D70892">
              <w:rPr>
                <w:rFonts w:ascii="Arial" w:hAnsi="Arial" w:cs="Arial"/>
                <w:b/>
                <w:bCs/>
                <w:sz w:val="20"/>
                <w:szCs w:val="20"/>
              </w:rPr>
              <w:t xml:space="preserve"> day</w:t>
            </w:r>
          </w:p>
        </w:tc>
      </w:tr>
      <w:tr w:rsidR="00B71029" w:rsidRPr="00D70892" w14:paraId="4FC5BCC0" w14:textId="77777777" w:rsidTr="00E61ED2">
        <w:tc>
          <w:tcPr>
            <w:tcW w:w="2004" w:type="pct"/>
          </w:tcPr>
          <w:p w14:paraId="5784C6C5" w14:textId="77777777" w:rsidR="00B71029" w:rsidRPr="00D70892"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70892">
              <w:rPr>
                <w:rFonts w:ascii="Arial" w:hAnsi="Arial" w:cs="Arial"/>
                <w:b/>
                <w:bCs/>
                <w:sz w:val="20"/>
                <w:szCs w:val="20"/>
              </w:rPr>
              <w:t>Average EPG</w:t>
            </w:r>
          </w:p>
          <w:p w14:paraId="1BCA55A6" w14:textId="77777777" w:rsidR="00B71029" w:rsidRPr="00D70892"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70892">
              <w:rPr>
                <w:rFonts w:ascii="Arial" w:hAnsi="Arial" w:cs="Arial"/>
                <w:b/>
                <w:bCs/>
                <w:sz w:val="20"/>
                <w:szCs w:val="20"/>
              </w:rPr>
              <w:t>(Egg per gram)</w:t>
            </w:r>
          </w:p>
        </w:tc>
        <w:tc>
          <w:tcPr>
            <w:tcW w:w="785" w:type="pct"/>
          </w:tcPr>
          <w:p w14:paraId="3C44923A" w14:textId="77777777" w:rsidR="00B71029" w:rsidRPr="00D70892" w:rsidRDefault="00B71029" w:rsidP="00E61ED2">
            <w:pPr>
              <w:spacing w:before="80" w:after="80" w:line="480" w:lineRule="auto"/>
              <w:jc w:val="center"/>
              <w:rPr>
                <w:rFonts w:ascii="Arial" w:eastAsia="Times New Roman" w:hAnsi="Arial" w:cs="Arial"/>
                <w:sz w:val="20"/>
                <w:szCs w:val="20"/>
              </w:rPr>
            </w:pPr>
            <w:r w:rsidRPr="00D70892">
              <w:rPr>
                <w:rFonts w:ascii="Arial" w:eastAsia="Times New Roman" w:hAnsi="Arial" w:cs="Arial"/>
                <w:sz w:val="20"/>
                <w:szCs w:val="20"/>
              </w:rPr>
              <w:t>1420.00</w:t>
            </w:r>
            <w:r w:rsidRPr="00D70892">
              <w:rPr>
                <w:rFonts w:ascii="Arial" w:eastAsia="Times New Roman" w:hAnsi="Arial" w:cs="Arial"/>
                <w:sz w:val="20"/>
                <w:szCs w:val="20"/>
                <w:vertAlign w:val="superscript"/>
              </w:rPr>
              <w:t>a</w:t>
            </w:r>
          </w:p>
          <w:p w14:paraId="2DAA9B81"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eastAsia="Times New Roman" w:hAnsi="Arial" w:cs="Arial"/>
                <w:sz w:val="20"/>
                <w:szCs w:val="20"/>
              </w:rPr>
              <w:t>± 109.34</w:t>
            </w:r>
          </w:p>
        </w:tc>
        <w:tc>
          <w:tcPr>
            <w:tcW w:w="736" w:type="pct"/>
          </w:tcPr>
          <w:p w14:paraId="051C74F1" w14:textId="77777777" w:rsidR="00B71029" w:rsidRPr="00D70892" w:rsidRDefault="00B71029" w:rsidP="00E61ED2">
            <w:pPr>
              <w:spacing w:before="80" w:after="80" w:line="480" w:lineRule="auto"/>
              <w:jc w:val="center"/>
              <w:rPr>
                <w:rFonts w:ascii="Arial" w:eastAsia="Times New Roman" w:hAnsi="Arial" w:cs="Arial"/>
                <w:sz w:val="20"/>
                <w:szCs w:val="20"/>
              </w:rPr>
            </w:pPr>
            <w:r w:rsidRPr="00D70892">
              <w:rPr>
                <w:rFonts w:ascii="Arial" w:eastAsia="Times New Roman" w:hAnsi="Arial" w:cs="Arial"/>
                <w:sz w:val="20"/>
                <w:szCs w:val="20"/>
              </w:rPr>
              <w:t>820.00</w:t>
            </w:r>
            <w:r w:rsidRPr="00D70892">
              <w:rPr>
                <w:rFonts w:ascii="Arial" w:eastAsia="Times New Roman" w:hAnsi="Arial" w:cs="Arial"/>
                <w:sz w:val="20"/>
                <w:szCs w:val="20"/>
                <w:vertAlign w:val="superscript"/>
              </w:rPr>
              <w:t>c</w:t>
            </w:r>
          </w:p>
          <w:p w14:paraId="2FBEE332"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eastAsia="Times New Roman" w:hAnsi="Arial" w:cs="Arial"/>
                <w:sz w:val="20"/>
                <w:szCs w:val="20"/>
              </w:rPr>
              <w:t>± 80.00</w:t>
            </w:r>
          </w:p>
        </w:tc>
        <w:tc>
          <w:tcPr>
            <w:tcW w:w="736" w:type="pct"/>
          </w:tcPr>
          <w:p w14:paraId="491EBDFE" w14:textId="77777777" w:rsidR="00B71029" w:rsidRPr="00D70892" w:rsidRDefault="00B71029" w:rsidP="00E61ED2">
            <w:pPr>
              <w:spacing w:before="80" w:after="80" w:line="480" w:lineRule="auto"/>
              <w:jc w:val="center"/>
              <w:rPr>
                <w:rFonts w:ascii="Arial" w:eastAsia="Times New Roman" w:hAnsi="Arial" w:cs="Arial"/>
                <w:sz w:val="20"/>
                <w:szCs w:val="20"/>
              </w:rPr>
            </w:pPr>
            <w:r w:rsidRPr="00D70892">
              <w:rPr>
                <w:rFonts w:ascii="Arial" w:eastAsia="Times New Roman" w:hAnsi="Arial" w:cs="Arial"/>
                <w:sz w:val="20"/>
                <w:szCs w:val="20"/>
              </w:rPr>
              <w:t>300.00</w:t>
            </w:r>
            <w:r w:rsidRPr="00D70892">
              <w:rPr>
                <w:rFonts w:ascii="Arial" w:eastAsia="Times New Roman" w:hAnsi="Arial" w:cs="Arial"/>
                <w:sz w:val="20"/>
                <w:szCs w:val="20"/>
                <w:vertAlign w:val="superscript"/>
              </w:rPr>
              <w:t>d</w:t>
            </w:r>
          </w:p>
          <w:p w14:paraId="3B6BA865"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eastAsia="Times New Roman" w:hAnsi="Arial" w:cs="Arial"/>
                <w:sz w:val="20"/>
                <w:szCs w:val="20"/>
              </w:rPr>
              <w:t>± 74.53</w:t>
            </w:r>
          </w:p>
        </w:tc>
        <w:tc>
          <w:tcPr>
            <w:tcW w:w="740" w:type="pct"/>
          </w:tcPr>
          <w:p w14:paraId="2C27EC7B" w14:textId="77777777" w:rsidR="00B71029" w:rsidRPr="00D70892" w:rsidRDefault="00B71029" w:rsidP="00E61ED2">
            <w:pPr>
              <w:spacing w:before="80" w:after="80" w:line="480" w:lineRule="auto"/>
              <w:jc w:val="center"/>
              <w:rPr>
                <w:rFonts w:ascii="Arial" w:eastAsia="Times New Roman" w:hAnsi="Arial" w:cs="Arial"/>
                <w:sz w:val="20"/>
                <w:szCs w:val="20"/>
              </w:rPr>
            </w:pPr>
            <w:r w:rsidRPr="00D70892">
              <w:rPr>
                <w:rFonts w:ascii="Arial" w:eastAsia="Times New Roman" w:hAnsi="Arial" w:cs="Arial"/>
                <w:sz w:val="20"/>
                <w:szCs w:val="20"/>
              </w:rPr>
              <w:t>20.00</w:t>
            </w:r>
            <w:r w:rsidRPr="00D70892">
              <w:rPr>
                <w:rFonts w:ascii="Arial" w:eastAsia="Times New Roman" w:hAnsi="Arial" w:cs="Arial"/>
                <w:sz w:val="20"/>
                <w:szCs w:val="20"/>
                <w:vertAlign w:val="superscript"/>
              </w:rPr>
              <w:t>d</w:t>
            </w:r>
          </w:p>
          <w:p w14:paraId="12A7F098"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eastAsia="Times New Roman" w:hAnsi="Arial" w:cs="Arial"/>
                <w:sz w:val="20"/>
                <w:szCs w:val="20"/>
              </w:rPr>
              <w:t>± 20.00</w:t>
            </w:r>
          </w:p>
        </w:tc>
      </w:tr>
      <w:tr w:rsidR="00B71029" w:rsidRPr="00D70892" w14:paraId="536468FE" w14:textId="77777777" w:rsidTr="00E61ED2">
        <w:tc>
          <w:tcPr>
            <w:tcW w:w="2004" w:type="pct"/>
          </w:tcPr>
          <w:p w14:paraId="6FE7012A" w14:textId="77777777" w:rsidR="00B71029" w:rsidRPr="00D70892"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70892">
              <w:rPr>
                <w:rFonts w:ascii="Arial" w:hAnsi="Arial" w:cs="Arial"/>
                <w:b/>
                <w:bCs/>
                <w:sz w:val="20"/>
                <w:szCs w:val="20"/>
              </w:rPr>
              <w:t>Percent decrease in EPG</w:t>
            </w:r>
          </w:p>
          <w:p w14:paraId="0C24AC49" w14:textId="77777777" w:rsidR="00B71029" w:rsidRPr="00D70892" w:rsidRDefault="00B71029" w:rsidP="00E61ED2">
            <w:pPr>
              <w:tabs>
                <w:tab w:val="center" w:pos="4230"/>
              </w:tabs>
              <w:autoSpaceDE w:val="0"/>
              <w:autoSpaceDN w:val="0"/>
              <w:adjustRightInd w:val="0"/>
              <w:spacing w:before="40" w:after="40" w:line="480" w:lineRule="auto"/>
              <w:jc w:val="both"/>
              <w:rPr>
                <w:rFonts w:ascii="Arial" w:hAnsi="Arial" w:cs="Arial"/>
                <w:b/>
                <w:bCs/>
                <w:sz w:val="20"/>
                <w:szCs w:val="20"/>
              </w:rPr>
            </w:pPr>
            <w:r w:rsidRPr="00D70892">
              <w:rPr>
                <w:rFonts w:ascii="Arial" w:hAnsi="Arial" w:cs="Arial"/>
                <w:b/>
                <w:bCs/>
                <w:sz w:val="20"/>
                <w:szCs w:val="20"/>
              </w:rPr>
              <w:t>(Egg per gram)</w:t>
            </w:r>
          </w:p>
        </w:tc>
        <w:tc>
          <w:tcPr>
            <w:tcW w:w="785" w:type="pct"/>
          </w:tcPr>
          <w:p w14:paraId="75F22217"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hAnsi="Arial" w:cs="Arial"/>
                <w:sz w:val="20"/>
                <w:szCs w:val="20"/>
              </w:rPr>
              <w:t>0</w:t>
            </w:r>
          </w:p>
        </w:tc>
        <w:tc>
          <w:tcPr>
            <w:tcW w:w="736" w:type="pct"/>
          </w:tcPr>
          <w:p w14:paraId="6512C7AF"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hAnsi="Arial" w:cs="Arial"/>
                <w:sz w:val="20"/>
                <w:szCs w:val="20"/>
              </w:rPr>
              <w:t>42.25 %</w:t>
            </w:r>
          </w:p>
        </w:tc>
        <w:tc>
          <w:tcPr>
            <w:tcW w:w="736" w:type="pct"/>
          </w:tcPr>
          <w:p w14:paraId="1C83842E"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hAnsi="Arial" w:cs="Arial"/>
                <w:sz w:val="20"/>
                <w:szCs w:val="20"/>
              </w:rPr>
              <w:t>78.87 %</w:t>
            </w:r>
          </w:p>
        </w:tc>
        <w:tc>
          <w:tcPr>
            <w:tcW w:w="740" w:type="pct"/>
          </w:tcPr>
          <w:p w14:paraId="7C7298FF" w14:textId="77777777" w:rsidR="00B71029" w:rsidRPr="00D70892" w:rsidRDefault="00B71029" w:rsidP="00E61ED2">
            <w:pPr>
              <w:tabs>
                <w:tab w:val="center" w:pos="4230"/>
              </w:tabs>
              <w:autoSpaceDE w:val="0"/>
              <w:autoSpaceDN w:val="0"/>
              <w:adjustRightInd w:val="0"/>
              <w:spacing w:before="40" w:after="40" w:line="480" w:lineRule="auto"/>
              <w:jc w:val="center"/>
              <w:rPr>
                <w:rFonts w:ascii="Arial" w:hAnsi="Arial" w:cs="Arial"/>
                <w:sz w:val="20"/>
                <w:szCs w:val="20"/>
              </w:rPr>
            </w:pPr>
            <w:r w:rsidRPr="00D70892">
              <w:rPr>
                <w:rFonts w:ascii="Arial" w:hAnsi="Arial" w:cs="Arial"/>
                <w:sz w:val="20"/>
                <w:szCs w:val="20"/>
              </w:rPr>
              <w:t>98.59 %</w:t>
            </w:r>
          </w:p>
        </w:tc>
      </w:tr>
    </w:tbl>
    <w:p w14:paraId="4E1CC9F0" w14:textId="77777777" w:rsidR="00B71029" w:rsidRPr="00D70892" w:rsidRDefault="00B71029" w:rsidP="00207582">
      <w:pPr>
        <w:pStyle w:val="ListParagraph"/>
        <w:tabs>
          <w:tab w:val="center" w:pos="4230"/>
        </w:tabs>
        <w:autoSpaceDE w:val="0"/>
        <w:autoSpaceDN w:val="0"/>
        <w:adjustRightInd w:val="0"/>
        <w:spacing w:before="40" w:after="40" w:line="480" w:lineRule="auto"/>
        <w:jc w:val="both"/>
        <w:rPr>
          <w:rFonts w:ascii="Arial" w:hAnsi="Arial" w:cs="Arial"/>
          <w:sz w:val="20"/>
          <w:szCs w:val="20"/>
        </w:rPr>
      </w:pPr>
      <w:r w:rsidRPr="00D70892">
        <w:rPr>
          <w:rFonts w:ascii="Arial" w:hAnsi="Arial" w:cs="Arial"/>
          <w:sz w:val="20"/>
          <w:szCs w:val="20"/>
        </w:rPr>
        <w:t>Similar superscripts show non-significant difference</w:t>
      </w:r>
      <w:r w:rsidRPr="00D70892">
        <w:rPr>
          <w:rFonts w:ascii="Arial" w:hAnsi="Arial" w:cs="Arial"/>
          <w:sz w:val="20"/>
          <w:szCs w:val="20"/>
        </w:rPr>
        <w:tab/>
      </w:r>
    </w:p>
    <w:p w14:paraId="6369815D" w14:textId="7D795292" w:rsidR="006A3AC1" w:rsidRPr="00D70892" w:rsidRDefault="006A3AC1" w:rsidP="006A3AC1">
      <w:pPr>
        <w:pStyle w:val="ListParagraph"/>
        <w:numPr>
          <w:ilvl w:val="1"/>
          <w:numId w:val="1"/>
        </w:numPr>
        <w:spacing w:before="120" w:after="120" w:line="480" w:lineRule="auto"/>
        <w:jc w:val="both"/>
        <w:rPr>
          <w:rFonts w:ascii="Arial" w:hAnsi="Arial" w:cs="Arial"/>
          <w:b/>
          <w:bCs/>
          <w:szCs w:val="20"/>
        </w:rPr>
      </w:pPr>
      <w:commentRangeStart w:id="19"/>
      <w:r w:rsidRPr="00D70892">
        <w:rPr>
          <w:rFonts w:ascii="Arial" w:hAnsi="Arial" w:cs="Arial"/>
          <w:b/>
          <w:bCs/>
          <w:szCs w:val="20"/>
        </w:rPr>
        <w:t>Effect of seed extract on haematological and biochemical parameters</w:t>
      </w:r>
      <w:commentRangeEnd w:id="19"/>
      <w:r w:rsidR="00D70892">
        <w:rPr>
          <w:rStyle w:val="CommentReference"/>
          <w:rFonts w:eastAsiaTheme="minorEastAsia"/>
          <w:kern w:val="0"/>
          <w:lang w:eastAsia="en-IN"/>
          <w14:ligatures w14:val="none"/>
        </w:rPr>
        <w:commentReference w:id="19"/>
      </w:r>
    </w:p>
    <w:p w14:paraId="7BF47A0F" w14:textId="461DA83C" w:rsidR="0017231A" w:rsidRPr="00D70892" w:rsidRDefault="00F56940" w:rsidP="0017231A">
      <w:pPr>
        <w:pStyle w:val="ListParagraph"/>
        <w:spacing w:before="120" w:after="120" w:line="480" w:lineRule="auto"/>
        <w:ind w:left="732"/>
        <w:jc w:val="both"/>
        <w:rPr>
          <w:rFonts w:ascii="Arial" w:hAnsi="Arial" w:cs="Arial"/>
          <w:sz w:val="20"/>
          <w:szCs w:val="20"/>
        </w:rPr>
      </w:pPr>
      <w:r w:rsidRPr="00D70892">
        <w:rPr>
          <w:rFonts w:ascii="Arial" w:hAnsi="Arial" w:cs="Arial"/>
          <w:sz w:val="20"/>
          <w:szCs w:val="20"/>
        </w:rPr>
        <w:t>The results of haematological and biochemical parameters are shown in Table 2.</w:t>
      </w:r>
      <w:r w:rsidR="003B70F5" w:rsidRPr="00D70892">
        <w:rPr>
          <w:rFonts w:ascii="Arial" w:hAnsi="Arial" w:cs="Arial"/>
          <w:sz w:val="20"/>
          <w:szCs w:val="20"/>
        </w:rPr>
        <w:t xml:space="preserve"> In haematological parameters, haemoglobin</w:t>
      </w:r>
      <w:r w:rsidR="0017231A" w:rsidRPr="00D70892">
        <w:rPr>
          <w:rFonts w:ascii="Arial" w:hAnsi="Arial" w:cs="Arial"/>
          <w:sz w:val="20"/>
          <w:szCs w:val="20"/>
        </w:rPr>
        <w:t xml:space="preserve"> (Hb)</w:t>
      </w:r>
      <w:r w:rsidR="003B70F5" w:rsidRPr="00D70892">
        <w:rPr>
          <w:rFonts w:ascii="Arial" w:hAnsi="Arial" w:cs="Arial"/>
          <w:sz w:val="20"/>
          <w:szCs w:val="20"/>
        </w:rPr>
        <w:t xml:space="preserve"> mean value before treatment was 7.08± 0.91 which showed significant increase on 21st day post-treatment as 7.97 ± 0.37.</w:t>
      </w:r>
      <w:r w:rsidR="00F4755B" w:rsidRPr="00D70892">
        <w:rPr>
          <w:rFonts w:ascii="Arial" w:hAnsi="Arial" w:cs="Arial"/>
          <w:sz w:val="20"/>
          <w:szCs w:val="20"/>
        </w:rPr>
        <w:t xml:space="preserve"> The Packed Cell Volume</w:t>
      </w:r>
      <w:r w:rsidR="000C4CC8" w:rsidRPr="00D70892">
        <w:rPr>
          <w:rFonts w:ascii="Arial" w:hAnsi="Arial" w:cs="Arial"/>
          <w:sz w:val="20"/>
          <w:szCs w:val="20"/>
        </w:rPr>
        <w:t xml:space="preserve"> (PCV)</w:t>
      </w:r>
      <w:r w:rsidR="00F4755B" w:rsidRPr="00D70892">
        <w:rPr>
          <w:rFonts w:ascii="Arial" w:hAnsi="Arial" w:cs="Arial"/>
          <w:sz w:val="20"/>
          <w:szCs w:val="20"/>
        </w:rPr>
        <w:t xml:space="preserve"> mean value before treatment was </w:t>
      </w:r>
      <w:r w:rsidR="00D30A37" w:rsidRPr="00D70892">
        <w:rPr>
          <w:rFonts w:ascii="Arial" w:hAnsi="Arial" w:cs="Arial"/>
          <w:sz w:val="20"/>
          <w:szCs w:val="20"/>
        </w:rPr>
        <w:t>25</w:t>
      </w:r>
      <w:r w:rsidR="00F4755B" w:rsidRPr="00D70892">
        <w:rPr>
          <w:rFonts w:ascii="Arial" w:hAnsi="Arial" w:cs="Arial"/>
          <w:sz w:val="20"/>
          <w:szCs w:val="20"/>
        </w:rPr>
        <w:t>.</w:t>
      </w:r>
      <w:r w:rsidR="00D30A37" w:rsidRPr="00D70892">
        <w:rPr>
          <w:rFonts w:ascii="Arial" w:hAnsi="Arial" w:cs="Arial"/>
          <w:sz w:val="20"/>
          <w:szCs w:val="20"/>
        </w:rPr>
        <w:t>50</w:t>
      </w:r>
      <w:r w:rsidR="00F4755B" w:rsidRPr="00D70892">
        <w:rPr>
          <w:rFonts w:ascii="Arial" w:hAnsi="Arial" w:cs="Arial"/>
          <w:sz w:val="20"/>
          <w:szCs w:val="20"/>
        </w:rPr>
        <w:t xml:space="preserve"> ± </w:t>
      </w:r>
      <w:r w:rsidR="00D30A37" w:rsidRPr="00D70892">
        <w:rPr>
          <w:rFonts w:ascii="Arial" w:hAnsi="Arial" w:cs="Arial"/>
          <w:sz w:val="20"/>
          <w:szCs w:val="20"/>
        </w:rPr>
        <w:t>1</w:t>
      </w:r>
      <w:r w:rsidR="00F4755B" w:rsidRPr="00D70892">
        <w:rPr>
          <w:rFonts w:ascii="Arial" w:hAnsi="Arial" w:cs="Arial"/>
          <w:sz w:val="20"/>
          <w:szCs w:val="20"/>
        </w:rPr>
        <w:t>.</w:t>
      </w:r>
      <w:r w:rsidR="00D30A37" w:rsidRPr="00D70892">
        <w:rPr>
          <w:rFonts w:ascii="Arial" w:hAnsi="Arial" w:cs="Arial"/>
          <w:sz w:val="20"/>
          <w:szCs w:val="20"/>
        </w:rPr>
        <w:t>02</w:t>
      </w:r>
      <w:r w:rsidR="00F4755B" w:rsidRPr="00D70892">
        <w:rPr>
          <w:rFonts w:ascii="Arial" w:hAnsi="Arial" w:cs="Arial"/>
          <w:sz w:val="20"/>
          <w:szCs w:val="20"/>
        </w:rPr>
        <w:t xml:space="preserve"> which </w:t>
      </w:r>
      <w:proofErr w:type="gramStart"/>
      <w:r w:rsidR="00F4755B" w:rsidRPr="00D70892">
        <w:rPr>
          <w:rFonts w:ascii="Arial" w:hAnsi="Arial" w:cs="Arial"/>
          <w:sz w:val="20"/>
          <w:szCs w:val="20"/>
        </w:rPr>
        <w:t>raised</w:t>
      </w:r>
      <w:proofErr w:type="gramEnd"/>
      <w:r w:rsidR="00F4755B" w:rsidRPr="00D70892">
        <w:rPr>
          <w:rFonts w:ascii="Arial" w:hAnsi="Arial" w:cs="Arial"/>
          <w:sz w:val="20"/>
          <w:szCs w:val="20"/>
        </w:rPr>
        <w:t xml:space="preserve"> significantly to </w:t>
      </w:r>
      <w:r w:rsidR="005A772A" w:rsidRPr="00D70892">
        <w:rPr>
          <w:rFonts w:ascii="Arial" w:hAnsi="Arial" w:cs="Arial"/>
          <w:sz w:val="20"/>
          <w:szCs w:val="20"/>
        </w:rPr>
        <w:t>29.40</w:t>
      </w:r>
      <w:r w:rsidR="00F4755B" w:rsidRPr="00D70892">
        <w:rPr>
          <w:rFonts w:ascii="Arial" w:hAnsi="Arial" w:cs="Arial"/>
          <w:sz w:val="20"/>
          <w:szCs w:val="20"/>
        </w:rPr>
        <w:t xml:space="preserve"> ± </w:t>
      </w:r>
      <w:r w:rsidR="005A772A" w:rsidRPr="00D70892">
        <w:rPr>
          <w:rFonts w:ascii="Arial" w:hAnsi="Arial" w:cs="Arial"/>
          <w:sz w:val="20"/>
          <w:szCs w:val="20"/>
        </w:rPr>
        <w:t>1.88</w:t>
      </w:r>
      <w:r w:rsidR="00F4755B" w:rsidRPr="00D70892">
        <w:rPr>
          <w:rFonts w:ascii="Arial" w:hAnsi="Arial" w:cs="Arial"/>
          <w:sz w:val="20"/>
          <w:szCs w:val="20"/>
        </w:rPr>
        <w:t xml:space="preserve"> on 21st day post-treatment.</w:t>
      </w:r>
      <w:r w:rsidR="007345CB" w:rsidRPr="00D70892">
        <w:rPr>
          <w:rFonts w:ascii="Arial" w:hAnsi="Arial" w:cs="Arial"/>
          <w:sz w:val="20"/>
          <w:szCs w:val="20"/>
        </w:rPr>
        <w:t xml:space="preserve"> The Total Erythrocyte Count</w:t>
      </w:r>
      <w:r w:rsidR="000C4CC8" w:rsidRPr="00D70892">
        <w:rPr>
          <w:rFonts w:ascii="Arial" w:hAnsi="Arial" w:cs="Arial"/>
          <w:sz w:val="20"/>
          <w:szCs w:val="20"/>
        </w:rPr>
        <w:t xml:space="preserve"> (TEC)</w:t>
      </w:r>
      <w:r w:rsidR="007345CB" w:rsidRPr="00D70892">
        <w:rPr>
          <w:rFonts w:ascii="Arial" w:hAnsi="Arial" w:cs="Arial"/>
          <w:sz w:val="20"/>
          <w:szCs w:val="20"/>
        </w:rPr>
        <w:t xml:space="preserve"> mean value before treatment was 4.10 ± 0.41 and showed significant increase to 8.79 ± 0.55 on 21st day post-treatment.</w:t>
      </w:r>
      <w:r w:rsidR="007234E4" w:rsidRPr="00D70892">
        <w:rPr>
          <w:rFonts w:ascii="Arial" w:hAnsi="Arial" w:cs="Arial"/>
          <w:sz w:val="20"/>
          <w:szCs w:val="20"/>
        </w:rPr>
        <w:t xml:space="preserve"> </w:t>
      </w:r>
      <w:commentRangeStart w:id="20"/>
      <w:r w:rsidR="007234E4" w:rsidRPr="00D70892">
        <w:rPr>
          <w:rFonts w:ascii="Arial" w:hAnsi="Arial" w:cs="Arial"/>
          <w:sz w:val="20"/>
          <w:szCs w:val="20"/>
        </w:rPr>
        <w:t>The Total Leucocyte Count</w:t>
      </w:r>
      <w:r w:rsidR="000C4CC8" w:rsidRPr="00D70892">
        <w:rPr>
          <w:rFonts w:ascii="Arial" w:hAnsi="Arial" w:cs="Arial"/>
          <w:sz w:val="20"/>
          <w:szCs w:val="20"/>
        </w:rPr>
        <w:t xml:space="preserve"> (TLC)</w:t>
      </w:r>
      <w:r w:rsidR="007234E4" w:rsidRPr="00D70892">
        <w:rPr>
          <w:rFonts w:ascii="Arial" w:hAnsi="Arial" w:cs="Arial"/>
          <w:sz w:val="20"/>
          <w:szCs w:val="20"/>
        </w:rPr>
        <w:t xml:space="preserve"> mean value before treatment was 12.87 ± 1.14 which showed non-significant reduction to 12.38 ± 0.66.</w:t>
      </w:r>
      <w:r w:rsidR="00F7063C" w:rsidRPr="00D70892">
        <w:rPr>
          <w:rFonts w:ascii="Arial" w:hAnsi="Arial" w:cs="Arial"/>
          <w:sz w:val="20"/>
          <w:szCs w:val="20"/>
        </w:rPr>
        <w:t xml:space="preserve"> </w:t>
      </w:r>
      <w:commentRangeEnd w:id="20"/>
      <w:r w:rsidR="008C1261" w:rsidRPr="00D70892">
        <w:rPr>
          <w:rStyle w:val="CommentReference"/>
          <w:rFonts w:ascii="Arial" w:eastAsiaTheme="minorEastAsia" w:hAnsi="Arial" w:cs="Arial"/>
          <w:kern w:val="0"/>
          <w:sz w:val="20"/>
          <w:szCs w:val="20"/>
          <w:lang w:eastAsia="en-IN"/>
          <w14:ligatures w14:val="none"/>
        </w:rPr>
        <w:commentReference w:id="20"/>
      </w:r>
      <w:r w:rsidR="0017231A" w:rsidRPr="00D70892">
        <w:rPr>
          <w:rFonts w:ascii="Arial" w:hAnsi="Arial" w:cs="Arial"/>
          <w:sz w:val="20"/>
          <w:szCs w:val="20"/>
        </w:rPr>
        <w:t xml:space="preserve">These haematological improvements are indicative of the therapeutic efficacy of </w:t>
      </w:r>
      <w:r w:rsidR="0017231A" w:rsidRPr="00D70892">
        <w:rPr>
          <w:rFonts w:ascii="Arial" w:hAnsi="Arial" w:cs="Arial"/>
          <w:i/>
          <w:iCs/>
          <w:sz w:val="20"/>
          <w:szCs w:val="20"/>
        </w:rPr>
        <w:t>Cucurbita pepo</w:t>
      </w:r>
      <w:r w:rsidR="0017231A" w:rsidRPr="00D70892">
        <w:rPr>
          <w:rFonts w:ascii="Arial" w:hAnsi="Arial" w:cs="Arial"/>
          <w:sz w:val="20"/>
          <w:szCs w:val="20"/>
        </w:rPr>
        <w:t xml:space="preserve"> aqueous seed extract and were comparable with values observed in healthy control animals. Notably, no adverse clinical signs were observed in any of the treated animals, further supporting the safety of the extract at the administered dose. The observed increases in Haemoglobin, Packed Cell Volume, and Total Erythrocyte Count are in agreement with the findings of </w:t>
      </w:r>
      <w:r w:rsidR="0017231A" w:rsidRPr="00D70892">
        <w:rPr>
          <w:rFonts w:ascii="Arial" w:hAnsi="Arial" w:cs="Arial"/>
          <w:sz w:val="20"/>
          <w:szCs w:val="20"/>
        </w:rPr>
        <w:fldChar w:fldCharType="begin"/>
      </w:r>
      <w:r w:rsidR="0017231A" w:rsidRPr="00D70892">
        <w:rPr>
          <w:rFonts w:ascii="Arial" w:hAnsi="Arial" w:cs="Arial"/>
          <w:sz w:val="20"/>
          <w:szCs w:val="20"/>
        </w:rPr>
        <w:instrText xml:space="preserve"> ADDIN ZOTERO_ITEM CSL_CITATION {"citationID":"X0uuOLza","properties":{"formattedCitation":"(Meenakshisundaram*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0017231A" w:rsidRPr="00D70892">
        <w:rPr>
          <w:rFonts w:ascii="Arial" w:hAnsi="Arial" w:cs="Arial"/>
          <w:sz w:val="20"/>
          <w:szCs w:val="20"/>
        </w:rPr>
        <w:fldChar w:fldCharType="separate"/>
      </w:r>
      <w:r w:rsidR="0017231A" w:rsidRPr="00D70892">
        <w:rPr>
          <w:rFonts w:ascii="Arial" w:hAnsi="Arial" w:cs="Arial"/>
          <w:sz w:val="20"/>
          <w:szCs w:val="20"/>
        </w:rPr>
        <w:t>(Meenakshisundaram et al., 2017)</w:t>
      </w:r>
      <w:r w:rsidR="0017231A" w:rsidRPr="00D70892">
        <w:rPr>
          <w:rFonts w:ascii="Arial" w:hAnsi="Arial" w:cs="Arial"/>
          <w:sz w:val="20"/>
          <w:szCs w:val="20"/>
        </w:rPr>
        <w:fldChar w:fldCharType="end"/>
      </w:r>
      <w:r w:rsidR="0017231A" w:rsidRPr="00D70892">
        <w:rPr>
          <w:rFonts w:ascii="Arial" w:hAnsi="Arial" w:cs="Arial"/>
          <w:sz w:val="20"/>
          <w:szCs w:val="20"/>
        </w:rPr>
        <w:t xml:space="preserve">, who reported similar haematological improvements in </w:t>
      </w:r>
      <w:r w:rsidR="0017231A" w:rsidRPr="00D70892">
        <w:rPr>
          <w:rFonts w:ascii="Arial" w:hAnsi="Arial" w:cs="Arial"/>
          <w:sz w:val="20"/>
          <w:szCs w:val="20"/>
        </w:rPr>
        <w:lastRenderedPageBreak/>
        <w:t xml:space="preserve">animals treated with both aqueous and ethanolic extracts of </w:t>
      </w:r>
      <w:r w:rsidR="0017231A" w:rsidRPr="00D70892">
        <w:rPr>
          <w:rFonts w:ascii="Arial" w:hAnsi="Arial" w:cs="Arial"/>
          <w:i/>
          <w:iCs/>
          <w:sz w:val="20"/>
          <w:szCs w:val="20"/>
        </w:rPr>
        <w:t>C</w:t>
      </w:r>
      <w:r w:rsidR="000963E4" w:rsidRPr="00D70892">
        <w:rPr>
          <w:rFonts w:ascii="Arial" w:hAnsi="Arial" w:cs="Arial"/>
          <w:i/>
          <w:iCs/>
          <w:sz w:val="20"/>
          <w:szCs w:val="20"/>
        </w:rPr>
        <w:t>ucurbita</w:t>
      </w:r>
      <w:r w:rsidR="0017231A" w:rsidRPr="00D70892">
        <w:rPr>
          <w:rFonts w:ascii="Arial" w:hAnsi="Arial" w:cs="Arial"/>
          <w:i/>
          <w:iCs/>
          <w:sz w:val="20"/>
          <w:szCs w:val="20"/>
        </w:rPr>
        <w:t xml:space="preserve"> pepo</w:t>
      </w:r>
      <w:r w:rsidR="0017231A" w:rsidRPr="00D70892">
        <w:rPr>
          <w:rFonts w:ascii="Arial" w:hAnsi="Arial" w:cs="Arial"/>
          <w:sz w:val="20"/>
          <w:szCs w:val="20"/>
        </w:rPr>
        <w:t>. These enhancements may be attributed to improved iron absorption following treatment, facilitating erythropoiesis.</w:t>
      </w:r>
      <w:r w:rsidR="000963E4" w:rsidRPr="00D70892">
        <w:rPr>
          <w:rFonts w:ascii="Arial" w:hAnsi="Arial" w:cs="Arial"/>
          <w:sz w:val="20"/>
          <w:szCs w:val="20"/>
        </w:rPr>
        <w:t xml:space="preserve"> </w:t>
      </w:r>
      <w:r w:rsidR="0017231A" w:rsidRPr="00D70892">
        <w:rPr>
          <w:rFonts w:ascii="Arial" w:hAnsi="Arial" w:cs="Arial"/>
          <w:sz w:val="20"/>
          <w:szCs w:val="20"/>
        </w:rPr>
        <w:t xml:space="preserve">Additionally, the increase in PCV and TEC may be linked to the reduction or elimination of blood-sucking gastrointestinal helminths, as previously described by </w:t>
      </w:r>
      <w:r w:rsidR="000963E4" w:rsidRPr="00D70892">
        <w:rPr>
          <w:rFonts w:ascii="Arial" w:hAnsi="Arial" w:cs="Arial"/>
          <w:sz w:val="20"/>
          <w:szCs w:val="20"/>
        </w:rPr>
        <w:fldChar w:fldCharType="begin"/>
      </w:r>
      <w:r w:rsidR="000963E4" w:rsidRPr="00D70892">
        <w:rPr>
          <w:rFonts w:ascii="Arial" w:hAnsi="Arial" w:cs="Arial"/>
          <w:sz w:val="20"/>
          <w:szCs w:val="20"/>
        </w:rPr>
        <w:instrText xml:space="preserve"> ADDIN ZOTERO_ITEM CSL_CITATION {"citationID":"PPN7bN3R","properties":{"formattedCitation":"(Khalid et al., n.d.)","plainCitation":"(Khalid et al., n.d.)","noteIndex":0},"citationItems":[{"id":165,"uris":["http://zotero.org/users/14224827/items/VQUL4UJ7"],"itemData":{"id":165,"type":"article-journal","abstract":"Abstract: The experiment was conducted in the Department of Pharmacology, Faculty of Veterinary Science, Bangladesh Agricultural University, Mymensingh, for a period of 28 days to study the effects of indigenous medicinal plants (neem and pineapple) against gastro-intestinal nematodiasis in sheep. The sheep is the source of animal protein, hide, meat and milk. Parasitism is a serious problem of livestock where nutrition and sanitation are poor. In Bangladesh, gastro-intestinal nematodiasis causing a significant economic loss as a result of animal diarrhoea, stunted growth, decreased milk production, emaciation, loss of working ability and even death. Fifteen sheep were selected from fifty five sheep for this study which was heavily infected with gastro-intestinal nematodes marked by McMaster method. Sheep were treated with neem and pineapple (10% water extract of leaves). A significant (p &lt; 0.01) reduction of EPG count was found on 7th, 14th, 21st and 28th day of neem (47.03, 46.27, 41.82 and 37.60%) and pineapple (41.13, 39.27, 36.32 and 32.18%) treated sheep. The EPG count of untreated control group were significantly (p &lt; 0.01) increased about 7.88, 11.45, 20.15 and 30.26% on 7th, 14th, 21st and 28th day, respectively. After treatment with neem and pineapple, Total Erythrocyte Count (TEC), Hemoglobin (Hb) content and Packed Cell Volume (PCV) were increased significantly (p &lt; 0.01 and p &lt; 0.05) in sheep. On the other hand Total Leukocyte Count (TLC) was decreased significantly (p&lt; 0.01 and p &lt; 0.05) in all treated sheep. The body weight was increased significantly (p &lt; 0.01 and p &lt; 0.05) in neem and pineapple treated sheep. On the other hand body weight was decreased in untreated control group. Neem and pineapple (10% water extract of leaves) may be used as moderate anthelmintics against gastro-intestinal nematodiasis in sheep.","container-title":"International Journal of Pharmacology","DOI":"10.3923/ijp.2005.185.189","issue":"2","language":"en-gb","page":"185-189","source":"scialert.net","title":"Effects of Indigenous Medicinal Plants (Neem and Pineapple) Against Gastro-intestinal Nematodiasis in Sheep","volume":"1","author":[{"family":"Khalid","given":"S."},{"family":"Amin","given":"M."},{"family":"Mostofa","given":"M."},{"family":"Choudhury","given":"M."},{"family":"Uddin","given":"B."}]}}],"schema":"https://github.com/citation-style-language/schema/raw/master/csl-citation.json"} </w:instrText>
      </w:r>
      <w:r w:rsidR="000963E4" w:rsidRPr="00D70892">
        <w:rPr>
          <w:rFonts w:ascii="Arial" w:hAnsi="Arial" w:cs="Arial"/>
          <w:sz w:val="20"/>
          <w:szCs w:val="20"/>
        </w:rPr>
        <w:fldChar w:fldCharType="separate"/>
      </w:r>
      <w:r w:rsidR="000963E4" w:rsidRPr="00D70892">
        <w:rPr>
          <w:rFonts w:ascii="Arial" w:hAnsi="Arial" w:cs="Arial"/>
          <w:sz w:val="20"/>
          <w:szCs w:val="20"/>
        </w:rPr>
        <w:t xml:space="preserve">(Khalid et al., </w:t>
      </w:r>
      <w:r w:rsidR="00AB7020" w:rsidRPr="00D70892">
        <w:rPr>
          <w:rFonts w:ascii="Arial" w:hAnsi="Arial" w:cs="Arial"/>
          <w:sz w:val="20"/>
          <w:szCs w:val="20"/>
        </w:rPr>
        <w:t>2005</w:t>
      </w:r>
      <w:r w:rsidR="000963E4" w:rsidRPr="00D70892">
        <w:rPr>
          <w:rFonts w:ascii="Arial" w:hAnsi="Arial" w:cs="Arial"/>
          <w:sz w:val="20"/>
          <w:szCs w:val="20"/>
        </w:rPr>
        <w:t>)</w:t>
      </w:r>
      <w:r w:rsidR="000963E4" w:rsidRPr="00D70892">
        <w:rPr>
          <w:rFonts w:ascii="Arial" w:hAnsi="Arial" w:cs="Arial"/>
          <w:sz w:val="20"/>
          <w:szCs w:val="20"/>
        </w:rPr>
        <w:fldChar w:fldCharType="end"/>
      </w:r>
      <w:r w:rsidR="0017231A" w:rsidRPr="00D70892">
        <w:rPr>
          <w:rFonts w:ascii="Arial" w:hAnsi="Arial" w:cs="Arial"/>
          <w:sz w:val="20"/>
          <w:szCs w:val="20"/>
        </w:rPr>
        <w:t xml:space="preserve"> in goats treated with neem (</w:t>
      </w:r>
      <w:proofErr w:type="spellStart"/>
      <w:r w:rsidR="0017231A" w:rsidRPr="00D70892">
        <w:rPr>
          <w:rFonts w:ascii="Arial" w:hAnsi="Arial" w:cs="Arial"/>
          <w:i/>
          <w:iCs/>
          <w:sz w:val="20"/>
          <w:szCs w:val="20"/>
        </w:rPr>
        <w:t>Azadirachta</w:t>
      </w:r>
      <w:proofErr w:type="spellEnd"/>
      <w:r w:rsidR="0017231A" w:rsidRPr="00D70892">
        <w:rPr>
          <w:rFonts w:ascii="Arial" w:hAnsi="Arial" w:cs="Arial"/>
          <w:i/>
          <w:iCs/>
          <w:sz w:val="20"/>
          <w:szCs w:val="20"/>
        </w:rPr>
        <w:t xml:space="preserve"> </w:t>
      </w:r>
      <w:proofErr w:type="spellStart"/>
      <w:r w:rsidR="0017231A" w:rsidRPr="00D70892">
        <w:rPr>
          <w:rFonts w:ascii="Arial" w:hAnsi="Arial" w:cs="Arial"/>
          <w:i/>
          <w:iCs/>
          <w:sz w:val="20"/>
          <w:szCs w:val="20"/>
        </w:rPr>
        <w:t>indica</w:t>
      </w:r>
      <w:proofErr w:type="spellEnd"/>
      <w:r w:rsidR="0017231A" w:rsidRPr="00D70892">
        <w:rPr>
          <w:rFonts w:ascii="Arial" w:hAnsi="Arial" w:cs="Arial"/>
          <w:sz w:val="20"/>
          <w:szCs w:val="20"/>
        </w:rPr>
        <w:t xml:space="preserve">) leaves, and by </w:t>
      </w:r>
      <w:r w:rsidR="000963E4" w:rsidRPr="00D70892">
        <w:rPr>
          <w:rFonts w:ascii="Arial" w:hAnsi="Arial" w:cs="Arial"/>
          <w:sz w:val="20"/>
          <w:szCs w:val="20"/>
        </w:rPr>
        <w:fldChar w:fldCharType="begin"/>
      </w:r>
      <w:r w:rsidR="000963E4" w:rsidRPr="00D70892">
        <w:rPr>
          <w:rFonts w:ascii="Arial" w:hAnsi="Arial" w:cs="Arial"/>
          <w:sz w:val="20"/>
          <w:szCs w:val="20"/>
        </w:rPr>
        <w:instrText xml:space="preserve"> ADDIN ZOTERO_ITEM CSL_CITATION {"citationID":"RjJ4aNFI","properties":{"formattedCitation":"(Githiori et al., 2004)","plainCitation":"(Githiori et al., 2004)","noteIndex":0},"citationItems":[{"id":162,"uris":["http://zotero.org/users/14224827/items/V2DF38A8"],"itemData":{"id":162,"type":"article-journal","abstract":"Gastrointestinal helminth infections remain a major constraint to livestock production globally. This study evaluated anthelmintic eﬃcacy of 7 plants used as dewormers by farmers and pastoralists in Kenya. Thus 3 commercial anthelmintics and 7 plant preparations were tested in lambs infected with 5000 or 3000 L3 Haemonchus contortus in 4 experiments. In the ﬁrst experiment, ivermectin, levamisole and albendazole were tested in 46 lambs. Seven plant preparations of Hagenia abyssinica, Olea europaea var. africana, Annona squamosa, Ananas comosus, Dodonea angustifolia, Hildebrandtia sepalosa and Azadirachta indica were tested in 151 lambs in 3 experiments. All 3 anthelminitics were highly eﬀective in reducing faecal egg counts (FEC) and total worm counts (TWC) in lambs. Plant preparations had varying levels of crude proteins from 2.6 % for O. europaea to 18.4% for A. indica. Compared with controls, no signiﬁcant reductions in FEC were observed for any of the treated groups either 2 or 3 weeks post-treatment. Lambs treated with A. squamosa and A. comosus were slaughtered 4 weeks post-treatment. No signiﬁcant diﬀerences were observed in mean TWC or number of eggs per female worm between treated animals and the controls. No signiﬁcant improvements in weight gain were observed in treated lambs.","container-title":"Parasitology","DOI":"10.1017/S0031182004005566","ISSN":"0031-1820, 1469-8161","issue":"2","journalAbbreviation":"Parasitology","language":"en","license":"https://www.cambridge.org/core/terms","page":"245-253","source":"DOI.org (Crossref)","title":"Evaluation of anthelmintic properties of some plants used as livestock dewormers against &lt;i&gt;Haemonchus contortus&lt;/i&gt; infections in sheep","volume":"129","author":[{"family":"Githiori","given":"J. B."},{"family":"Höglund","given":"J."},{"family":"Waller","given":"P. J."},{"family":"Baker","given":"R. L."}],"issued":{"date-parts":[["2004",8]]}}}],"schema":"https://github.com/citation-style-language/schema/raw/master/csl-citation.json"} </w:instrText>
      </w:r>
      <w:r w:rsidR="000963E4" w:rsidRPr="00D70892">
        <w:rPr>
          <w:rFonts w:ascii="Arial" w:hAnsi="Arial" w:cs="Arial"/>
          <w:sz w:val="20"/>
          <w:szCs w:val="20"/>
        </w:rPr>
        <w:fldChar w:fldCharType="separate"/>
      </w:r>
      <w:r w:rsidR="000963E4" w:rsidRPr="00D70892">
        <w:rPr>
          <w:rFonts w:ascii="Arial" w:hAnsi="Arial" w:cs="Arial"/>
          <w:sz w:val="20"/>
          <w:szCs w:val="20"/>
        </w:rPr>
        <w:t>(Githiori et al., 2004)</w:t>
      </w:r>
      <w:r w:rsidR="000963E4" w:rsidRPr="00D70892">
        <w:rPr>
          <w:rFonts w:ascii="Arial" w:hAnsi="Arial" w:cs="Arial"/>
          <w:sz w:val="20"/>
          <w:szCs w:val="20"/>
        </w:rPr>
        <w:fldChar w:fldCharType="end"/>
      </w:r>
      <w:r w:rsidR="0017231A" w:rsidRPr="00D70892">
        <w:rPr>
          <w:rFonts w:ascii="Arial" w:hAnsi="Arial" w:cs="Arial"/>
          <w:sz w:val="20"/>
          <w:szCs w:val="20"/>
        </w:rPr>
        <w:t xml:space="preserve"> in trials using various </w:t>
      </w:r>
      <w:proofErr w:type="spellStart"/>
      <w:r w:rsidR="0017231A" w:rsidRPr="00D70892">
        <w:rPr>
          <w:rFonts w:ascii="Arial" w:hAnsi="Arial" w:cs="Arial"/>
          <w:sz w:val="20"/>
          <w:szCs w:val="20"/>
        </w:rPr>
        <w:t>phytotherapeutic</w:t>
      </w:r>
      <w:proofErr w:type="spellEnd"/>
      <w:r w:rsidR="0017231A" w:rsidRPr="00D70892">
        <w:rPr>
          <w:rFonts w:ascii="Arial" w:hAnsi="Arial" w:cs="Arial"/>
          <w:sz w:val="20"/>
          <w:szCs w:val="20"/>
        </w:rPr>
        <w:t xml:space="preserve"> agents. The removal of parasitic burden likely reduces chronic blood loss and contributes to the recovery of erythroid parameters.</w:t>
      </w:r>
    </w:p>
    <w:p w14:paraId="4D8D0DAF" w14:textId="3EFE0304" w:rsidR="00B57A12" w:rsidRPr="00D70892" w:rsidRDefault="00B57A12" w:rsidP="0017231A">
      <w:pPr>
        <w:pStyle w:val="ListParagraph"/>
        <w:spacing w:before="120" w:after="120" w:line="480" w:lineRule="auto"/>
        <w:ind w:left="732"/>
        <w:jc w:val="both"/>
        <w:rPr>
          <w:rFonts w:ascii="Arial" w:hAnsi="Arial" w:cs="Arial"/>
          <w:sz w:val="20"/>
          <w:szCs w:val="20"/>
        </w:rPr>
      </w:pPr>
      <w:r w:rsidRPr="00D70892">
        <w:rPr>
          <w:rFonts w:ascii="Arial" w:hAnsi="Arial" w:cs="Arial"/>
          <w:sz w:val="20"/>
          <w:szCs w:val="20"/>
        </w:rPr>
        <w:t xml:space="preserve">Biochemical analysis revealed no significant changes in serum total protein, albumin, globulin, and alanine aminotransferase (ALT) levels in the treated animals compared to the control group. However, a slight, non-significant elevation was observed in serum aspartate aminotransferase (AST) levels in the treatment group. Despite this elevation, AST values remained within the normal physiological range in both treated and control animals. The transient increase in AST may be attributed to hepatic metabolism and temporary accumulation of plant-derived compounds in the liver. This phenomenon is consistent with previous studies by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{"citationID":"HbTfF8DX","properties":{"formattedCitation":"(Meenakshisundaram* et al., 2017)","plainCitation":"(Meenakshisundaram* et al., 2017)","noteIndex":0},"citationItems":[{"id":137,"uris":["http://zotero.org/users/14224827/items/L745ZDZB"],"itemData":{"id":137,"type":"article-journal","abstract":"The study was aimed at to investigate the anthelmintic efficacy of aqueous and ethanolic extracts of Cucurbita pepo against gastrointestinal nematodes of sheep by scientifically validated in vitro and in vivo tests. In vitro anthelmintic activity was determined by egg hatch assay, larval migration inhibition assay and larval development assay against eggs and larvae of mixed gastrointestinal nematodes of sheep. The extracts which were found to be effective in in vitro assays were further evaluated by in vivo faecal egg count reduction test against mixed species of sheep gastrointestinal nematodes with 3 different doses (125, 250 and 500 mg kg-1). Haematological and serum parameters were estimated before and after treatment to determine the impact of plant extracts on health of the animal. Aqueous extract of C. pepo demonstrated significant inhibition of egg hatch at 40 and 80 mg/ml. The ED value of egg hatch inhibition was 3.51mg/ml. In larval 50 migration inhibition assay, both aqueous and ethanolic extracts of C. pepo demonstrated inhibition of larval migration and the LM50 was 1.75 and 0.32 mg/ml respectively. However, in larval development assay, both aqueous and ethanolic extracts showed only marginal inhibition of larval development at all concentrations tested. In faecal egg count reduction test (FECRT), aqueous extracts of C. pepo at 500 mg/kg caused significant reduction in eggs per gram (96.61 per cent) the reduction being higher than the result obtained with albendazole, the positive control (93.25 per cent). There was a significant difference in EPG reduction between sheep treated with albendazole and C. pepo. Haematological and serum parameters were not affected in both the treated and untreated sheep indicating that the extracts did not cause toxic effects. Based on the results obtained in this study, the aqueous extract of C. pepo possesses anthelmintic activity and could offer an alternative source for the control of gastrointestinal nematodes of sheep.","container-title":"Indian Journal of Animal Research","DOI":"10.18805/ijar.v0iOF.7264","ISSN":"0976-0555, 0367-6722","issue":"Of","journalAbbreviation":"IJAR","language":"en","source":"DOI.org (Crossref)","title":"Anthelmintic evaluation of Cucurbita pepo against gastrointestinal nematodes of sheep","URL":"https://arccjournals.com/journal/indian-journal-of-animal-research/B-3077","author":[{"family":"Meenakshisundaram*","given":"Ambalathaduvar"},{"family":"Harikrishnan","given":"Tirunelveli Jayagopal"},{"family":"Anna","given":"Thavasi"}],"accessed":{"date-parts":[["2025",6,20]]},"issued":{"date-parts":[["2017",2,16]]}}}],"schema":"https://github.com/citation-style-language/schema/raw/master/csl-citation.json"}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(Meenakshisundaram et al., 2017)</w:t>
      </w:r>
      <w:r w:rsidRPr="00D70892">
        <w:rPr>
          <w:rFonts w:ascii="Arial" w:hAnsi="Arial" w:cs="Arial"/>
          <w:sz w:val="20"/>
          <w:szCs w:val="20"/>
        </w:rPr>
        <w:fldChar w:fldCharType="end"/>
      </w:r>
      <w:r w:rsidR="00EE4C6E" w:rsidRPr="00D70892">
        <w:rPr>
          <w:rFonts w:ascii="Arial" w:hAnsi="Arial" w:cs="Arial"/>
          <w:sz w:val="20"/>
          <w:szCs w:val="20"/>
        </w:rPr>
        <w:t xml:space="preserve"> </w:t>
      </w:r>
      <w:r w:rsidRPr="00D70892">
        <w:rPr>
          <w:rFonts w:ascii="Arial" w:hAnsi="Arial" w:cs="Arial"/>
          <w:sz w:val="20"/>
          <w:szCs w:val="20"/>
        </w:rPr>
        <w:t>and</w:t>
      </w:r>
      <w:r w:rsidR="00EE4C6E" w:rsidRPr="00D70892">
        <w:rPr>
          <w:rFonts w:ascii="Arial" w:hAnsi="Arial" w:cs="Arial"/>
          <w:sz w:val="20"/>
          <w:szCs w:val="20"/>
        </w:rPr>
        <w:t xml:space="preserve"> </w:t>
      </w:r>
      <w:r w:rsidRPr="00D70892">
        <w:rPr>
          <w:rFonts w:ascii="Arial" w:hAnsi="Arial" w:cs="Arial"/>
          <w:sz w:val="20"/>
          <w:szCs w:val="20"/>
        </w:rPr>
        <w:fldChar w:fldCharType="begin"/>
      </w:r>
      <w:r w:rsidRPr="00D70892">
        <w:rPr>
          <w:rFonts w:ascii="Arial" w:hAnsi="Arial" w:cs="Arial"/>
          <w:sz w:val="20"/>
          <w:szCs w:val="20"/>
        </w:rPr>
        <w:instrText xml:space="preserve"> ADDIN ZOTERO_ITEM CSL_CITATION {"citationID":"1EomZLPe","properties":{"formattedCitation":"(Adepoju, 2009)","plainCitation":"(Adepoju, 2009)","noteIndex":0},"citationItems":[{"id":164,"uris":["http://zotero.org/users/14224827/items/XJDNFRY3"],"itemData":{"id":164,"type":"article-journal","abstract":"The study investigated the effect of Cucurbita pepo seeds on haematological and biochemical parameters on Wistar albino rats. The rats were maintained on diets composed of different concentrations of pulverized seeds of C. pepo. Blood samples and organs investigations were carried out using standard laboratory tests. The result revealed that C. pepo seeds significantly affected these parameters with beneficial effects on the vital organs and blood. The concentrations of the platelets, white blood cells and eosinophil were increased, while it reduced the concentrations of the neutrophils, packed cell volume and lymphocytes. It also significantly increased mean weights of the liver and the kidneys as evidenced by the statistically significant increase in total protein values of these organs. The doses significantly reduced the plasma levels of AST and ALT in these organs (p&lt;0.05). The seeds showed a dose-dependent nephro- and hepato-protective ability. In conclusion, C. pepo seed has beneficial nutritional values when consumed adequately.","container-title":"African Journal of Pharmacy and Pharmacology","DOI":"10.5897/AJPP10.186","ISSN":"1996-0816","issue":"1","journalAbbreviation":"Afr. J. Pharm. Pharmacol.","language":"en","page":"18-22","source":"DOI.org (Crossref)","title":"Effect of consumption of Cucurbita pepo seeds on haematological and biochemical parameters","volume":"5","author":[{"family":"Adepoju","given":"A."}],"issued":{"date-parts":[["2009",1,31]]}}}],"schema":"https://github.com/citation-style-language/schema/raw/master/csl-citation.json"} </w:instrText>
      </w:r>
      <w:r w:rsidRPr="00D70892">
        <w:rPr>
          <w:rFonts w:ascii="Arial" w:hAnsi="Arial" w:cs="Arial"/>
          <w:sz w:val="20"/>
          <w:szCs w:val="20"/>
        </w:rPr>
        <w:fldChar w:fldCharType="separate"/>
      </w:r>
      <w:r w:rsidRPr="00D70892">
        <w:rPr>
          <w:rFonts w:ascii="Arial" w:hAnsi="Arial" w:cs="Arial"/>
          <w:sz w:val="20"/>
          <w:szCs w:val="20"/>
        </w:rPr>
        <w:t>(Adepoju, 2009)</w:t>
      </w:r>
      <w:r w:rsidRPr="00D70892">
        <w:rPr>
          <w:rFonts w:ascii="Arial" w:hAnsi="Arial" w:cs="Arial"/>
          <w:sz w:val="20"/>
          <w:szCs w:val="20"/>
        </w:rPr>
        <w:fldChar w:fldCharType="end"/>
      </w:r>
      <w:r w:rsidRPr="00D70892">
        <w:rPr>
          <w:rFonts w:ascii="Arial" w:hAnsi="Arial" w:cs="Arial"/>
          <w:sz w:val="20"/>
          <w:szCs w:val="20"/>
        </w:rPr>
        <w:t xml:space="preserve">, who reported dose-dependent increases in AST and ALT levels following administration of plant extracts, likely reflecting the liver’s role in detoxification rather than any pathological liver damage. Importantly, the absence of significant alterations in protein fractions and ALT, along with the maintenance of AST within normal limits, suggests that the aqueous seed extract of </w:t>
      </w:r>
      <w:commentRangeStart w:id="21"/>
      <w:r w:rsidRPr="00D70892">
        <w:rPr>
          <w:rFonts w:ascii="Arial" w:hAnsi="Arial" w:cs="Arial"/>
          <w:sz w:val="20"/>
          <w:szCs w:val="20"/>
        </w:rPr>
        <w:t>Cucurbita pepo</w:t>
      </w:r>
      <w:commentRangeEnd w:id="21"/>
      <w:r w:rsidR="0022797F" w:rsidRPr="00D70892">
        <w:rPr>
          <w:rStyle w:val="CommentReference"/>
          <w:rFonts w:ascii="Arial" w:eastAsiaTheme="minorEastAsia" w:hAnsi="Arial" w:cs="Arial"/>
          <w:kern w:val="0"/>
          <w:sz w:val="20"/>
          <w:szCs w:val="20"/>
          <w:lang w:eastAsia="en-IN"/>
          <w14:ligatures w14:val="none"/>
        </w:rPr>
        <w:commentReference w:id="21"/>
      </w:r>
      <w:r w:rsidRPr="00D70892">
        <w:rPr>
          <w:rFonts w:ascii="Arial" w:hAnsi="Arial" w:cs="Arial"/>
          <w:sz w:val="20"/>
          <w:szCs w:val="20"/>
        </w:rPr>
        <w:t xml:space="preserve"> did not exert hepatotoxic effects at the administered dose.</w:t>
      </w:r>
    </w:p>
    <w:p w14:paraId="427EBFA0" w14:textId="6150AE15" w:rsidR="00F56940" w:rsidRPr="00D70892" w:rsidRDefault="00F56940" w:rsidP="00F56940">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proofErr w:type="gramStart"/>
      <w:r w:rsidRPr="00D70892">
        <w:rPr>
          <w:rFonts w:ascii="Arial" w:hAnsi="Arial" w:cs="Arial"/>
          <w:b/>
          <w:bCs/>
          <w:sz w:val="20"/>
          <w:szCs w:val="20"/>
        </w:rPr>
        <w:t xml:space="preserve">Table </w:t>
      </w:r>
      <w:r w:rsidR="003A0BD1" w:rsidRPr="00D70892">
        <w:rPr>
          <w:rFonts w:ascii="Arial" w:hAnsi="Arial" w:cs="Arial"/>
          <w:b/>
          <w:bCs/>
          <w:sz w:val="20"/>
          <w:szCs w:val="20"/>
        </w:rPr>
        <w:t>2</w:t>
      </w:r>
      <w:r w:rsidRPr="00D70892">
        <w:rPr>
          <w:rFonts w:ascii="Arial" w:hAnsi="Arial" w:cs="Arial"/>
          <w:b/>
          <w:bCs/>
          <w:sz w:val="20"/>
          <w:szCs w:val="20"/>
        </w:rPr>
        <w:t>.</w:t>
      </w:r>
      <w:proofErr w:type="gramEnd"/>
      <w:r w:rsidRPr="00D70892">
        <w:rPr>
          <w:rFonts w:ascii="Arial" w:hAnsi="Arial" w:cs="Arial"/>
          <w:b/>
          <w:bCs/>
          <w:sz w:val="20"/>
          <w:szCs w:val="20"/>
        </w:rPr>
        <w:t xml:space="preserve"> </w:t>
      </w:r>
      <w:commentRangeStart w:id="22"/>
      <w:r w:rsidRPr="00D70892">
        <w:rPr>
          <w:rFonts w:ascii="Arial" w:hAnsi="Arial" w:cs="Arial"/>
          <w:b/>
          <w:bCs/>
          <w:sz w:val="20"/>
          <w:szCs w:val="20"/>
        </w:rPr>
        <w:t xml:space="preserve">Effect of </w:t>
      </w:r>
      <w:commentRangeStart w:id="23"/>
      <w:proofErr w:type="spellStart"/>
      <w:r w:rsidRPr="00D70892">
        <w:rPr>
          <w:rFonts w:ascii="Arial" w:hAnsi="Arial" w:cs="Arial"/>
          <w:b/>
          <w:bCs/>
          <w:sz w:val="20"/>
          <w:szCs w:val="20"/>
        </w:rPr>
        <w:t>Carica</w:t>
      </w:r>
      <w:proofErr w:type="spellEnd"/>
      <w:r w:rsidRPr="00D70892">
        <w:rPr>
          <w:rFonts w:ascii="Arial" w:hAnsi="Arial" w:cs="Arial"/>
          <w:b/>
          <w:bCs/>
          <w:sz w:val="20"/>
          <w:szCs w:val="20"/>
        </w:rPr>
        <w:t xml:space="preserve"> papaya </w:t>
      </w:r>
      <w:commentRangeEnd w:id="23"/>
      <w:r w:rsidR="00A1315D" w:rsidRPr="00D70892">
        <w:rPr>
          <w:rStyle w:val="CommentReference"/>
          <w:rFonts w:ascii="Arial" w:eastAsiaTheme="minorEastAsia" w:hAnsi="Arial" w:cs="Arial"/>
          <w:kern w:val="0"/>
          <w:sz w:val="20"/>
          <w:szCs w:val="20"/>
          <w:lang w:eastAsia="en-IN"/>
          <w14:ligatures w14:val="none"/>
        </w:rPr>
        <w:commentReference w:id="23"/>
      </w:r>
      <w:r w:rsidRPr="00D70892">
        <w:rPr>
          <w:rFonts w:ascii="Arial" w:hAnsi="Arial" w:cs="Arial"/>
          <w:b/>
          <w:bCs/>
          <w:sz w:val="20"/>
          <w:szCs w:val="20"/>
        </w:rPr>
        <w:t xml:space="preserve">aqueous seed extract on average values (Mean ± SE) of haematological </w:t>
      </w:r>
      <w:r w:rsidR="003A0BD1" w:rsidRPr="00D70892">
        <w:rPr>
          <w:rFonts w:ascii="Arial" w:hAnsi="Arial" w:cs="Arial"/>
          <w:b/>
          <w:bCs/>
          <w:sz w:val="20"/>
          <w:szCs w:val="20"/>
        </w:rPr>
        <w:t xml:space="preserve">and biochemical </w:t>
      </w:r>
      <w:r w:rsidRPr="00D70892">
        <w:rPr>
          <w:rFonts w:ascii="Arial" w:hAnsi="Arial" w:cs="Arial"/>
          <w:b/>
          <w:bCs/>
          <w:sz w:val="20"/>
          <w:szCs w:val="20"/>
        </w:rPr>
        <w:t>parameters in goats infested with gastrointestinal helminths</w:t>
      </w:r>
      <w:commentRangeEnd w:id="22"/>
      <w:r w:rsidR="00A1315D" w:rsidRPr="00D70892">
        <w:rPr>
          <w:rStyle w:val="CommentReference"/>
          <w:rFonts w:ascii="Arial" w:eastAsiaTheme="minorEastAsia" w:hAnsi="Arial" w:cs="Arial"/>
          <w:kern w:val="0"/>
          <w:sz w:val="20"/>
          <w:szCs w:val="20"/>
          <w:lang w:eastAsia="en-IN"/>
          <w14:ligatures w14:val="none"/>
        </w:rPr>
        <w:commentReference w:id="22"/>
      </w:r>
    </w:p>
    <w:tbl>
      <w:tblPr>
        <w:tblStyle w:val="TableGrid"/>
        <w:tblW w:w="5000" w:type="pct"/>
        <w:tblLook w:val="04A0" w:firstRow="1" w:lastRow="0" w:firstColumn="1" w:lastColumn="0" w:noHBand="0" w:noVBand="1"/>
      </w:tblPr>
      <w:tblGrid>
        <w:gridCol w:w="2196"/>
        <w:gridCol w:w="1708"/>
        <w:gridCol w:w="1815"/>
        <w:gridCol w:w="1708"/>
        <w:gridCol w:w="1815"/>
      </w:tblGrid>
      <w:tr w:rsidR="00C3381C" w:rsidRPr="00D70892" w14:paraId="4CAA8611" w14:textId="6590A783" w:rsidTr="00012EAA">
        <w:tc>
          <w:tcPr>
            <w:tcW w:w="1188" w:type="pct"/>
            <w:vMerge w:val="restart"/>
          </w:tcPr>
          <w:p w14:paraId="5454D633" w14:textId="02FE12B7"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Parameter\Group</w:t>
            </w:r>
          </w:p>
        </w:tc>
        <w:tc>
          <w:tcPr>
            <w:tcW w:w="1906" w:type="pct"/>
            <w:gridSpan w:val="2"/>
          </w:tcPr>
          <w:p w14:paraId="14F13D86" w14:textId="70DFFA8F"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Control</w:t>
            </w:r>
          </w:p>
        </w:tc>
        <w:tc>
          <w:tcPr>
            <w:tcW w:w="1906" w:type="pct"/>
            <w:gridSpan w:val="2"/>
          </w:tcPr>
          <w:p w14:paraId="79773F01" w14:textId="747D2BBE" w:rsidR="00C3381C" w:rsidRPr="00D70892" w:rsidRDefault="00C3381C" w:rsidP="00F56940">
            <w:pPr>
              <w:pStyle w:val="ListParagraph"/>
              <w:spacing w:before="120" w:after="120" w:line="240" w:lineRule="auto"/>
              <w:ind w:left="0"/>
              <w:jc w:val="center"/>
              <w:rPr>
                <w:rFonts w:ascii="Arial" w:hAnsi="Arial" w:cs="Arial"/>
                <w:b/>
                <w:bCs/>
                <w:sz w:val="20"/>
                <w:szCs w:val="20"/>
              </w:rPr>
            </w:pPr>
            <w:commentRangeStart w:id="24"/>
            <w:r w:rsidRPr="00D70892">
              <w:rPr>
                <w:rFonts w:ascii="Arial" w:hAnsi="Arial" w:cs="Arial"/>
                <w:b/>
                <w:bCs/>
                <w:sz w:val="20"/>
                <w:szCs w:val="20"/>
              </w:rPr>
              <w:t>Cucurbita pepo</w:t>
            </w:r>
            <w:commentRangeEnd w:id="24"/>
            <w:r w:rsidR="00D207C7" w:rsidRPr="00D70892">
              <w:rPr>
                <w:rStyle w:val="CommentReference"/>
                <w:rFonts w:ascii="Arial" w:eastAsiaTheme="minorEastAsia" w:hAnsi="Arial" w:cs="Arial"/>
                <w:kern w:val="0"/>
                <w:sz w:val="20"/>
                <w:szCs w:val="20"/>
                <w:lang w:eastAsia="en-IN"/>
                <w14:ligatures w14:val="none"/>
              </w:rPr>
              <w:commentReference w:id="24"/>
            </w:r>
          </w:p>
        </w:tc>
      </w:tr>
      <w:tr w:rsidR="00C3381C" w:rsidRPr="00D70892" w14:paraId="3E6AA90B" w14:textId="6EB8F136" w:rsidTr="002A4570">
        <w:tc>
          <w:tcPr>
            <w:tcW w:w="1188" w:type="pct"/>
            <w:vMerge/>
          </w:tcPr>
          <w:p w14:paraId="44E6234D" w14:textId="77777777" w:rsidR="00C3381C" w:rsidRPr="00D70892" w:rsidRDefault="00C3381C" w:rsidP="00F56940">
            <w:pPr>
              <w:pStyle w:val="ListParagraph"/>
              <w:spacing w:before="120" w:after="120" w:line="240" w:lineRule="auto"/>
              <w:ind w:left="0"/>
              <w:jc w:val="both"/>
              <w:rPr>
                <w:rFonts w:ascii="Arial" w:hAnsi="Arial" w:cs="Arial"/>
                <w:sz w:val="20"/>
                <w:szCs w:val="20"/>
              </w:rPr>
            </w:pPr>
          </w:p>
        </w:tc>
        <w:tc>
          <w:tcPr>
            <w:tcW w:w="924" w:type="pct"/>
          </w:tcPr>
          <w:p w14:paraId="3CDBA5B4" w14:textId="77777777"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Pre-treatment</w:t>
            </w:r>
          </w:p>
          <w:p w14:paraId="4BE514BE" w14:textId="3B7610D3"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(0 day)</w:t>
            </w:r>
          </w:p>
        </w:tc>
        <w:tc>
          <w:tcPr>
            <w:tcW w:w="982" w:type="pct"/>
          </w:tcPr>
          <w:p w14:paraId="6EACEEDD" w14:textId="77777777"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Post-treatment</w:t>
            </w:r>
          </w:p>
          <w:p w14:paraId="6228DCAF" w14:textId="59DCA682"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(21</w:t>
            </w:r>
            <w:r w:rsidRPr="00D70892">
              <w:rPr>
                <w:rFonts w:ascii="Arial" w:hAnsi="Arial" w:cs="Arial"/>
                <w:b/>
                <w:bCs/>
                <w:sz w:val="20"/>
                <w:szCs w:val="20"/>
                <w:vertAlign w:val="superscript"/>
              </w:rPr>
              <w:t>st</w:t>
            </w:r>
            <w:r w:rsidRPr="00D70892">
              <w:rPr>
                <w:rFonts w:ascii="Arial" w:hAnsi="Arial" w:cs="Arial"/>
                <w:b/>
                <w:bCs/>
                <w:sz w:val="20"/>
                <w:szCs w:val="20"/>
              </w:rPr>
              <w:t xml:space="preserve"> day)</w:t>
            </w:r>
          </w:p>
        </w:tc>
        <w:tc>
          <w:tcPr>
            <w:tcW w:w="924" w:type="pct"/>
          </w:tcPr>
          <w:p w14:paraId="280BBEFC" w14:textId="77777777"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Pre-treatment</w:t>
            </w:r>
          </w:p>
          <w:p w14:paraId="2E5999B6" w14:textId="1596C28B"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(0 day)</w:t>
            </w:r>
          </w:p>
        </w:tc>
        <w:tc>
          <w:tcPr>
            <w:tcW w:w="982" w:type="pct"/>
          </w:tcPr>
          <w:p w14:paraId="7E9280E4" w14:textId="77777777"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Post-treatment</w:t>
            </w:r>
          </w:p>
          <w:p w14:paraId="480A9B87" w14:textId="702A9D4F" w:rsidR="00C3381C" w:rsidRPr="00D70892" w:rsidRDefault="00C3381C" w:rsidP="00F56940">
            <w:pPr>
              <w:pStyle w:val="ListParagraph"/>
              <w:spacing w:before="120" w:after="120" w:line="240" w:lineRule="auto"/>
              <w:ind w:left="0"/>
              <w:jc w:val="center"/>
              <w:rPr>
                <w:rFonts w:ascii="Arial" w:hAnsi="Arial" w:cs="Arial"/>
                <w:b/>
                <w:bCs/>
                <w:sz w:val="20"/>
                <w:szCs w:val="20"/>
              </w:rPr>
            </w:pPr>
            <w:r w:rsidRPr="00D70892">
              <w:rPr>
                <w:rFonts w:ascii="Arial" w:hAnsi="Arial" w:cs="Arial"/>
                <w:b/>
                <w:bCs/>
                <w:sz w:val="20"/>
                <w:szCs w:val="20"/>
              </w:rPr>
              <w:t>(21</w:t>
            </w:r>
            <w:r w:rsidRPr="00D70892">
              <w:rPr>
                <w:rFonts w:ascii="Arial" w:hAnsi="Arial" w:cs="Arial"/>
                <w:b/>
                <w:bCs/>
                <w:sz w:val="20"/>
                <w:szCs w:val="20"/>
                <w:vertAlign w:val="superscript"/>
              </w:rPr>
              <w:t>st</w:t>
            </w:r>
            <w:r w:rsidRPr="00D70892">
              <w:rPr>
                <w:rFonts w:ascii="Arial" w:hAnsi="Arial" w:cs="Arial"/>
                <w:b/>
                <w:bCs/>
                <w:sz w:val="20"/>
                <w:szCs w:val="20"/>
              </w:rPr>
              <w:t xml:space="preserve"> day)</w:t>
            </w:r>
          </w:p>
        </w:tc>
      </w:tr>
      <w:tr w:rsidR="00C3381C" w:rsidRPr="00D70892" w14:paraId="777ADA1E" w14:textId="59FD6E12" w:rsidTr="00466D61">
        <w:tc>
          <w:tcPr>
            <w:tcW w:w="1188" w:type="pct"/>
          </w:tcPr>
          <w:p w14:paraId="1CE3E13E" w14:textId="6A783FBF" w:rsidR="00C3381C" w:rsidRPr="00D70892" w:rsidRDefault="00F56940" w:rsidP="00F56940">
            <w:pPr>
              <w:pStyle w:val="ListParagraph"/>
              <w:spacing w:before="120" w:after="120" w:line="240" w:lineRule="auto"/>
              <w:ind w:left="0"/>
              <w:jc w:val="both"/>
              <w:rPr>
                <w:rFonts w:ascii="Arial" w:hAnsi="Arial" w:cs="Arial"/>
                <w:sz w:val="20"/>
                <w:szCs w:val="20"/>
              </w:rPr>
            </w:pPr>
            <w:r w:rsidRPr="00D70892">
              <w:rPr>
                <w:rFonts w:ascii="Arial" w:hAnsi="Arial" w:cs="Arial"/>
                <w:b/>
                <w:sz w:val="20"/>
                <w:szCs w:val="20"/>
              </w:rPr>
              <w:t>H</w:t>
            </w:r>
            <w:r w:rsidR="00C3381C" w:rsidRPr="00D70892">
              <w:rPr>
                <w:rFonts w:ascii="Arial" w:hAnsi="Arial" w:cs="Arial"/>
                <w:b/>
                <w:sz w:val="20"/>
                <w:szCs w:val="20"/>
              </w:rPr>
              <w:t>aemoglobin (g/dl)</w:t>
            </w:r>
          </w:p>
        </w:tc>
        <w:tc>
          <w:tcPr>
            <w:tcW w:w="924" w:type="pct"/>
          </w:tcPr>
          <w:p w14:paraId="2421B1E4" w14:textId="77777777" w:rsidR="00C3381C" w:rsidRPr="00D70892" w:rsidRDefault="00C3381C" w:rsidP="00F56940">
            <w:pPr>
              <w:spacing w:before="80" w:after="80" w:line="240" w:lineRule="auto"/>
              <w:jc w:val="center"/>
              <w:rPr>
                <w:rFonts w:ascii="Arial" w:hAnsi="Arial" w:cs="Arial"/>
                <w:sz w:val="20"/>
                <w:szCs w:val="20"/>
              </w:rPr>
            </w:pPr>
            <w:r w:rsidRPr="00D70892">
              <w:rPr>
                <w:rFonts w:ascii="Arial" w:hAnsi="Arial" w:cs="Arial"/>
                <w:sz w:val="20"/>
                <w:szCs w:val="20"/>
              </w:rPr>
              <w:t>8.14</w:t>
            </w:r>
            <w:r w:rsidRPr="00D70892">
              <w:rPr>
                <w:rFonts w:ascii="Arial" w:hAnsi="Arial" w:cs="Arial"/>
                <w:sz w:val="20"/>
                <w:szCs w:val="20"/>
                <w:vertAlign w:val="superscript"/>
              </w:rPr>
              <w:t>b</w:t>
            </w:r>
          </w:p>
          <w:p w14:paraId="6D44BD9F" w14:textId="3BB24395" w:rsidR="00C3381C" w:rsidRPr="00D70892" w:rsidRDefault="00C3381C" w:rsidP="00F56940">
            <w:pPr>
              <w:pStyle w:val="ListParagraph"/>
              <w:spacing w:before="120" w:after="120" w:line="240" w:lineRule="auto"/>
              <w:ind w:left="0"/>
              <w:jc w:val="center"/>
              <w:rPr>
                <w:rFonts w:ascii="Arial" w:hAnsi="Arial" w:cs="Arial"/>
                <w:sz w:val="20"/>
                <w:szCs w:val="20"/>
              </w:rPr>
            </w:pPr>
            <w:r w:rsidRPr="00D70892">
              <w:rPr>
                <w:rFonts w:ascii="Arial" w:hAnsi="Arial" w:cs="Arial"/>
                <w:sz w:val="20"/>
                <w:szCs w:val="20"/>
              </w:rPr>
              <w:t>± 0.10</w:t>
            </w:r>
          </w:p>
        </w:tc>
        <w:tc>
          <w:tcPr>
            <w:tcW w:w="982" w:type="pct"/>
          </w:tcPr>
          <w:p w14:paraId="40121F6B" w14:textId="77777777" w:rsidR="00C3381C" w:rsidRPr="00D70892" w:rsidRDefault="00C3381C" w:rsidP="00F56940">
            <w:pPr>
              <w:spacing w:before="80" w:after="80" w:line="240" w:lineRule="auto"/>
              <w:jc w:val="center"/>
              <w:rPr>
                <w:rFonts w:ascii="Arial" w:hAnsi="Arial" w:cs="Arial"/>
                <w:sz w:val="20"/>
                <w:szCs w:val="20"/>
              </w:rPr>
            </w:pPr>
            <w:r w:rsidRPr="00D70892">
              <w:rPr>
                <w:rFonts w:ascii="Arial" w:hAnsi="Arial" w:cs="Arial"/>
                <w:sz w:val="20"/>
                <w:szCs w:val="20"/>
              </w:rPr>
              <w:t>8.21</w:t>
            </w:r>
            <w:r w:rsidRPr="00D70892">
              <w:rPr>
                <w:rFonts w:ascii="Arial" w:hAnsi="Arial" w:cs="Arial"/>
                <w:sz w:val="20"/>
                <w:szCs w:val="20"/>
                <w:vertAlign w:val="superscript"/>
              </w:rPr>
              <w:t>b</w:t>
            </w:r>
          </w:p>
          <w:p w14:paraId="28D77232" w14:textId="124C1AB3" w:rsidR="00C3381C" w:rsidRPr="00D70892" w:rsidRDefault="00C3381C" w:rsidP="00F56940">
            <w:pPr>
              <w:pStyle w:val="ListParagraph"/>
              <w:spacing w:before="120" w:after="120" w:line="240" w:lineRule="auto"/>
              <w:ind w:left="0"/>
              <w:jc w:val="center"/>
              <w:rPr>
                <w:rFonts w:ascii="Arial" w:hAnsi="Arial" w:cs="Arial"/>
                <w:sz w:val="20"/>
                <w:szCs w:val="20"/>
              </w:rPr>
            </w:pPr>
            <w:r w:rsidRPr="00D70892">
              <w:rPr>
                <w:rFonts w:ascii="Arial" w:hAnsi="Arial" w:cs="Arial"/>
                <w:sz w:val="20"/>
                <w:szCs w:val="20"/>
              </w:rPr>
              <w:t>± 0.11</w:t>
            </w:r>
          </w:p>
        </w:tc>
        <w:tc>
          <w:tcPr>
            <w:tcW w:w="924" w:type="pct"/>
          </w:tcPr>
          <w:p w14:paraId="0563C0C6" w14:textId="77777777" w:rsidR="00C3381C" w:rsidRPr="00D70892" w:rsidRDefault="00C3381C" w:rsidP="00F56940">
            <w:pPr>
              <w:spacing w:before="80" w:after="80" w:line="240" w:lineRule="auto"/>
              <w:jc w:val="center"/>
              <w:rPr>
                <w:rFonts w:ascii="Arial" w:hAnsi="Arial" w:cs="Arial"/>
                <w:sz w:val="20"/>
                <w:szCs w:val="20"/>
              </w:rPr>
            </w:pPr>
            <w:r w:rsidRPr="00D70892">
              <w:rPr>
                <w:rFonts w:ascii="Arial" w:hAnsi="Arial" w:cs="Arial"/>
                <w:sz w:val="20"/>
                <w:szCs w:val="20"/>
              </w:rPr>
              <w:t>7.08</w:t>
            </w:r>
            <w:r w:rsidRPr="00D70892">
              <w:rPr>
                <w:rFonts w:ascii="Arial" w:hAnsi="Arial" w:cs="Arial"/>
                <w:sz w:val="20"/>
                <w:szCs w:val="20"/>
                <w:vertAlign w:val="superscript"/>
              </w:rPr>
              <w:t>c</w:t>
            </w:r>
          </w:p>
          <w:p w14:paraId="012B5C26" w14:textId="5EE70F85" w:rsidR="00C3381C" w:rsidRPr="00D70892" w:rsidRDefault="00C3381C" w:rsidP="00F56940">
            <w:pPr>
              <w:pStyle w:val="ListParagraph"/>
              <w:spacing w:before="120" w:after="120" w:line="240" w:lineRule="auto"/>
              <w:ind w:left="0"/>
              <w:jc w:val="center"/>
              <w:rPr>
                <w:rFonts w:ascii="Arial" w:hAnsi="Arial" w:cs="Arial"/>
                <w:sz w:val="20"/>
                <w:szCs w:val="20"/>
              </w:rPr>
            </w:pPr>
            <w:r w:rsidRPr="00D70892">
              <w:rPr>
                <w:rFonts w:ascii="Arial" w:hAnsi="Arial" w:cs="Arial"/>
                <w:sz w:val="20"/>
                <w:szCs w:val="20"/>
              </w:rPr>
              <w:t>± 0.91</w:t>
            </w:r>
          </w:p>
        </w:tc>
        <w:tc>
          <w:tcPr>
            <w:tcW w:w="982" w:type="pct"/>
          </w:tcPr>
          <w:p w14:paraId="660B338C" w14:textId="77777777" w:rsidR="00C3381C" w:rsidRPr="00D70892" w:rsidRDefault="00C3381C" w:rsidP="00F56940">
            <w:pPr>
              <w:spacing w:before="80" w:after="80" w:line="240" w:lineRule="auto"/>
              <w:jc w:val="center"/>
              <w:rPr>
                <w:rFonts w:ascii="Arial" w:hAnsi="Arial" w:cs="Arial"/>
                <w:sz w:val="20"/>
                <w:szCs w:val="20"/>
              </w:rPr>
            </w:pPr>
            <w:r w:rsidRPr="00D70892">
              <w:rPr>
                <w:rFonts w:ascii="Arial" w:hAnsi="Arial" w:cs="Arial"/>
                <w:sz w:val="20"/>
                <w:szCs w:val="20"/>
              </w:rPr>
              <w:t>7.97</w:t>
            </w:r>
            <w:r w:rsidRPr="00D70892">
              <w:rPr>
                <w:rFonts w:ascii="Arial" w:hAnsi="Arial" w:cs="Arial"/>
                <w:sz w:val="20"/>
                <w:szCs w:val="20"/>
                <w:vertAlign w:val="superscript"/>
              </w:rPr>
              <w:t>b</w:t>
            </w:r>
          </w:p>
          <w:p w14:paraId="6A74952F" w14:textId="56C568CF" w:rsidR="00C3381C" w:rsidRPr="00D70892" w:rsidRDefault="00C3381C" w:rsidP="00F56940">
            <w:pPr>
              <w:pStyle w:val="ListParagraph"/>
              <w:spacing w:before="120" w:after="120" w:line="240" w:lineRule="auto"/>
              <w:ind w:left="0"/>
              <w:jc w:val="center"/>
              <w:rPr>
                <w:rFonts w:ascii="Arial" w:hAnsi="Arial" w:cs="Arial"/>
                <w:sz w:val="20"/>
                <w:szCs w:val="20"/>
              </w:rPr>
            </w:pPr>
            <w:r w:rsidRPr="00D70892">
              <w:rPr>
                <w:rFonts w:ascii="Arial" w:hAnsi="Arial" w:cs="Arial"/>
                <w:sz w:val="20"/>
                <w:szCs w:val="20"/>
              </w:rPr>
              <w:t>± 0.37</w:t>
            </w:r>
          </w:p>
        </w:tc>
      </w:tr>
      <w:tr w:rsidR="00C3381C" w:rsidRPr="00D70892" w14:paraId="0B7106F6" w14:textId="77777777" w:rsidTr="00466D61">
        <w:tc>
          <w:tcPr>
            <w:tcW w:w="1188" w:type="pct"/>
          </w:tcPr>
          <w:p w14:paraId="652D0272" w14:textId="482276AC" w:rsidR="00C3381C" w:rsidRPr="00D70892" w:rsidRDefault="00191C08" w:rsidP="00F56940">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PCV</w:t>
            </w:r>
            <w:r w:rsidR="00C3381C" w:rsidRPr="00D70892">
              <w:rPr>
                <w:rFonts w:ascii="Arial" w:hAnsi="Arial" w:cs="Arial"/>
                <w:b/>
                <w:sz w:val="20"/>
                <w:szCs w:val="20"/>
              </w:rPr>
              <w:t xml:space="preserve"> (%)</w:t>
            </w:r>
          </w:p>
        </w:tc>
        <w:tc>
          <w:tcPr>
            <w:tcW w:w="924" w:type="pct"/>
          </w:tcPr>
          <w:p w14:paraId="07268334" w14:textId="77777777" w:rsidR="00C3381C" w:rsidRPr="00D70892" w:rsidRDefault="00C3381C" w:rsidP="00F56940">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28.80</w:t>
            </w:r>
            <w:r w:rsidRPr="00D70892">
              <w:rPr>
                <w:rFonts w:ascii="Arial" w:eastAsia="Times New Roman" w:hAnsi="Arial" w:cs="Arial"/>
                <w:sz w:val="20"/>
                <w:szCs w:val="20"/>
                <w:vertAlign w:val="superscript"/>
              </w:rPr>
              <w:t>a</w:t>
            </w:r>
          </w:p>
          <w:p w14:paraId="0AC3C92D" w14:textId="6B8415AA"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1.12</w:t>
            </w:r>
          </w:p>
        </w:tc>
        <w:tc>
          <w:tcPr>
            <w:tcW w:w="982" w:type="pct"/>
          </w:tcPr>
          <w:p w14:paraId="17832342" w14:textId="77777777" w:rsidR="00C3381C" w:rsidRPr="00D70892" w:rsidRDefault="00C3381C" w:rsidP="00F56940">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28.20</w:t>
            </w:r>
            <w:r w:rsidRPr="00D70892">
              <w:rPr>
                <w:rFonts w:ascii="Arial" w:eastAsia="Times New Roman" w:hAnsi="Arial" w:cs="Arial"/>
                <w:sz w:val="20"/>
                <w:szCs w:val="20"/>
                <w:vertAlign w:val="superscript"/>
              </w:rPr>
              <w:t>a</w:t>
            </w:r>
          </w:p>
          <w:p w14:paraId="14097D32" w14:textId="1CEC531A"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1.21</w:t>
            </w:r>
          </w:p>
        </w:tc>
        <w:tc>
          <w:tcPr>
            <w:tcW w:w="924" w:type="pct"/>
          </w:tcPr>
          <w:p w14:paraId="3A4A16B2" w14:textId="77777777" w:rsidR="00C3381C" w:rsidRPr="00D70892" w:rsidRDefault="00C3381C" w:rsidP="00F56940">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25.50</w:t>
            </w:r>
            <w:r w:rsidRPr="00D70892">
              <w:rPr>
                <w:rFonts w:ascii="Arial" w:eastAsia="Times New Roman" w:hAnsi="Arial" w:cs="Arial"/>
                <w:sz w:val="20"/>
                <w:szCs w:val="20"/>
                <w:vertAlign w:val="superscript"/>
              </w:rPr>
              <w:t>a</w:t>
            </w:r>
          </w:p>
          <w:p w14:paraId="4B14A355" w14:textId="47558CE5"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1.02</w:t>
            </w:r>
          </w:p>
        </w:tc>
        <w:tc>
          <w:tcPr>
            <w:tcW w:w="982" w:type="pct"/>
          </w:tcPr>
          <w:p w14:paraId="1AEEDA25" w14:textId="77777777" w:rsidR="00C3381C" w:rsidRPr="00D70892" w:rsidRDefault="00C3381C" w:rsidP="00F56940">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29.40</w:t>
            </w:r>
            <w:r w:rsidRPr="00D70892">
              <w:rPr>
                <w:rFonts w:ascii="Arial" w:eastAsia="Times New Roman" w:hAnsi="Arial" w:cs="Arial"/>
                <w:sz w:val="20"/>
                <w:szCs w:val="20"/>
                <w:vertAlign w:val="superscript"/>
              </w:rPr>
              <w:t>b</w:t>
            </w:r>
          </w:p>
          <w:p w14:paraId="71CAC83F" w14:textId="58338260"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1.88</w:t>
            </w:r>
          </w:p>
        </w:tc>
      </w:tr>
      <w:tr w:rsidR="00C3381C" w:rsidRPr="00D70892" w14:paraId="2A4909BB" w14:textId="77777777" w:rsidTr="00466D61">
        <w:tc>
          <w:tcPr>
            <w:tcW w:w="1188" w:type="pct"/>
          </w:tcPr>
          <w:p w14:paraId="78802DC7" w14:textId="07B644D9" w:rsidR="00C3381C" w:rsidRPr="00D70892" w:rsidRDefault="00191C08" w:rsidP="00F56940">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TEC</w:t>
            </w:r>
            <w:r w:rsidR="00C3381C" w:rsidRPr="00D70892">
              <w:rPr>
                <w:rFonts w:ascii="Arial" w:hAnsi="Arial" w:cs="Arial"/>
                <w:b/>
                <w:sz w:val="20"/>
                <w:szCs w:val="20"/>
              </w:rPr>
              <w:t xml:space="preserve"> (millions/</w:t>
            </w:r>
            <w:proofErr w:type="spellStart"/>
            <w:r w:rsidR="00C3381C" w:rsidRPr="00D70892">
              <w:rPr>
                <w:rFonts w:ascii="Arial" w:hAnsi="Arial" w:cs="Arial"/>
                <w:b/>
                <w:sz w:val="20"/>
                <w:szCs w:val="20"/>
              </w:rPr>
              <w:t>cumm</w:t>
            </w:r>
            <w:proofErr w:type="spellEnd"/>
            <w:r w:rsidR="00C3381C" w:rsidRPr="00D70892">
              <w:rPr>
                <w:rFonts w:ascii="Arial" w:hAnsi="Arial" w:cs="Arial"/>
                <w:b/>
                <w:sz w:val="20"/>
                <w:szCs w:val="20"/>
              </w:rPr>
              <w:t>)</w:t>
            </w:r>
          </w:p>
        </w:tc>
        <w:tc>
          <w:tcPr>
            <w:tcW w:w="924" w:type="pct"/>
          </w:tcPr>
          <w:p w14:paraId="3879761A" w14:textId="77777777" w:rsidR="00C3381C" w:rsidRPr="00D70892" w:rsidRDefault="00C3381C" w:rsidP="00F56940">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6.36</w:t>
            </w:r>
            <w:r w:rsidRPr="00D70892">
              <w:rPr>
                <w:rFonts w:ascii="Arial" w:eastAsia="Times New Roman" w:hAnsi="Arial" w:cs="Arial"/>
                <w:sz w:val="20"/>
                <w:szCs w:val="20"/>
                <w:vertAlign w:val="superscript"/>
              </w:rPr>
              <w:t>c</w:t>
            </w:r>
          </w:p>
          <w:p w14:paraId="686929B2" w14:textId="26B49A10" w:rsidR="00C3381C" w:rsidRPr="00D70892" w:rsidRDefault="00C3381C" w:rsidP="00F56940">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 0.70</w:t>
            </w:r>
          </w:p>
        </w:tc>
        <w:tc>
          <w:tcPr>
            <w:tcW w:w="982" w:type="pct"/>
          </w:tcPr>
          <w:p w14:paraId="3123992E" w14:textId="77777777" w:rsidR="00C3381C" w:rsidRPr="00D70892" w:rsidRDefault="00C3381C" w:rsidP="00F56940">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6.58</w:t>
            </w:r>
            <w:r w:rsidRPr="00D70892">
              <w:rPr>
                <w:rFonts w:ascii="Arial" w:eastAsia="Times New Roman" w:hAnsi="Arial" w:cs="Arial"/>
                <w:sz w:val="20"/>
                <w:szCs w:val="20"/>
                <w:vertAlign w:val="superscript"/>
              </w:rPr>
              <w:t>c</w:t>
            </w:r>
          </w:p>
          <w:p w14:paraId="25717BFD" w14:textId="3DB8525A"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0.55</w:t>
            </w:r>
          </w:p>
        </w:tc>
        <w:tc>
          <w:tcPr>
            <w:tcW w:w="924" w:type="pct"/>
          </w:tcPr>
          <w:p w14:paraId="48DDE514" w14:textId="77777777" w:rsidR="00C3381C" w:rsidRPr="00D70892" w:rsidRDefault="00C3381C" w:rsidP="00F56940">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4.10</w:t>
            </w:r>
            <w:r w:rsidRPr="00D70892">
              <w:rPr>
                <w:rFonts w:ascii="Arial" w:eastAsia="Times New Roman" w:hAnsi="Arial" w:cs="Arial"/>
                <w:sz w:val="20"/>
                <w:szCs w:val="20"/>
                <w:vertAlign w:val="superscript"/>
              </w:rPr>
              <w:t>d</w:t>
            </w:r>
          </w:p>
          <w:p w14:paraId="0DAE6916" w14:textId="03AA1D11"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0.41</w:t>
            </w:r>
          </w:p>
        </w:tc>
        <w:tc>
          <w:tcPr>
            <w:tcW w:w="982" w:type="pct"/>
          </w:tcPr>
          <w:p w14:paraId="3F880BA6" w14:textId="77777777" w:rsidR="00C3381C" w:rsidRPr="00D70892" w:rsidRDefault="00C3381C" w:rsidP="00F56940">
            <w:pPr>
              <w:spacing w:before="60" w:after="60" w:line="240" w:lineRule="auto"/>
              <w:jc w:val="center"/>
              <w:rPr>
                <w:rFonts w:ascii="Arial" w:eastAsia="Times New Roman" w:hAnsi="Arial" w:cs="Arial"/>
                <w:sz w:val="20"/>
                <w:szCs w:val="20"/>
                <w:vertAlign w:val="superscript"/>
              </w:rPr>
            </w:pPr>
            <w:r w:rsidRPr="00D70892">
              <w:rPr>
                <w:rFonts w:ascii="Arial" w:eastAsia="Times New Roman" w:hAnsi="Arial" w:cs="Arial"/>
                <w:sz w:val="20"/>
                <w:szCs w:val="20"/>
              </w:rPr>
              <w:t>8.79</w:t>
            </w:r>
            <w:r w:rsidRPr="00D70892">
              <w:rPr>
                <w:rFonts w:ascii="Arial" w:eastAsia="Times New Roman" w:hAnsi="Arial" w:cs="Arial"/>
                <w:sz w:val="20"/>
                <w:szCs w:val="20"/>
                <w:vertAlign w:val="superscript"/>
              </w:rPr>
              <w:t>b</w:t>
            </w:r>
          </w:p>
          <w:p w14:paraId="7702321A" w14:textId="6133ACDB" w:rsidR="00C3381C" w:rsidRPr="00D70892" w:rsidRDefault="00C3381C" w:rsidP="00F56940">
            <w:pPr>
              <w:spacing w:before="80" w:after="80" w:line="240" w:lineRule="auto"/>
              <w:jc w:val="center"/>
              <w:rPr>
                <w:rFonts w:ascii="Arial" w:hAnsi="Arial" w:cs="Arial"/>
                <w:sz w:val="20"/>
                <w:szCs w:val="20"/>
              </w:rPr>
            </w:pPr>
            <w:r w:rsidRPr="00D70892">
              <w:rPr>
                <w:rFonts w:ascii="Arial" w:eastAsia="Times New Roman" w:hAnsi="Arial" w:cs="Arial"/>
                <w:sz w:val="20"/>
                <w:szCs w:val="20"/>
              </w:rPr>
              <w:t>± 0.55</w:t>
            </w:r>
          </w:p>
        </w:tc>
      </w:tr>
      <w:tr w:rsidR="00E66188" w:rsidRPr="00D70892" w14:paraId="4A81789D" w14:textId="77777777" w:rsidTr="00466D61">
        <w:tc>
          <w:tcPr>
            <w:tcW w:w="1188" w:type="pct"/>
          </w:tcPr>
          <w:p w14:paraId="6AE304D9" w14:textId="77777777"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lastRenderedPageBreak/>
              <w:t xml:space="preserve">TLC </w:t>
            </w:r>
          </w:p>
          <w:p w14:paraId="69A1B08C" w14:textId="223DEE3F"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 xml:space="preserve">(thousand/ </w:t>
            </w:r>
            <w:proofErr w:type="spellStart"/>
            <w:r w:rsidRPr="00D70892">
              <w:rPr>
                <w:rFonts w:ascii="Arial" w:hAnsi="Arial" w:cs="Arial"/>
                <w:b/>
                <w:sz w:val="20"/>
                <w:szCs w:val="20"/>
              </w:rPr>
              <w:t>cumm</w:t>
            </w:r>
            <w:proofErr w:type="spellEnd"/>
            <w:r w:rsidRPr="00D70892">
              <w:rPr>
                <w:rFonts w:ascii="Arial" w:hAnsi="Arial" w:cs="Arial"/>
                <w:b/>
                <w:sz w:val="20"/>
                <w:szCs w:val="20"/>
              </w:rPr>
              <w:t>)</w:t>
            </w:r>
          </w:p>
        </w:tc>
        <w:tc>
          <w:tcPr>
            <w:tcW w:w="924" w:type="pct"/>
          </w:tcPr>
          <w:p w14:paraId="3CE9B2A4" w14:textId="77777777"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12.49</w:t>
            </w:r>
            <w:r w:rsidRPr="00D70892">
              <w:rPr>
                <w:rFonts w:ascii="Arial" w:eastAsia="Times New Roman" w:hAnsi="Arial" w:cs="Arial"/>
                <w:sz w:val="20"/>
                <w:szCs w:val="20"/>
                <w:vertAlign w:val="superscript"/>
              </w:rPr>
              <w:t>b</w:t>
            </w:r>
          </w:p>
          <w:p w14:paraId="7AFECAC4" w14:textId="6C77098E"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0.82</w:t>
            </w:r>
          </w:p>
        </w:tc>
        <w:tc>
          <w:tcPr>
            <w:tcW w:w="982" w:type="pct"/>
          </w:tcPr>
          <w:p w14:paraId="2DB66D78" w14:textId="77777777"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14.29</w:t>
            </w:r>
            <w:r w:rsidRPr="00D70892">
              <w:rPr>
                <w:rFonts w:ascii="Arial" w:eastAsia="Times New Roman" w:hAnsi="Arial" w:cs="Arial"/>
                <w:sz w:val="20"/>
                <w:szCs w:val="20"/>
                <w:vertAlign w:val="superscript"/>
              </w:rPr>
              <w:t>a</w:t>
            </w:r>
          </w:p>
          <w:p w14:paraId="1BB5AE3A" w14:textId="4A926930"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0.86</w:t>
            </w:r>
          </w:p>
        </w:tc>
        <w:tc>
          <w:tcPr>
            <w:tcW w:w="924" w:type="pct"/>
          </w:tcPr>
          <w:p w14:paraId="6DDA330C" w14:textId="77777777"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12.87</w:t>
            </w:r>
            <w:r w:rsidRPr="00D70892">
              <w:rPr>
                <w:rFonts w:ascii="Arial" w:eastAsia="Times New Roman" w:hAnsi="Arial" w:cs="Arial"/>
                <w:sz w:val="20"/>
                <w:szCs w:val="20"/>
                <w:vertAlign w:val="superscript"/>
              </w:rPr>
              <w:t>b</w:t>
            </w:r>
          </w:p>
          <w:p w14:paraId="23E9A5A3" w14:textId="66E540AD"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1.14</w:t>
            </w:r>
          </w:p>
        </w:tc>
        <w:tc>
          <w:tcPr>
            <w:tcW w:w="982" w:type="pct"/>
          </w:tcPr>
          <w:p w14:paraId="03EF2DA7" w14:textId="77777777"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12.38</w:t>
            </w:r>
            <w:r w:rsidRPr="00D70892">
              <w:rPr>
                <w:rFonts w:ascii="Arial" w:eastAsia="Times New Roman" w:hAnsi="Arial" w:cs="Arial"/>
                <w:sz w:val="20"/>
                <w:szCs w:val="20"/>
                <w:vertAlign w:val="superscript"/>
              </w:rPr>
              <w:t>b</w:t>
            </w:r>
          </w:p>
          <w:p w14:paraId="55842B64" w14:textId="09B71C5D"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0.66</w:t>
            </w:r>
          </w:p>
        </w:tc>
      </w:tr>
      <w:tr w:rsidR="00E66188" w:rsidRPr="00D70892" w14:paraId="76AC9AEF" w14:textId="77777777" w:rsidTr="00466D61">
        <w:tc>
          <w:tcPr>
            <w:tcW w:w="1188" w:type="pct"/>
          </w:tcPr>
          <w:p w14:paraId="25229DEC" w14:textId="05A93977"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 xml:space="preserve">Serum total </w:t>
            </w:r>
          </w:p>
          <w:p w14:paraId="35D61BAA" w14:textId="341F057F"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protein (g/dl)</w:t>
            </w:r>
          </w:p>
        </w:tc>
        <w:tc>
          <w:tcPr>
            <w:tcW w:w="924" w:type="pct"/>
          </w:tcPr>
          <w:p w14:paraId="0576A042"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6.78</w:t>
            </w:r>
          </w:p>
          <w:p w14:paraId="71F024EB" w14:textId="32EEC9D0"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0.09</w:t>
            </w:r>
          </w:p>
        </w:tc>
        <w:tc>
          <w:tcPr>
            <w:tcW w:w="982" w:type="pct"/>
          </w:tcPr>
          <w:p w14:paraId="35B3D3EC"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6.76</w:t>
            </w:r>
          </w:p>
          <w:p w14:paraId="24C5353F" w14:textId="4ED5C5D9"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0.11</w:t>
            </w:r>
          </w:p>
        </w:tc>
        <w:tc>
          <w:tcPr>
            <w:tcW w:w="924" w:type="pct"/>
          </w:tcPr>
          <w:p w14:paraId="33C80F07"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6.98</w:t>
            </w:r>
          </w:p>
          <w:p w14:paraId="3C987EB0" w14:textId="1CF54AB3"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0.45</w:t>
            </w:r>
          </w:p>
        </w:tc>
        <w:tc>
          <w:tcPr>
            <w:tcW w:w="982" w:type="pct"/>
          </w:tcPr>
          <w:p w14:paraId="4B3E8391"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6.25</w:t>
            </w:r>
          </w:p>
          <w:p w14:paraId="414106BF" w14:textId="384A2825"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0.68</w:t>
            </w:r>
          </w:p>
        </w:tc>
      </w:tr>
      <w:tr w:rsidR="00E66188" w:rsidRPr="00D70892" w14:paraId="5393EDCE" w14:textId="77777777" w:rsidTr="00466D61">
        <w:tc>
          <w:tcPr>
            <w:tcW w:w="1188" w:type="pct"/>
          </w:tcPr>
          <w:p w14:paraId="7B7169E2" w14:textId="63D56C45"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 xml:space="preserve">Serum </w:t>
            </w:r>
          </w:p>
          <w:p w14:paraId="57A9F230" w14:textId="3C1136D5"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albumin (g/dl)</w:t>
            </w:r>
          </w:p>
        </w:tc>
        <w:tc>
          <w:tcPr>
            <w:tcW w:w="924" w:type="pct"/>
          </w:tcPr>
          <w:p w14:paraId="726EEA22"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2.73</w:t>
            </w:r>
          </w:p>
          <w:p w14:paraId="2DBCF37B" w14:textId="2419104A"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0.13</w:t>
            </w:r>
          </w:p>
        </w:tc>
        <w:tc>
          <w:tcPr>
            <w:tcW w:w="982" w:type="pct"/>
          </w:tcPr>
          <w:p w14:paraId="28D609C7"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2.72</w:t>
            </w:r>
          </w:p>
          <w:p w14:paraId="44D57992" w14:textId="3641E0CC"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0.12</w:t>
            </w:r>
          </w:p>
        </w:tc>
        <w:tc>
          <w:tcPr>
            <w:tcW w:w="924" w:type="pct"/>
          </w:tcPr>
          <w:p w14:paraId="166EEF5A"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3.34</w:t>
            </w:r>
          </w:p>
          <w:p w14:paraId="4CA59F3E" w14:textId="38E11441"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0.25</w:t>
            </w:r>
          </w:p>
        </w:tc>
        <w:tc>
          <w:tcPr>
            <w:tcW w:w="982" w:type="pct"/>
          </w:tcPr>
          <w:p w14:paraId="06CE8128"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3.07</w:t>
            </w:r>
          </w:p>
          <w:p w14:paraId="08DAF920" w14:textId="3B3DA2F0"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0.14</w:t>
            </w:r>
          </w:p>
        </w:tc>
      </w:tr>
      <w:tr w:rsidR="00173563" w:rsidRPr="00D70892" w14:paraId="47A4829F" w14:textId="77777777" w:rsidTr="00466D61">
        <w:tc>
          <w:tcPr>
            <w:tcW w:w="1188" w:type="pct"/>
          </w:tcPr>
          <w:p w14:paraId="683B2A8E" w14:textId="77777777" w:rsidR="006E14DC" w:rsidRPr="00D70892" w:rsidRDefault="00173563"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 xml:space="preserve">Serum </w:t>
            </w:r>
          </w:p>
          <w:p w14:paraId="4948CEF1" w14:textId="7E1E3744" w:rsidR="00173563" w:rsidRPr="00D70892" w:rsidRDefault="00173563"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globulin (g/dl)</w:t>
            </w:r>
          </w:p>
        </w:tc>
        <w:tc>
          <w:tcPr>
            <w:tcW w:w="924" w:type="pct"/>
          </w:tcPr>
          <w:p w14:paraId="1DC9BE64" w14:textId="77777777" w:rsidR="00BF7951"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4.12</w:t>
            </w:r>
          </w:p>
          <w:p w14:paraId="0937D017" w14:textId="5F99D546" w:rsidR="00173563"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 0.11</w:t>
            </w:r>
          </w:p>
        </w:tc>
        <w:tc>
          <w:tcPr>
            <w:tcW w:w="982" w:type="pct"/>
          </w:tcPr>
          <w:p w14:paraId="7ECF6CE8" w14:textId="77777777" w:rsidR="00BF7951"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4.04</w:t>
            </w:r>
          </w:p>
          <w:p w14:paraId="3D36C258" w14:textId="7691ED73" w:rsidR="00173563"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 0.10</w:t>
            </w:r>
          </w:p>
        </w:tc>
        <w:tc>
          <w:tcPr>
            <w:tcW w:w="924" w:type="pct"/>
          </w:tcPr>
          <w:p w14:paraId="67234325" w14:textId="77777777" w:rsidR="00BF7951"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3.64</w:t>
            </w:r>
          </w:p>
          <w:p w14:paraId="78CA8873" w14:textId="4ED3D5FB" w:rsidR="00173563"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 0.41</w:t>
            </w:r>
          </w:p>
        </w:tc>
        <w:tc>
          <w:tcPr>
            <w:tcW w:w="982" w:type="pct"/>
          </w:tcPr>
          <w:p w14:paraId="7FD36D23" w14:textId="77777777" w:rsidR="00BF7951"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3.17</w:t>
            </w:r>
          </w:p>
          <w:p w14:paraId="0CE1A5DB" w14:textId="6D0ED4EB" w:rsidR="00173563" w:rsidRPr="00D70892" w:rsidRDefault="00BF7951" w:rsidP="00BF7951">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 0.64</w:t>
            </w:r>
          </w:p>
        </w:tc>
      </w:tr>
      <w:tr w:rsidR="00E66188" w:rsidRPr="00D70892" w14:paraId="4BCB3F1F" w14:textId="77777777" w:rsidTr="00466D61">
        <w:tc>
          <w:tcPr>
            <w:tcW w:w="1188" w:type="pct"/>
          </w:tcPr>
          <w:p w14:paraId="1052EDC0" w14:textId="2735A874"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AST (IU/L)</w:t>
            </w:r>
          </w:p>
        </w:tc>
        <w:tc>
          <w:tcPr>
            <w:tcW w:w="924" w:type="pct"/>
          </w:tcPr>
          <w:p w14:paraId="44EE3A0E"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96.81</w:t>
            </w:r>
          </w:p>
          <w:p w14:paraId="5877A39C" w14:textId="0236000F" w:rsidR="00E66188" w:rsidRPr="00D70892" w:rsidRDefault="00E66188" w:rsidP="00E66188">
            <w:pPr>
              <w:spacing w:before="60" w:after="60" w:line="240" w:lineRule="auto"/>
              <w:jc w:val="center"/>
              <w:rPr>
                <w:rFonts w:ascii="Arial" w:eastAsia="Times New Roman" w:hAnsi="Arial" w:cs="Arial"/>
                <w:sz w:val="20"/>
                <w:szCs w:val="20"/>
              </w:rPr>
            </w:pPr>
            <w:r w:rsidRPr="00D70892">
              <w:rPr>
                <w:rFonts w:ascii="Arial" w:eastAsia="Times New Roman" w:hAnsi="Arial" w:cs="Arial"/>
                <w:sz w:val="20"/>
                <w:szCs w:val="20"/>
              </w:rPr>
              <w:t>± 3.93</w:t>
            </w:r>
          </w:p>
        </w:tc>
        <w:tc>
          <w:tcPr>
            <w:tcW w:w="982" w:type="pct"/>
          </w:tcPr>
          <w:p w14:paraId="50744A32" w14:textId="648DEF3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104.46</w:t>
            </w:r>
          </w:p>
          <w:p w14:paraId="00CC6EBE" w14:textId="184F4BC4" w:rsidR="00E66188" w:rsidRPr="00D70892" w:rsidRDefault="00E66188" w:rsidP="00E66188">
            <w:pPr>
              <w:spacing w:before="80" w:after="80" w:line="240" w:lineRule="auto"/>
              <w:jc w:val="center"/>
              <w:rPr>
                <w:rFonts w:ascii="Arial" w:hAnsi="Arial" w:cs="Arial"/>
                <w:sz w:val="20"/>
                <w:szCs w:val="20"/>
              </w:rPr>
            </w:pPr>
            <w:r w:rsidRPr="00D70892">
              <w:rPr>
                <w:rFonts w:ascii="Arial" w:eastAsia="Times New Roman" w:hAnsi="Arial" w:cs="Arial"/>
                <w:sz w:val="20"/>
                <w:szCs w:val="20"/>
              </w:rPr>
              <w:t>±13.50</w:t>
            </w:r>
          </w:p>
        </w:tc>
        <w:tc>
          <w:tcPr>
            <w:tcW w:w="924" w:type="pct"/>
          </w:tcPr>
          <w:p w14:paraId="7FE011B7"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85.62</w:t>
            </w:r>
          </w:p>
          <w:p w14:paraId="3DC1250C" w14:textId="5214A466" w:rsidR="00E66188" w:rsidRPr="00D70892" w:rsidRDefault="00E66188" w:rsidP="00E66188">
            <w:pPr>
              <w:spacing w:before="80" w:after="80" w:line="240" w:lineRule="auto"/>
              <w:jc w:val="center"/>
              <w:rPr>
                <w:rFonts w:ascii="Arial" w:hAnsi="Arial" w:cs="Arial"/>
                <w:sz w:val="20"/>
                <w:szCs w:val="20"/>
              </w:rPr>
            </w:pPr>
            <w:r w:rsidRPr="00D70892">
              <w:rPr>
                <w:rFonts w:ascii="Arial" w:eastAsia="Times New Roman" w:hAnsi="Arial" w:cs="Arial"/>
                <w:sz w:val="20"/>
                <w:szCs w:val="20"/>
              </w:rPr>
              <w:t>± 8.28</w:t>
            </w:r>
          </w:p>
        </w:tc>
        <w:tc>
          <w:tcPr>
            <w:tcW w:w="982" w:type="pct"/>
          </w:tcPr>
          <w:p w14:paraId="1444CF5A"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129.95</w:t>
            </w:r>
          </w:p>
          <w:p w14:paraId="35B715C7" w14:textId="2ED3651F" w:rsidR="00E66188" w:rsidRPr="00D70892" w:rsidRDefault="00E66188" w:rsidP="00E66188">
            <w:pPr>
              <w:spacing w:before="80" w:after="80" w:line="240" w:lineRule="auto"/>
              <w:jc w:val="center"/>
              <w:rPr>
                <w:rFonts w:ascii="Arial" w:hAnsi="Arial" w:cs="Arial"/>
                <w:sz w:val="20"/>
                <w:szCs w:val="20"/>
              </w:rPr>
            </w:pPr>
            <w:r w:rsidRPr="00D70892">
              <w:rPr>
                <w:rFonts w:ascii="Arial" w:eastAsia="Times New Roman" w:hAnsi="Arial" w:cs="Arial"/>
                <w:sz w:val="20"/>
                <w:szCs w:val="20"/>
              </w:rPr>
              <w:t>± 20.65</w:t>
            </w:r>
          </w:p>
        </w:tc>
      </w:tr>
      <w:tr w:rsidR="00E66188" w:rsidRPr="00D70892" w14:paraId="09A4E4B8" w14:textId="77777777" w:rsidTr="00466D61">
        <w:tc>
          <w:tcPr>
            <w:tcW w:w="1188" w:type="pct"/>
          </w:tcPr>
          <w:p w14:paraId="69C6C7CD" w14:textId="6F25C2F7" w:rsidR="00E66188" w:rsidRPr="00D70892" w:rsidRDefault="00E66188" w:rsidP="00E66188">
            <w:pPr>
              <w:pStyle w:val="ListParagraph"/>
              <w:spacing w:before="120" w:after="120" w:line="240" w:lineRule="auto"/>
              <w:ind w:left="0"/>
              <w:jc w:val="both"/>
              <w:rPr>
                <w:rFonts w:ascii="Arial" w:hAnsi="Arial" w:cs="Arial"/>
                <w:b/>
                <w:sz w:val="20"/>
                <w:szCs w:val="20"/>
              </w:rPr>
            </w:pPr>
            <w:r w:rsidRPr="00D70892">
              <w:rPr>
                <w:rFonts w:ascii="Arial" w:hAnsi="Arial" w:cs="Arial"/>
                <w:b/>
                <w:sz w:val="20"/>
                <w:szCs w:val="20"/>
              </w:rPr>
              <w:t>ALT (IU/L)</w:t>
            </w:r>
          </w:p>
        </w:tc>
        <w:tc>
          <w:tcPr>
            <w:tcW w:w="924" w:type="pct"/>
          </w:tcPr>
          <w:p w14:paraId="4FD11284"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20.00</w:t>
            </w:r>
          </w:p>
          <w:p w14:paraId="09EBED80" w14:textId="22C04246"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 0.77</w:t>
            </w:r>
          </w:p>
        </w:tc>
        <w:tc>
          <w:tcPr>
            <w:tcW w:w="982" w:type="pct"/>
          </w:tcPr>
          <w:p w14:paraId="68445516"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19.28</w:t>
            </w:r>
          </w:p>
          <w:p w14:paraId="3B02FBCD" w14:textId="20811512" w:rsidR="00E66188" w:rsidRPr="00D70892" w:rsidRDefault="00E66188" w:rsidP="00E66188">
            <w:pPr>
              <w:spacing w:before="80" w:after="80" w:line="240" w:lineRule="auto"/>
              <w:jc w:val="center"/>
              <w:rPr>
                <w:rFonts w:ascii="Arial" w:hAnsi="Arial" w:cs="Arial"/>
                <w:sz w:val="20"/>
                <w:szCs w:val="20"/>
              </w:rPr>
            </w:pPr>
            <w:r w:rsidRPr="00D70892">
              <w:rPr>
                <w:rFonts w:ascii="Arial" w:eastAsia="Times New Roman" w:hAnsi="Arial" w:cs="Arial"/>
                <w:sz w:val="20"/>
                <w:szCs w:val="20"/>
              </w:rPr>
              <w:t>± 0.85</w:t>
            </w:r>
          </w:p>
        </w:tc>
        <w:tc>
          <w:tcPr>
            <w:tcW w:w="924" w:type="pct"/>
          </w:tcPr>
          <w:p w14:paraId="29B53AA7"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20.32</w:t>
            </w:r>
          </w:p>
          <w:p w14:paraId="7C82B911" w14:textId="2897F19C" w:rsidR="00E66188" w:rsidRPr="00D70892" w:rsidRDefault="00E66188" w:rsidP="00E66188">
            <w:pPr>
              <w:spacing w:before="80" w:after="80" w:line="240" w:lineRule="auto"/>
              <w:jc w:val="center"/>
              <w:rPr>
                <w:rFonts w:ascii="Arial" w:hAnsi="Arial" w:cs="Arial"/>
                <w:sz w:val="20"/>
                <w:szCs w:val="20"/>
              </w:rPr>
            </w:pPr>
            <w:r w:rsidRPr="00D70892">
              <w:rPr>
                <w:rFonts w:ascii="Arial" w:eastAsia="Times New Roman" w:hAnsi="Arial" w:cs="Arial"/>
                <w:sz w:val="20"/>
                <w:szCs w:val="20"/>
              </w:rPr>
              <w:t>± 2.13</w:t>
            </w:r>
          </w:p>
        </w:tc>
        <w:tc>
          <w:tcPr>
            <w:tcW w:w="982" w:type="pct"/>
          </w:tcPr>
          <w:p w14:paraId="705EBC78" w14:textId="77777777" w:rsidR="00E66188" w:rsidRPr="00D70892" w:rsidRDefault="00E66188" w:rsidP="00E66188">
            <w:pPr>
              <w:spacing w:before="80" w:after="80" w:line="240" w:lineRule="auto"/>
              <w:jc w:val="center"/>
              <w:rPr>
                <w:rFonts w:ascii="Arial" w:eastAsia="Times New Roman" w:hAnsi="Arial" w:cs="Arial"/>
                <w:sz w:val="20"/>
                <w:szCs w:val="20"/>
              </w:rPr>
            </w:pPr>
            <w:r w:rsidRPr="00D70892">
              <w:rPr>
                <w:rFonts w:ascii="Arial" w:eastAsia="Times New Roman" w:hAnsi="Arial" w:cs="Arial"/>
                <w:sz w:val="20"/>
                <w:szCs w:val="20"/>
              </w:rPr>
              <w:t>17.89</w:t>
            </w:r>
          </w:p>
          <w:p w14:paraId="3E02B9F6" w14:textId="7D71362F" w:rsidR="00E66188" w:rsidRPr="00D70892" w:rsidRDefault="00E66188" w:rsidP="00E66188">
            <w:pPr>
              <w:spacing w:before="80" w:after="80" w:line="240" w:lineRule="auto"/>
              <w:jc w:val="center"/>
              <w:rPr>
                <w:rFonts w:ascii="Arial" w:hAnsi="Arial" w:cs="Arial"/>
                <w:sz w:val="20"/>
                <w:szCs w:val="20"/>
              </w:rPr>
            </w:pPr>
            <w:r w:rsidRPr="00D70892">
              <w:rPr>
                <w:rFonts w:ascii="Arial" w:eastAsia="Times New Roman" w:hAnsi="Arial" w:cs="Arial"/>
                <w:sz w:val="20"/>
                <w:szCs w:val="20"/>
              </w:rPr>
              <w:t>± 1.81</w:t>
            </w:r>
          </w:p>
        </w:tc>
      </w:tr>
    </w:tbl>
    <w:p w14:paraId="6E6BAC97" w14:textId="1D80F23C" w:rsidR="00E5420E" w:rsidRPr="00D70892" w:rsidRDefault="00080C3C" w:rsidP="00D82AC6">
      <w:pPr>
        <w:tabs>
          <w:tab w:val="center" w:pos="4230"/>
        </w:tabs>
        <w:autoSpaceDE w:val="0"/>
        <w:autoSpaceDN w:val="0"/>
        <w:adjustRightInd w:val="0"/>
        <w:spacing w:before="40" w:after="40" w:line="480" w:lineRule="auto"/>
        <w:jc w:val="both"/>
        <w:rPr>
          <w:rFonts w:ascii="Arial" w:hAnsi="Arial" w:cs="Arial"/>
          <w:sz w:val="20"/>
          <w:szCs w:val="20"/>
        </w:rPr>
      </w:pPr>
      <w:commentRangeStart w:id="25"/>
      <w:r w:rsidRPr="00D70892">
        <w:rPr>
          <w:rFonts w:ascii="Arial" w:hAnsi="Arial" w:cs="Arial"/>
          <w:sz w:val="20"/>
          <w:szCs w:val="20"/>
        </w:rPr>
        <w:t xml:space="preserve">Similar superscripts </w:t>
      </w:r>
      <w:r w:rsidR="00740365" w:rsidRPr="00D70892">
        <w:rPr>
          <w:rFonts w:ascii="Arial" w:hAnsi="Arial" w:cs="Arial"/>
          <w:sz w:val="20"/>
          <w:szCs w:val="20"/>
        </w:rPr>
        <w:t>show</w:t>
      </w:r>
      <w:r w:rsidRPr="00D70892">
        <w:rPr>
          <w:rFonts w:ascii="Arial" w:hAnsi="Arial" w:cs="Arial"/>
          <w:sz w:val="20"/>
          <w:szCs w:val="20"/>
        </w:rPr>
        <w:t xml:space="preserve"> non-significant difference</w:t>
      </w:r>
      <w:commentRangeEnd w:id="25"/>
      <w:r w:rsidR="0022797F" w:rsidRPr="00D70892">
        <w:rPr>
          <w:rStyle w:val="CommentReference"/>
          <w:rFonts w:ascii="Arial" w:hAnsi="Arial" w:cs="Arial"/>
          <w:sz w:val="20"/>
          <w:szCs w:val="20"/>
        </w:rPr>
        <w:commentReference w:id="25"/>
      </w:r>
      <w:r w:rsidR="00B3534F" w:rsidRPr="00D70892">
        <w:rPr>
          <w:rFonts w:ascii="Arial" w:hAnsi="Arial" w:cs="Arial"/>
          <w:sz w:val="20"/>
          <w:szCs w:val="20"/>
        </w:rPr>
        <w:tab/>
      </w:r>
    </w:p>
    <w:p w14:paraId="16C1AB9C" w14:textId="3957BEE2" w:rsidR="00D82AC6" w:rsidRPr="00D70892" w:rsidRDefault="00D82AC6" w:rsidP="00D82AC6">
      <w:pPr>
        <w:pStyle w:val="ListParagraph"/>
        <w:numPr>
          <w:ilvl w:val="0"/>
          <w:numId w:val="1"/>
        </w:numPr>
        <w:tabs>
          <w:tab w:val="center" w:pos="4230"/>
        </w:tabs>
        <w:autoSpaceDE w:val="0"/>
        <w:autoSpaceDN w:val="0"/>
        <w:adjustRightInd w:val="0"/>
        <w:spacing w:before="40" w:after="40" w:line="480" w:lineRule="auto"/>
        <w:jc w:val="both"/>
        <w:rPr>
          <w:rFonts w:ascii="Arial" w:hAnsi="Arial" w:cs="Arial"/>
          <w:b/>
          <w:bCs/>
          <w:sz w:val="20"/>
          <w:szCs w:val="20"/>
        </w:rPr>
      </w:pPr>
      <w:r w:rsidRPr="00D70892">
        <w:rPr>
          <w:rFonts w:ascii="Arial" w:hAnsi="Arial" w:cs="Arial"/>
          <w:b/>
          <w:bCs/>
          <w:szCs w:val="20"/>
        </w:rPr>
        <w:t xml:space="preserve">CONCLUSION </w:t>
      </w:r>
    </w:p>
    <w:p w14:paraId="73EB471C" w14:textId="77777777" w:rsidR="007C0600" w:rsidRPr="00D70892" w:rsidRDefault="005A47D5" w:rsidP="007C0600">
      <w:pPr>
        <w:pStyle w:val="ListParagraph"/>
        <w:spacing w:line="480" w:lineRule="auto"/>
        <w:jc w:val="both"/>
        <w:rPr>
          <w:rFonts w:ascii="Arial" w:hAnsi="Arial" w:cs="Arial"/>
          <w:sz w:val="20"/>
          <w:szCs w:val="20"/>
        </w:rPr>
      </w:pPr>
      <w:r w:rsidRPr="00D70892">
        <w:rPr>
          <w:rFonts w:ascii="Arial" w:hAnsi="Arial" w:cs="Arial"/>
          <w:sz w:val="20"/>
          <w:szCs w:val="20"/>
        </w:rPr>
        <w:t xml:space="preserve">The present study demonstrates that the aqueous seed extract of </w:t>
      </w:r>
      <w:r w:rsidRPr="00D70892">
        <w:rPr>
          <w:rFonts w:ascii="Arial" w:hAnsi="Arial" w:cs="Arial"/>
          <w:i/>
          <w:iCs/>
          <w:sz w:val="20"/>
          <w:szCs w:val="20"/>
        </w:rPr>
        <w:t>Cucurbita pepo</w:t>
      </w:r>
      <w:r w:rsidRPr="00D70892">
        <w:rPr>
          <w:rFonts w:ascii="Arial" w:hAnsi="Arial" w:cs="Arial"/>
          <w:sz w:val="20"/>
          <w:szCs w:val="20"/>
        </w:rPr>
        <w:t xml:space="preserve"> exhibits potent anthelmintic activity against gastrointestinal helminths in goats, as evidenced by a marked reduction of 98.59% in faecal egg count by the 21st day post-treatment. The extract also contributed to significant improvements in haematological parameters, including haemoglobin, packed cell volume, and total erythrocyte count, suggesting enhanced erythropoietic activity likely resulting from the elimination of parasitic burden and improved iron utilization. Biochemical evaluations also showed no significant alterations indicating the extract's safety and non-hepatotoxic nature at the tested dosage. These results highlight the potential of </w:t>
      </w:r>
      <w:r w:rsidRPr="00D70892">
        <w:rPr>
          <w:rFonts w:ascii="Arial" w:hAnsi="Arial" w:cs="Arial"/>
          <w:i/>
          <w:iCs/>
          <w:sz w:val="20"/>
          <w:szCs w:val="20"/>
        </w:rPr>
        <w:t>Cucurbita pepo</w:t>
      </w:r>
      <w:r w:rsidRPr="00D70892">
        <w:rPr>
          <w:rFonts w:ascii="Arial" w:hAnsi="Arial" w:cs="Arial"/>
          <w:sz w:val="20"/>
          <w:szCs w:val="20"/>
        </w:rPr>
        <w:t xml:space="preserve"> as a promising </w:t>
      </w:r>
      <w:proofErr w:type="spellStart"/>
      <w:r w:rsidRPr="00D70892">
        <w:rPr>
          <w:rFonts w:ascii="Arial" w:hAnsi="Arial" w:cs="Arial"/>
          <w:sz w:val="20"/>
          <w:szCs w:val="20"/>
        </w:rPr>
        <w:t>phytotherapeutic</w:t>
      </w:r>
      <w:proofErr w:type="spellEnd"/>
      <w:r w:rsidRPr="00D70892">
        <w:rPr>
          <w:rFonts w:ascii="Arial" w:hAnsi="Arial" w:cs="Arial"/>
          <w:sz w:val="20"/>
          <w:szCs w:val="20"/>
        </w:rPr>
        <w:t xml:space="preserve"> agent. Its use may offer a cost-effective, safer, and more accessible alternative to conventional anthelmintics, with a potentially lower risk of inducing drug resistance. </w:t>
      </w:r>
      <w:commentRangeStart w:id="26"/>
      <w:r w:rsidRPr="00D70892">
        <w:rPr>
          <w:rFonts w:ascii="Arial" w:hAnsi="Arial" w:cs="Arial"/>
          <w:sz w:val="20"/>
          <w:szCs w:val="20"/>
        </w:rPr>
        <w:t>Further investigation into its active constituents may support the development of novel plant-based anthelmintic formulations for sustainable parasite control in livestock.</w:t>
      </w:r>
      <w:commentRangeEnd w:id="26"/>
      <w:r w:rsidR="0061169A" w:rsidRPr="00D70892">
        <w:rPr>
          <w:rStyle w:val="CommentReference"/>
          <w:rFonts w:ascii="Arial" w:eastAsiaTheme="minorEastAsia" w:hAnsi="Arial" w:cs="Arial"/>
          <w:kern w:val="0"/>
          <w:sz w:val="20"/>
          <w:szCs w:val="20"/>
          <w:lang w:eastAsia="en-IN"/>
          <w14:ligatures w14:val="none"/>
        </w:rPr>
        <w:commentReference w:id="26"/>
      </w:r>
    </w:p>
    <w:p w14:paraId="43583CB5" w14:textId="77777777" w:rsidR="00744497" w:rsidRPr="00D70892" w:rsidRDefault="00744497" w:rsidP="009449D9">
      <w:pPr>
        <w:pStyle w:val="ListParagraph"/>
        <w:spacing w:line="480" w:lineRule="auto"/>
        <w:jc w:val="both"/>
        <w:rPr>
          <w:rFonts w:ascii="Arial" w:hAnsi="Arial" w:cs="Arial"/>
          <w:b/>
          <w:sz w:val="20"/>
          <w:szCs w:val="20"/>
        </w:rPr>
      </w:pPr>
    </w:p>
    <w:p w14:paraId="12DC3C8F" w14:textId="787F366F" w:rsidR="009449D9" w:rsidRPr="00D70892" w:rsidRDefault="009449D9" w:rsidP="009449D9">
      <w:pPr>
        <w:pStyle w:val="ListParagraph"/>
        <w:spacing w:line="480" w:lineRule="auto"/>
        <w:jc w:val="both"/>
        <w:rPr>
          <w:rFonts w:ascii="Arial" w:hAnsi="Arial" w:cs="Arial"/>
          <w:b/>
          <w:szCs w:val="20"/>
        </w:rPr>
      </w:pPr>
      <w:r w:rsidRPr="00D70892">
        <w:rPr>
          <w:rFonts w:ascii="Arial" w:hAnsi="Arial" w:cs="Arial"/>
          <w:b/>
          <w:szCs w:val="20"/>
        </w:rPr>
        <w:t xml:space="preserve">ABBREVIATIONS </w:t>
      </w:r>
    </w:p>
    <w:p w14:paraId="260BF7FE"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ALT – Alanine Aminotransferase</w:t>
      </w:r>
    </w:p>
    <w:p w14:paraId="34358E09"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AST – Aspartate Aminotransferase</w:t>
      </w:r>
    </w:p>
    <w:p w14:paraId="0596C30B"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EDTA – Ethylenediaminetetraacetic Acid</w:t>
      </w:r>
    </w:p>
    <w:p w14:paraId="03C53353"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 xml:space="preserve">EPG – Egg </w:t>
      </w:r>
      <w:proofErr w:type="gramStart"/>
      <w:r w:rsidRPr="00D70892">
        <w:rPr>
          <w:rFonts w:ascii="Arial" w:hAnsi="Arial" w:cs="Arial"/>
          <w:bCs/>
          <w:sz w:val="20"/>
          <w:szCs w:val="20"/>
        </w:rPr>
        <w:t>Per</w:t>
      </w:r>
      <w:proofErr w:type="gramEnd"/>
      <w:r w:rsidRPr="00D70892">
        <w:rPr>
          <w:rFonts w:ascii="Arial" w:hAnsi="Arial" w:cs="Arial"/>
          <w:bCs/>
          <w:sz w:val="20"/>
          <w:szCs w:val="20"/>
        </w:rPr>
        <w:t xml:space="preserve"> Gram</w:t>
      </w:r>
    </w:p>
    <w:p w14:paraId="3F4E9EB7"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lastRenderedPageBreak/>
        <w:t>Hb – Haemoglobin</w:t>
      </w:r>
    </w:p>
    <w:p w14:paraId="462BA8B9"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PCV – Packed Cell Volume</w:t>
      </w:r>
    </w:p>
    <w:p w14:paraId="13F49DAC"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TEC – Total Erythrocyte Count</w:t>
      </w:r>
    </w:p>
    <w:p w14:paraId="2A518882" w14:textId="77777777" w:rsidR="009449D9" w:rsidRPr="00D70892" w:rsidRDefault="009449D9" w:rsidP="009449D9">
      <w:pPr>
        <w:pStyle w:val="ListParagraph"/>
        <w:spacing w:line="480" w:lineRule="auto"/>
        <w:jc w:val="both"/>
        <w:rPr>
          <w:rFonts w:ascii="Arial" w:hAnsi="Arial" w:cs="Arial"/>
          <w:bCs/>
          <w:sz w:val="20"/>
          <w:szCs w:val="20"/>
        </w:rPr>
      </w:pPr>
      <w:r w:rsidRPr="00D70892">
        <w:rPr>
          <w:rFonts w:ascii="Arial" w:hAnsi="Arial" w:cs="Arial"/>
          <w:bCs/>
          <w:sz w:val="20"/>
          <w:szCs w:val="20"/>
        </w:rPr>
        <w:t>TLC – Total Leukocyte Count</w:t>
      </w:r>
    </w:p>
    <w:p w14:paraId="14EE9F79" w14:textId="77777777" w:rsidR="009449D9" w:rsidRPr="00D70892" w:rsidRDefault="009449D9" w:rsidP="009449D9">
      <w:pPr>
        <w:pStyle w:val="ListParagraph"/>
        <w:spacing w:line="480" w:lineRule="auto"/>
        <w:jc w:val="both"/>
        <w:rPr>
          <w:rFonts w:ascii="Arial" w:hAnsi="Arial" w:cs="Arial"/>
          <w:bCs/>
          <w:sz w:val="20"/>
          <w:szCs w:val="20"/>
        </w:rPr>
      </w:pPr>
    </w:p>
    <w:p w14:paraId="216899EF" w14:textId="77777777" w:rsidR="009449D9" w:rsidRPr="00D70892" w:rsidRDefault="009449D9" w:rsidP="009449D9">
      <w:pPr>
        <w:pStyle w:val="ListParagraph"/>
        <w:spacing w:line="480" w:lineRule="auto"/>
        <w:jc w:val="both"/>
        <w:rPr>
          <w:rFonts w:ascii="Arial" w:hAnsi="Arial" w:cs="Arial"/>
          <w:b/>
          <w:bCs/>
          <w:sz w:val="20"/>
          <w:szCs w:val="20"/>
        </w:rPr>
      </w:pPr>
    </w:p>
    <w:p w14:paraId="44E62969" w14:textId="77777777" w:rsidR="009449D9" w:rsidRPr="00D70892" w:rsidRDefault="009449D9" w:rsidP="009449D9">
      <w:pPr>
        <w:pStyle w:val="ListParagraph"/>
        <w:tabs>
          <w:tab w:val="center" w:pos="4230"/>
        </w:tabs>
        <w:autoSpaceDE w:val="0"/>
        <w:autoSpaceDN w:val="0"/>
        <w:adjustRightInd w:val="0"/>
        <w:spacing w:before="40" w:after="40" w:line="480" w:lineRule="auto"/>
        <w:jc w:val="both"/>
        <w:rPr>
          <w:rFonts w:ascii="Arial" w:hAnsi="Arial" w:cs="Arial"/>
          <w:b/>
          <w:bCs/>
          <w:sz w:val="20"/>
          <w:szCs w:val="20"/>
        </w:rPr>
      </w:pPr>
    </w:p>
    <w:p w14:paraId="207DBD84" w14:textId="77777777" w:rsidR="009449D9" w:rsidRPr="00D70892" w:rsidRDefault="009449D9" w:rsidP="00114705">
      <w:pPr>
        <w:pStyle w:val="ListParagraph"/>
        <w:spacing w:line="480" w:lineRule="auto"/>
        <w:jc w:val="both"/>
        <w:rPr>
          <w:rFonts w:ascii="Arial" w:hAnsi="Arial" w:cs="Arial"/>
          <w:bCs/>
          <w:sz w:val="20"/>
          <w:szCs w:val="20"/>
        </w:rPr>
      </w:pPr>
    </w:p>
    <w:p w14:paraId="12FBACFD" w14:textId="207F482D" w:rsidR="00CA6D60" w:rsidRPr="00D70892" w:rsidRDefault="00CA6D60" w:rsidP="00590427">
      <w:pPr>
        <w:pStyle w:val="ListParagraph"/>
        <w:spacing w:line="480" w:lineRule="auto"/>
        <w:jc w:val="both"/>
        <w:rPr>
          <w:rFonts w:ascii="Arial" w:hAnsi="Arial" w:cs="Arial"/>
          <w:b/>
          <w:szCs w:val="20"/>
        </w:rPr>
      </w:pPr>
      <w:r w:rsidRPr="00D70892">
        <w:rPr>
          <w:rFonts w:ascii="Arial" w:hAnsi="Arial" w:cs="Arial"/>
          <w:b/>
          <w:szCs w:val="20"/>
        </w:rPr>
        <w:t xml:space="preserve">REFERENCES </w:t>
      </w:r>
    </w:p>
    <w:p w14:paraId="7B9E60AE" w14:textId="77777777" w:rsidR="00CA6D60" w:rsidRPr="00D70892" w:rsidRDefault="00CA6D60" w:rsidP="00CA6D60">
      <w:pPr>
        <w:pStyle w:val="Bibliography"/>
        <w:jc w:val="both"/>
        <w:rPr>
          <w:rFonts w:ascii="Arial" w:hAnsi="Arial" w:cs="Arial"/>
          <w:sz w:val="20"/>
          <w:szCs w:val="20"/>
        </w:rPr>
      </w:pPr>
      <w:r w:rsidRPr="00D70892">
        <w:rPr>
          <w:rFonts w:ascii="Arial" w:hAnsi="Arial" w:cs="Arial"/>
          <w:b/>
          <w:sz w:val="20"/>
          <w:szCs w:val="20"/>
        </w:rPr>
        <w:fldChar w:fldCharType="begin"/>
      </w:r>
      <w:r w:rsidRPr="00D70892">
        <w:rPr>
          <w:rFonts w:ascii="Arial" w:hAnsi="Arial" w:cs="Arial"/>
          <w:b/>
          <w:sz w:val="20"/>
          <w:szCs w:val="20"/>
        </w:rPr>
        <w:instrText xml:space="preserve"> ADDIN ZOTERO_BIBL {"uncited":[],"omitted":[],"custom":[]} CSL_BIBLIOGRAPHY </w:instrText>
      </w:r>
      <w:r w:rsidRPr="00D70892">
        <w:rPr>
          <w:rFonts w:ascii="Arial" w:hAnsi="Arial" w:cs="Arial"/>
          <w:b/>
          <w:sz w:val="20"/>
          <w:szCs w:val="20"/>
        </w:rPr>
        <w:fldChar w:fldCharType="separate"/>
      </w:r>
      <w:proofErr w:type="gramStart"/>
      <w:r w:rsidRPr="00D70892">
        <w:rPr>
          <w:rFonts w:ascii="Arial" w:hAnsi="Arial" w:cs="Arial"/>
          <w:sz w:val="20"/>
          <w:szCs w:val="20"/>
        </w:rPr>
        <w:t>Abdel Aziz, A. R., AbouLaila, M. R., Aziz, M., Omar, M. A., &amp; Sultan, K. (2018).</w:t>
      </w:r>
      <w:proofErr w:type="gramEnd"/>
      <w:r w:rsidRPr="00D70892">
        <w:rPr>
          <w:rFonts w:ascii="Arial" w:hAnsi="Arial" w:cs="Arial"/>
          <w:sz w:val="20"/>
          <w:szCs w:val="20"/>
        </w:rPr>
        <w:t xml:space="preserve"> In vitro and in vivo anthelmintic activity of pumpkin seeds and pomegranate peels extracts against Ascaridia galli. </w:t>
      </w:r>
      <w:r w:rsidRPr="00D70892">
        <w:rPr>
          <w:rFonts w:ascii="Arial" w:hAnsi="Arial" w:cs="Arial"/>
          <w:i/>
          <w:iCs/>
          <w:sz w:val="20"/>
          <w:szCs w:val="20"/>
        </w:rPr>
        <w:t>Beni-Suef University Journal of Basic and Applied Sciences</w:t>
      </w:r>
      <w:r w:rsidRPr="00D70892">
        <w:rPr>
          <w:rFonts w:ascii="Arial" w:hAnsi="Arial" w:cs="Arial"/>
          <w:sz w:val="20"/>
          <w:szCs w:val="20"/>
        </w:rPr>
        <w:t xml:space="preserve">, </w:t>
      </w:r>
      <w:r w:rsidRPr="00D70892">
        <w:rPr>
          <w:rFonts w:ascii="Arial" w:hAnsi="Arial" w:cs="Arial"/>
          <w:i/>
          <w:iCs/>
          <w:sz w:val="20"/>
          <w:szCs w:val="20"/>
        </w:rPr>
        <w:t>7</w:t>
      </w:r>
      <w:r w:rsidRPr="00D70892">
        <w:rPr>
          <w:rFonts w:ascii="Arial" w:hAnsi="Arial" w:cs="Arial"/>
          <w:sz w:val="20"/>
          <w:szCs w:val="20"/>
        </w:rPr>
        <w:t>(2), 231–234. https://doi.org/10.1016/j.bjbas.2018.02.003</w:t>
      </w:r>
    </w:p>
    <w:p w14:paraId="05EFE10F" w14:textId="4836A9E5"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t xml:space="preserve">Adeneye, A., </w:t>
      </w:r>
      <w:r w:rsidR="00E02208" w:rsidRPr="00D70892">
        <w:rPr>
          <w:rFonts w:ascii="Arial" w:hAnsi="Arial" w:cs="Arial"/>
          <w:sz w:val="20"/>
          <w:szCs w:val="20"/>
        </w:rPr>
        <w:t>Olagunju</w:t>
      </w:r>
      <w:r w:rsidRPr="00D70892">
        <w:rPr>
          <w:rFonts w:ascii="Arial" w:hAnsi="Arial" w:cs="Arial"/>
          <w:sz w:val="20"/>
          <w:szCs w:val="20"/>
        </w:rPr>
        <w:t xml:space="preserve">, </w:t>
      </w:r>
      <w:proofErr w:type="gramStart"/>
      <w:r w:rsidR="00E02208" w:rsidRPr="00D70892">
        <w:rPr>
          <w:rFonts w:ascii="Arial" w:hAnsi="Arial" w:cs="Arial"/>
          <w:sz w:val="20"/>
          <w:szCs w:val="20"/>
        </w:rPr>
        <w:t>JA</w:t>
      </w:r>
      <w:r w:rsidRPr="00D70892">
        <w:rPr>
          <w:rFonts w:ascii="Arial" w:hAnsi="Arial" w:cs="Arial"/>
          <w:sz w:val="20"/>
          <w:szCs w:val="20"/>
        </w:rPr>
        <w:t>.,</w:t>
      </w:r>
      <w:proofErr w:type="gramEnd"/>
      <w:r w:rsidRPr="00D70892">
        <w:rPr>
          <w:rFonts w:ascii="Arial" w:hAnsi="Arial" w:cs="Arial"/>
          <w:sz w:val="20"/>
          <w:szCs w:val="20"/>
        </w:rPr>
        <w:t xml:space="preserve"> </w:t>
      </w:r>
      <w:r w:rsidR="00E02208" w:rsidRPr="00D70892">
        <w:rPr>
          <w:rFonts w:ascii="Arial" w:hAnsi="Arial" w:cs="Arial"/>
          <w:sz w:val="20"/>
          <w:szCs w:val="20"/>
        </w:rPr>
        <w:t>Banjo</w:t>
      </w:r>
      <w:r w:rsidRPr="00D70892">
        <w:rPr>
          <w:rFonts w:ascii="Arial" w:hAnsi="Arial" w:cs="Arial"/>
          <w:sz w:val="20"/>
          <w:szCs w:val="20"/>
        </w:rPr>
        <w:t xml:space="preserve">, </w:t>
      </w:r>
      <w:r w:rsidR="00E02208" w:rsidRPr="00D70892">
        <w:rPr>
          <w:rFonts w:ascii="Arial" w:hAnsi="Arial" w:cs="Arial"/>
          <w:sz w:val="20"/>
          <w:szCs w:val="20"/>
        </w:rPr>
        <w:t>AAF</w:t>
      </w:r>
      <w:r w:rsidRPr="00D70892">
        <w:rPr>
          <w:rFonts w:ascii="Arial" w:hAnsi="Arial" w:cs="Arial"/>
          <w:sz w:val="20"/>
          <w:szCs w:val="20"/>
        </w:rPr>
        <w:t xml:space="preserve">., </w:t>
      </w:r>
      <w:r w:rsidR="00E02208" w:rsidRPr="00D70892">
        <w:rPr>
          <w:rFonts w:ascii="Arial" w:hAnsi="Arial" w:cs="Arial"/>
          <w:sz w:val="20"/>
          <w:szCs w:val="20"/>
        </w:rPr>
        <w:t>Abdul</w:t>
      </w:r>
      <w:r w:rsidRPr="00D70892">
        <w:rPr>
          <w:rFonts w:ascii="Arial" w:hAnsi="Arial" w:cs="Arial"/>
          <w:sz w:val="20"/>
          <w:szCs w:val="20"/>
        </w:rPr>
        <w:t xml:space="preserve">, </w:t>
      </w:r>
      <w:r w:rsidR="00E02208" w:rsidRPr="00D70892">
        <w:rPr>
          <w:rFonts w:ascii="Arial" w:hAnsi="Arial" w:cs="Arial"/>
          <w:sz w:val="20"/>
          <w:szCs w:val="20"/>
        </w:rPr>
        <w:t>SF</w:t>
      </w:r>
      <w:r w:rsidRPr="00D70892">
        <w:rPr>
          <w:rFonts w:ascii="Arial" w:hAnsi="Arial" w:cs="Arial"/>
          <w:sz w:val="20"/>
          <w:szCs w:val="20"/>
        </w:rPr>
        <w:t xml:space="preserve">., </w:t>
      </w:r>
      <w:r w:rsidR="00E02208" w:rsidRPr="00D70892">
        <w:rPr>
          <w:rFonts w:ascii="Arial" w:hAnsi="Arial" w:cs="Arial"/>
          <w:sz w:val="20"/>
          <w:szCs w:val="20"/>
        </w:rPr>
        <w:t>Sanusi</w:t>
      </w:r>
      <w:r w:rsidRPr="00D70892">
        <w:rPr>
          <w:rFonts w:ascii="Arial" w:hAnsi="Arial" w:cs="Arial"/>
          <w:sz w:val="20"/>
          <w:szCs w:val="20"/>
        </w:rPr>
        <w:t xml:space="preserve">, </w:t>
      </w:r>
      <w:r w:rsidR="00E02208" w:rsidRPr="00D70892">
        <w:rPr>
          <w:rFonts w:ascii="Arial" w:hAnsi="Arial" w:cs="Arial"/>
          <w:sz w:val="20"/>
          <w:szCs w:val="20"/>
        </w:rPr>
        <w:t>AA</w:t>
      </w:r>
      <w:r w:rsidRPr="00D70892">
        <w:rPr>
          <w:rFonts w:ascii="Arial" w:hAnsi="Arial" w:cs="Arial"/>
          <w:sz w:val="20"/>
          <w:szCs w:val="20"/>
        </w:rPr>
        <w:t xml:space="preserve">., </w:t>
      </w:r>
      <w:r w:rsidR="00726530" w:rsidRPr="00D70892">
        <w:rPr>
          <w:rFonts w:ascii="Arial" w:hAnsi="Arial" w:cs="Arial"/>
          <w:sz w:val="20"/>
          <w:szCs w:val="20"/>
        </w:rPr>
        <w:t>Sanni</w:t>
      </w:r>
      <w:r w:rsidRPr="00D70892">
        <w:rPr>
          <w:rFonts w:ascii="Arial" w:hAnsi="Arial" w:cs="Arial"/>
          <w:sz w:val="20"/>
          <w:szCs w:val="20"/>
        </w:rPr>
        <w:t xml:space="preserve">, </w:t>
      </w:r>
      <w:r w:rsidR="00726530" w:rsidRPr="00D70892">
        <w:rPr>
          <w:rFonts w:ascii="Arial" w:hAnsi="Arial" w:cs="Arial"/>
          <w:sz w:val="20"/>
          <w:szCs w:val="20"/>
        </w:rPr>
        <w:t>OO</w:t>
      </w:r>
      <w:r w:rsidRPr="00D70892">
        <w:rPr>
          <w:rFonts w:ascii="Arial" w:hAnsi="Arial" w:cs="Arial"/>
          <w:sz w:val="20"/>
          <w:szCs w:val="20"/>
        </w:rPr>
        <w:t xml:space="preserve">., </w:t>
      </w:r>
      <w:r w:rsidR="00726530" w:rsidRPr="00D70892">
        <w:rPr>
          <w:rFonts w:ascii="Arial" w:hAnsi="Arial" w:cs="Arial"/>
          <w:sz w:val="20"/>
          <w:szCs w:val="20"/>
        </w:rPr>
        <w:t xml:space="preserve">Osarodion, BA. </w:t>
      </w:r>
      <w:r w:rsidRPr="00D70892">
        <w:rPr>
          <w:rFonts w:ascii="Arial" w:hAnsi="Arial" w:cs="Arial"/>
          <w:sz w:val="20"/>
          <w:szCs w:val="20"/>
        </w:rPr>
        <w:t xml:space="preserve">&amp; </w:t>
      </w:r>
      <w:r w:rsidR="00726530" w:rsidRPr="00D70892">
        <w:rPr>
          <w:rFonts w:ascii="Arial" w:hAnsi="Arial" w:cs="Arial"/>
          <w:sz w:val="20"/>
          <w:szCs w:val="20"/>
        </w:rPr>
        <w:t>Shonoiki</w:t>
      </w:r>
      <w:r w:rsidRPr="00D70892">
        <w:rPr>
          <w:rFonts w:ascii="Arial" w:hAnsi="Arial" w:cs="Arial"/>
          <w:sz w:val="20"/>
          <w:szCs w:val="20"/>
        </w:rPr>
        <w:t xml:space="preserve">, </w:t>
      </w:r>
      <w:r w:rsidR="00726530" w:rsidRPr="00D70892">
        <w:rPr>
          <w:rFonts w:ascii="Arial" w:hAnsi="Arial" w:cs="Arial"/>
          <w:sz w:val="20"/>
          <w:szCs w:val="20"/>
        </w:rPr>
        <w:t>OE</w:t>
      </w:r>
      <w:r w:rsidRPr="00D70892">
        <w:rPr>
          <w:rFonts w:ascii="Arial" w:hAnsi="Arial" w:cs="Arial"/>
          <w:sz w:val="20"/>
          <w:szCs w:val="20"/>
        </w:rPr>
        <w:t xml:space="preserve">. (2009). </w:t>
      </w:r>
      <w:r w:rsidRPr="00D70892">
        <w:rPr>
          <w:rFonts w:ascii="Arial" w:hAnsi="Arial" w:cs="Arial"/>
          <w:i/>
          <w:iCs/>
          <w:sz w:val="20"/>
          <w:szCs w:val="20"/>
        </w:rPr>
        <w:t xml:space="preserve">The Aqueous Seed Extract </w:t>
      </w:r>
      <w:proofErr w:type="gramStart"/>
      <w:r w:rsidRPr="00D70892">
        <w:rPr>
          <w:rFonts w:ascii="Arial" w:hAnsi="Arial" w:cs="Arial"/>
          <w:i/>
          <w:iCs/>
          <w:sz w:val="20"/>
          <w:szCs w:val="20"/>
        </w:rPr>
        <w:t>Of</w:t>
      </w:r>
      <w:proofErr w:type="gramEnd"/>
      <w:r w:rsidRPr="00D70892">
        <w:rPr>
          <w:rFonts w:ascii="Arial" w:hAnsi="Arial" w:cs="Arial"/>
          <w:i/>
          <w:iCs/>
          <w:sz w:val="20"/>
          <w:szCs w:val="20"/>
        </w:rPr>
        <w:t xml:space="preserve"> Carica papaya Linn. Prevents Carbon Tetrachloride Induced Hepatotoxicity </w:t>
      </w:r>
      <w:r w:rsidR="0032712F" w:rsidRPr="00D70892">
        <w:rPr>
          <w:rFonts w:ascii="Arial" w:hAnsi="Arial" w:cs="Arial"/>
          <w:i/>
          <w:iCs/>
          <w:sz w:val="20"/>
          <w:szCs w:val="20"/>
        </w:rPr>
        <w:t>i</w:t>
      </w:r>
      <w:r w:rsidRPr="00D70892">
        <w:rPr>
          <w:rFonts w:ascii="Arial" w:hAnsi="Arial" w:cs="Arial"/>
          <w:i/>
          <w:iCs/>
          <w:sz w:val="20"/>
          <w:szCs w:val="20"/>
        </w:rPr>
        <w:t>n Rats</w:t>
      </w:r>
      <w:r w:rsidRPr="00D70892">
        <w:rPr>
          <w:rFonts w:ascii="Arial" w:hAnsi="Arial" w:cs="Arial"/>
          <w:sz w:val="20"/>
          <w:szCs w:val="20"/>
        </w:rPr>
        <w:t>.</w:t>
      </w:r>
      <w:r w:rsidR="00FA52AE" w:rsidRPr="00D70892">
        <w:rPr>
          <w:rFonts w:ascii="Arial" w:hAnsi="Arial" w:cs="Arial"/>
          <w:sz w:val="20"/>
          <w:szCs w:val="20"/>
        </w:rPr>
        <w:t xml:space="preserve"> International Journal of Applied Research in Natural Products, 2(2), 19-32.</w:t>
      </w:r>
    </w:p>
    <w:p w14:paraId="5E99BB03" w14:textId="21C1AC45"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 xml:space="preserve">Adepoju, </w:t>
      </w:r>
      <w:r w:rsidR="00465768" w:rsidRPr="00D70892">
        <w:rPr>
          <w:rFonts w:ascii="Arial" w:hAnsi="Arial" w:cs="Arial"/>
          <w:sz w:val="20"/>
          <w:szCs w:val="20"/>
        </w:rPr>
        <w:t xml:space="preserve">G. K. </w:t>
      </w:r>
      <w:r w:rsidRPr="00D70892">
        <w:rPr>
          <w:rFonts w:ascii="Arial" w:hAnsi="Arial" w:cs="Arial"/>
          <w:sz w:val="20"/>
          <w:szCs w:val="20"/>
        </w:rPr>
        <w:t>A.</w:t>
      </w:r>
      <w:r w:rsidR="00465768" w:rsidRPr="00D70892">
        <w:rPr>
          <w:rFonts w:ascii="Arial" w:hAnsi="Arial" w:cs="Arial"/>
          <w:sz w:val="20"/>
          <w:szCs w:val="20"/>
        </w:rPr>
        <w:t xml:space="preserve"> and Adebanjo, A. A.</w:t>
      </w:r>
      <w:r w:rsidRPr="00D70892">
        <w:rPr>
          <w:rFonts w:ascii="Arial" w:hAnsi="Arial" w:cs="Arial"/>
          <w:sz w:val="20"/>
          <w:szCs w:val="20"/>
        </w:rPr>
        <w:t xml:space="preserve"> (2009).</w:t>
      </w:r>
      <w:proofErr w:type="gramEnd"/>
      <w:r w:rsidRPr="00D70892">
        <w:rPr>
          <w:rFonts w:ascii="Arial" w:hAnsi="Arial" w:cs="Arial"/>
          <w:sz w:val="20"/>
          <w:szCs w:val="20"/>
        </w:rPr>
        <w:t xml:space="preserve"> Effect of consumption of Cucurbita pepo seeds on haematological and biochemical parameters. </w:t>
      </w:r>
      <w:r w:rsidRPr="00D70892">
        <w:rPr>
          <w:rFonts w:ascii="Arial" w:hAnsi="Arial" w:cs="Arial"/>
          <w:i/>
          <w:iCs/>
          <w:sz w:val="20"/>
          <w:szCs w:val="20"/>
        </w:rPr>
        <w:t>African Journal of Pharmacy and Pharmacology</w:t>
      </w:r>
      <w:r w:rsidRPr="00D70892">
        <w:rPr>
          <w:rFonts w:ascii="Arial" w:hAnsi="Arial" w:cs="Arial"/>
          <w:sz w:val="20"/>
          <w:szCs w:val="20"/>
        </w:rPr>
        <w:t xml:space="preserve">, </w:t>
      </w:r>
      <w:r w:rsidRPr="00D70892">
        <w:rPr>
          <w:rFonts w:ascii="Arial" w:hAnsi="Arial" w:cs="Arial"/>
          <w:i/>
          <w:iCs/>
          <w:sz w:val="20"/>
          <w:szCs w:val="20"/>
        </w:rPr>
        <w:t>5</w:t>
      </w:r>
      <w:r w:rsidRPr="00D70892">
        <w:rPr>
          <w:rFonts w:ascii="Arial" w:hAnsi="Arial" w:cs="Arial"/>
          <w:sz w:val="20"/>
          <w:szCs w:val="20"/>
        </w:rPr>
        <w:t>(1), 18–22. https://doi.org/10.5897/AJPP10.186</w:t>
      </w:r>
    </w:p>
    <w:p w14:paraId="4AA855A1" w14:textId="77777777"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Aiello, S. E., Moses, M. A., &amp; Allen, D. G. (Eds.).</w:t>
      </w:r>
      <w:proofErr w:type="gramEnd"/>
      <w:r w:rsidRPr="00D70892">
        <w:rPr>
          <w:rFonts w:ascii="Arial" w:hAnsi="Arial" w:cs="Arial"/>
          <w:sz w:val="20"/>
          <w:szCs w:val="20"/>
        </w:rPr>
        <w:t xml:space="preserve"> </w:t>
      </w:r>
      <w:proofErr w:type="gramStart"/>
      <w:r w:rsidRPr="00D70892">
        <w:rPr>
          <w:rFonts w:ascii="Arial" w:hAnsi="Arial" w:cs="Arial"/>
          <w:sz w:val="20"/>
          <w:szCs w:val="20"/>
        </w:rPr>
        <w:t xml:space="preserve">(2016). </w:t>
      </w:r>
      <w:r w:rsidRPr="00D70892">
        <w:rPr>
          <w:rFonts w:ascii="Arial" w:hAnsi="Arial" w:cs="Arial"/>
          <w:i/>
          <w:iCs/>
          <w:sz w:val="20"/>
          <w:szCs w:val="20"/>
        </w:rPr>
        <w:t>The Merck veterinary manual</w:t>
      </w:r>
      <w:r w:rsidRPr="00D70892">
        <w:rPr>
          <w:rFonts w:ascii="Arial" w:hAnsi="Arial" w:cs="Arial"/>
          <w:sz w:val="20"/>
          <w:szCs w:val="20"/>
        </w:rPr>
        <w:t xml:space="preserve"> (Eleventh edition).</w:t>
      </w:r>
      <w:proofErr w:type="gramEnd"/>
      <w:r w:rsidRPr="00D70892">
        <w:rPr>
          <w:rFonts w:ascii="Arial" w:hAnsi="Arial" w:cs="Arial"/>
          <w:sz w:val="20"/>
          <w:szCs w:val="20"/>
        </w:rPr>
        <w:t xml:space="preserve"> Merck &amp; Co., Inc.</w:t>
      </w:r>
    </w:p>
    <w:p w14:paraId="36E9DEC6" w14:textId="7C8DD2EF"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Babaei, A., Jafari, A., Asadpour, M., Shamsi, M., (2018).</w:t>
      </w:r>
      <w:proofErr w:type="gramEnd"/>
      <w:r w:rsidRPr="00D70892">
        <w:rPr>
          <w:rFonts w:ascii="Arial" w:hAnsi="Arial" w:cs="Arial"/>
          <w:sz w:val="20"/>
          <w:szCs w:val="20"/>
        </w:rPr>
        <w:t xml:space="preserve"> Cucurbita maxima (Pumpkin) seeds: Scolicidal activity and preventive efficacy of its extract on experimental hydatidosis in mice. </w:t>
      </w:r>
      <w:r w:rsidRPr="00D70892">
        <w:rPr>
          <w:rFonts w:ascii="Arial" w:hAnsi="Arial" w:cs="Arial"/>
          <w:i/>
          <w:iCs/>
          <w:sz w:val="20"/>
          <w:szCs w:val="20"/>
        </w:rPr>
        <w:t>Journal of Basic Research in Medical Sciences</w:t>
      </w:r>
      <w:r w:rsidRPr="00D70892">
        <w:rPr>
          <w:rFonts w:ascii="Arial" w:hAnsi="Arial" w:cs="Arial"/>
          <w:sz w:val="20"/>
          <w:szCs w:val="20"/>
        </w:rPr>
        <w:t xml:space="preserve">, </w:t>
      </w:r>
      <w:r w:rsidRPr="00D70892">
        <w:rPr>
          <w:rFonts w:ascii="Arial" w:hAnsi="Arial" w:cs="Arial"/>
          <w:i/>
          <w:iCs/>
          <w:sz w:val="20"/>
          <w:szCs w:val="20"/>
        </w:rPr>
        <w:t>5</w:t>
      </w:r>
      <w:r w:rsidRPr="00D70892">
        <w:rPr>
          <w:rFonts w:ascii="Arial" w:hAnsi="Arial" w:cs="Arial"/>
          <w:sz w:val="20"/>
          <w:szCs w:val="20"/>
        </w:rPr>
        <w:t>(1), 22–28. https://doi.org/10.29252/jbrms.5.1.22</w:t>
      </w:r>
    </w:p>
    <w:p w14:paraId="4514313D" w14:textId="77777777"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Cai</w:t>
      </w:r>
      <w:proofErr w:type="gramEnd"/>
      <w:r w:rsidRPr="00D70892">
        <w:rPr>
          <w:rFonts w:ascii="Arial" w:hAnsi="Arial" w:cs="Arial"/>
          <w:sz w:val="20"/>
          <w:szCs w:val="20"/>
        </w:rPr>
        <w:t xml:space="preserve">, W., Cheng, C., Feng, Q., Ma, Y., Hua, E., Jiang, S., Hou, Z., Liu, D., Yang, A., Cheng, D., Xu, J., &amp; Tao, J. (2023). Prevalence and risk factors associated with gastrointestinal parasites in goats (Capra hircus) and sheep (Ovis </w:t>
      </w:r>
      <w:proofErr w:type="gramStart"/>
      <w:r w:rsidRPr="00D70892">
        <w:rPr>
          <w:rFonts w:ascii="Arial" w:hAnsi="Arial" w:cs="Arial"/>
          <w:sz w:val="20"/>
          <w:szCs w:val="20"/>
        </w:rPr>
        <w:t>aries</w:t>
      </w:r>
      <w:proofErr w:type="gramEnd"/>
      <w:r w:rsidRPr="00D70892">
        <w:rPr>
          <w:rFonts w:ascii="Arial" w:hAnsi="Arial" w:cs="Arial"/>
          <w:sz w:val="20"/>
          <w:szCs w:val="20"/>
        </w:rPr>
        <w:t xml:space="preserve">) from three provinces of China. </w:t>
      </w:r>
      <w:proofErr w:type="gramStart"/>
      <w:r w:rsidRPr="00D70892">
        <w:rPr>
          <w:rFonts w:ascii="Arial" w:hAnsi="Arial" w:cs="Arial"/>
          <w:i/>
          <w:iCs/>
          <w:sz w:val="20"/>
          <w:szCs w:val="20"/>
        </w:rPr>
        <w:t>Frontiers in Microbiology</w:t>
      </w:r>
      <w:r w:rsidRPr="00D70892">
        <w:rPr>
          <w:rFonts w:ascii="Arial" w:hAnsi="Arial" w:cs="Arial"/>
          <w:sz w:val="20"/>
          <w:szCs w:val="20"/>
        </w:rPr>
        <w:t xml:space="preserve">, </w:t>
      </w:r>
      <w:r w:rsidRPr="00D70892">
        <w:rPr>
          <w:rFonts w:ascii="Arial" w:hAnsi="Arial" w:cs="Arial"/>
          <w:i/>
          <w:iCs/>
          <w:sz w:val="20"/>
          <w:szCs w:val="20"/>
        </w:rPr>
        <w:t>14</w:t>
      </w:r>
      <w:r w:rsidRPr="00D70892">
        <w:rPr>
          <w:rFonts w:ascii="Arial" w:hAnsi="Arial" w:cs="Arial"/>
          <w:sz w:val="20"/>
          <w:szCs w:val="20"/>
        </w:rPr>
        <w:t>, 1287835.</w:t>
      </w:r>
      <w:proofErr w:type="gramEnd"/>
      <w:r w:rsidRPr="00D70892">
        <w:rPr>
          <w:rFonts w:ascii="Arial" w:hAnsi="Arial" w:cs="Arial"/>
          <w:sz w:val="20"/>
          <w:szCs w:val="20"/>
        </w:rPr>
        <w:t xml:space="preserve"> https://doi.org/10.3389/fmicb.2023.1287835</w:t>
      </w:r>
    </w:p>
    <w:p w14:paraId="32B1CCCC" w14:textId="77777777"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lastRenderedPageBreak/>
        <w:t xml:space="preserve">Chakrabarthi, A. (1994). </w:t>
      </w:r>
      <w:r w:rsidRPr="00D70892">
        <w:rPr>
          <w:rFonts w:ascii="Arial" w:hAnsi="Arial" w:cs="Arial"/>
          <w:i/>
          <w:iCs/>
          <w:sz w:val="20"/>
          <w:szCs w:val="20"/>
        </w:rPr>
        <w:t>Textbook of clinical Vet. Medicine</w:t>
      </w:r>
      <w:r w:rsidRPr="00D70892">
        <w:rPr>
          <w:rFonts w:ascii="Arial" w:hAnsi="Arial" w:cs="Arial"/>
          <w:sz w:val="20"/>
          <w:szCs w:val="20"/>
        </w:rPr>
        <w:t xml:space="preserve"> (2nd </w:t>
      </w:r>
      <w:proofErr w:type="gramStart"/>
      <w:r w:rsidRPr="00D70892">
        <w:rPr>
          <w:rFonts w:ascii="Arial" w:hAnsi="Arial" w:cs="Arial"/>
          <w:sz w:val="20"/>
          <w:szCs w:val="20"/>
        </w:rPr>
        <w:t>ed</w:t>
      </w:r>
      <w:proofErr w:type="gramEnd"/>
      <w:r w:rsidRPr="00D70892">
        <w:rPr>
          <w:rFonts w:ascii="Arial" w:hAnsi="Arial" w:cs="Arial"/>
          <w:sz w:val="20"/>
          <w:szCs w:val="20"/>
        </w:rPr>
        <w:t xml:space="preserve">.). </w:t>
      </w:r>
      <w:proofErr w:type="gramStart"/>
      <w:r w:rsidRPr="00D70892">
        <w:rPr>
          <w:rFonts w:ascii="Arial" w:hAnsi="Arial" w:cs="Arial"/>
          <w:sz w:val="20"/>
          <w:szCs w:val="20"/>
        </w:rPr>
        <w:t>Kalyani Publishers, New Delhi.</w:t>
      </w:r>
      <w:proofErr w:type="gramEnd"/>
    </w:p>
    <w:p w14:paraId="6A0A8D91" w14:textId="77777777"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t xml:space="preserve">Feitosa, T. F., Vilela, V. L. R., Athayde, A. C. R., Braga, F. R., Dantas, E. S., Vieira, V. D., &amp; de Melo, L. R. B. (2012). </w:t>
      </w:r>
      <w:proofErr w:type="gramStart"/>
      <w:r w:rsidRPr="00D70892">
        <w:rPr>
          <w:rFonts w:ascii="Arial" w:hAnsi="Arial" w:cs="Arial"/>
          <w:sz w:val="20"/>
          <w:szCs w:val="20"/>
        </w:rPr>
        <w:t>Anthelmintic efficacy of pumpkin seed (Cucurbita pepo Linnaeus, 1753) on ostrich gastrointestinal nematodes in a semiarid region of Paraíba State, Brazil.</w:t>
      </w:r>
      <w:proofErr w:type="gramEnd"/>
      <w:r w:rsidRPr="00D70892">
        <w:rPr>
          <w:rFonts w:ascii="Arial" w:hAnsi="Arial" w:cs="Arial"/>
          <w:sz w:val="20"/>
          <w:szCs w:val="20"/>
        </w:rPr>
        <w:t xml:space="preserve"> </w:t>
      </w:r>
      <w:r w:rsidRPr="00D70892">
        <w:rPr>
          <w:rFonts w:ascii="Arial" w:hAnsi="Arial" w:cs="Arial"/>
          <w:i/>
          <w:iCs/>
          <w:sz w:val="20"/>
          <w:szCs w:val="20"/>
        </w:rPr>
        <w:t>Tropical Animal Health and Production</w:t>
      </w:r>
      <w:r w:rsidRPr="00D70892">
        <w:rPr>
          <w:rFonts w:ascii="Arial" w:hAnsi="Arial" w:cs="Arial"/>
          <w:sz w:val="20"/>
          <w:szCs w:val="20"/>
        </w:rPr>
        <w:t xml:space="preserve">, </w:t>
      </w:r>
      <w:r w:rsidRPr="00D70892">
        <w:rPr>
          <w:rFonts w:ascii="Arial" w:hAnsi="Arial" w:cs="Arial"/>
          <w:i/>
          <w:iCs/>
          <w:sz w:val="20"/>
          <w:szCs w:val="20"/>
        </w:rPr>
        <w:t>45</w:t>
      </w:r>
      <w:r w:rsidRPr="00D70892">
        <w:rPr>
          <w:rFonts w:ascii="Arial" w:hAnsi="Arial" w:cs="Arial"/>
          <w:sz w:val="20"/>
          <w:szCs w:val="20"/>
        </w:rPr>
        <w:t>(1), 123–127. https://doi.org/10.1007/s11250-012-0182-5</w:t>
      </w:r>
    </w:p>
    <w:p w14:paraId="31E5DD40" w14:textId="77777777"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Githiori, J. B., Höglund, J., Waller, P. J., &amp; Baker, R. L. (2004).</w:t>
      </w:r>
      <w:proofErr w:type="gramEnd"/>
      <w:r w:rsidRPr="00D70892">
        <w:rPr>
          <w:rFonts w:ascii="Arial" w:hAnsi="Arial" w:cs="Arial"/>
          <w:sz w:val="20"/>
          <w:szCs w:val="20"/>
        </w:rPr>
        <w:t xml:space="preserve"> Evaluation of anthelmintic properties of some plants used as livestock dewormers against </w:t>
      </w:r>
      <w:r w:rsidRPr="00D70892">
        <w:rPr>
          <w:rFonts w:ascii="Arial" w:hAnsi="Arial" w:cs="Arial"/>
          <w:i/>
          <w:iCs/>
          <w:sz w:val="20"/>
          <w:szCs w:val="20"/>
        </w:rPr>
        <w:t>Haemonchus contortus</w:t>
      </w:r>
      <w:r w:rsidRPr="00D70892">
        <w:rPr>
          <w:rFonts w:ascii="Arial" w:hAnsi="Arial" w:cs="Arial"/>
          <w:sz w:val="20"/>
          <w:szCs w:val="20"/>
        </w:rPr>
        <w:t xml:space="preserve"> infections in sheep. </w:t>
      </w:r>
      <w:r w:rsidRPr="00D70892">
        <w:rPr>
          <w:rFonts w:ascii="Arial" w:hAnsi="Arial" w:cs="Arial"/>
          <w:i/>
          <w:iCs/>
          <w:sz w:val="20"/>
          <w:szCs w:val="20"/>
        </w:rPr>
        <w:t>Parasitology</w:t>
      </w:r>
      <w:r w:rsidRPr="00D70892">
        <w:rPr>
          <w:rFonts w:ascii="Arial" w:hAnsi="Arial" w:cs="Arial"/>
          <w:sz w:val="20"/>
          <w:szCs w:val="20"/>
        </w:rPr>
        <w:t xml:space="preserve">, </w:t>
      </w:r>
      <w:r w:rsidRPr="00D70892">
        <w:rPr>
          <w:rFonts w:ascii="Arial" w:hAnsi="Arial" w:cs="Arial"/>
          <w:i/>
          <w:iCs/>
          <w:sz w:val="20"/>
          <w:szCs w:val="20"/>
        </w:rPr>
        <w:t>129</w:t>
      </w:r>
      <w:r w:rsidRPr="00D70892">
        <w:rPr>
          <w:rFonts w:ascii="Arial" w:hAnsi="Arial" w:cs="Arial"/>
          <w:sz w:val="20"/>
          <w:szCs w:val="20"/>
        </w:rPr>
        <w:t>(2), 245–253. https://doi.org/10.1017/S0031182004005566</w:t>
      </w:r>
    </w:p>
    <w:p w14:paraId="5A65B777" w14:textId="77777777"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Grzybek, M., Kukula-Koch, W., Strachecka, A., Jaworska, A., Phiri, A. M., Paleolog, J., &amp; Tomczuk, K. (2016).</w:t>
      </w:r>
      <w:proofErr w:type="gramEnd"/>
      <w:r w:rsidRPr="00D70892">
        <w:rPr>
          <w:rFonts w:ascii="Arial" w:hAnsi="Arial" w:cs="Arial"/>
          <w:sz w:val="20"/>
          <w:szCs w:val="20"/>
        </w:rPr>
        <w:t xml:space="preserve"> </w:t>
      </w:r>
      <w:proofErr w:type="gramStart"/>
      <w:r w:rsidRPr="00D70892">
        <w:rPr>
          <w:rFonts w:ascii="Arial" w:hAnsi="Arial" w:cs="Arial"/>
          <w:sz w:val="20"/>
          <w:szCs w:val="20"/>
        </w:rPr>
        <w:t>Evaluation of Anthelmintic Activity and Composition of Pumpkin (Cucurbita pepo L.)</w:t>
      </w:r>
      <w:proofErr w:type="gramEnd"/>
      <w:r w:rsidRPr="00D70892">
        <w:rPr>
          <w:rFonts w:ascii="Arial" w:hAnsi="Arial" w:cs="Arial"/>
          <w:sz w:val="20"/>
          <w:szCs w:val="20"/>
        </w:rPr>
        <w:t xml:space="preserve"> Seed Extracts—In Vitro and in Vivo Studies. </w:t>
      </w:r>
      <w:r w:rsidRPr="00D70892">
        <w:rPr>
          <w:rFonts w:ascii="Arial" w:hAnsi="Arial" w:cs="Arial"/>
          <w:i/>
          <w:iCs/>
          <w:sz w:val="20"/>
          <w:szCs w:val="20"/>
        </w:rPr>
        <w:t>International Journal of Molecular Sciences</w:t>
      </w:r>
      <w:r w:rsidRPr="00D70892">
        <w:rPr>
          <w:rFonts w:ascii="Arial" w:hAnsi="Arial" w:cs="Arial"/>
          <w:sz w:val="20"/>
          <w:szCs w:val="20"/>
        </w:rPr>
        <w:t xml:space="preserve">, </w:t>
      </w:r>
      <w:r w:rsidRPr="00D70892">
        <w:rPr>
          <w:rFonts w:ascii="Arial" w:hAnsi="Arial" w:cs="Arial"/>
          <w:i/>
          <w:iCs/>
          <w:sz w:val="20"/>
          <w:szCs w:val="20"/>
        </w:rPr>
        <w:t>17</w:t>
      </w:r>
      <w:r w:rsidRPr="00D70892">
        <w:rPr>
          <w:rFonts w:ascii="Arial" w:hAnsi="Arial" w:cs="Arial"/>
          <w:sz w:val="20"/>
          <w:szCs w:val="20"/>
        </w:rPr>
        <w:t>(9), Article 9. https://doi.org/10.3390/ijms17091456</w:t>
      </w:r>
    </w:p>
    <w:p w14:paraId="0B3C3A8F" w14:textId="77777777"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Kalmobé, J., Ndjonka, D., Dikti, J. V., &amp; Liebau, E. (2017).</w:t>
      </w:r>
      <w:proofErr w:type="gramEnd"/>
      <w:r w:rsidRPr="00D70892">
        <w:rPr>
          <w:rFonts w:ascii="Arial" w:hAnsi="Arial" w:cs="Arial"/>
          <w:sz w:val="20"/>
          <w:szCs w:val="20"/>
        </w:rPr>
        <w:t xml:space="preserve"> </w:t>
      </w:r>
      <w:proofErr w:type="gramStart"/>
      <w:r w:rsidRPr="00D70892">
        <w:rPr>
          <w:rFonts w:ascii="Arial" w:hAnsi="Arial" w:cs="Arial"/>
          <w:sz w:val="20"/>
          <w:szCs w:val="20"/>
        </w:rPr>
        <w:t>Antifilarial Activity of Cucurbita pepo ovifera var ovifera (Cucurbitaceae) on Onchocerca ochengi Adult Worms.</w:t>
      </w:r>
      <w:proofErr w:type="gramEnd"/>
      <w:r w:rsidRPr="00D70892">
        <w:rPr>
          <w:rFonts w:ascii="Arial" w:hAnsi="Arial" w:cs="Arial"/>
          <w:sz w:val="20"/>
          <w:szCs w:val="20"/>
        </w:rPr>
        <w:t xml:space="preserve"> </w:t>
      </w:r>
      <w:r w:rsidRPr="00D70892">
        <w:rPr>
          <w:rFonts w:ascii="Arial" w:hAnsi="Arial" w:cs="Arial"/>
          <w:i/>
          <w:iCs/>
          <w:sz w:val="20"/>
          <w:szCs w:val="20"/>
        </w:rPr>
        <w:t>Journal of Pharmaceutical Research International</w:t>
      </w:r>
      <w:r w:rsidRPr="00D70892">
        <w:rPr>
          <w:rFonts w:ascii="Arial" w:hAnsi="Arial" w:cs="Arial"/>
          <w:sz w:val="20"/>
          <w:szCs w:val="20"/>
        </w:rPr>
        <w:t>, 1–8. https://doi.org/10.9734/BJPR/2017/33381</w:t>
      </w:r>
    </w:p>
    <w:p w14:paraId="209F29C3" w14:textId="4627E1F3"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Khalid, S., Amin, M., Mostofa, M., Choudhury, M., &amp; Uddin, B. (</w:t>
      </w:r>
      <w:r w:rsidR="00E471F3" w:rsidRPr="00D70892">
        <w:rPr>
          <w:rFonts w:ascii="Arial" w:hAnsi="Arial" w:cs="Arial"/>
          <w:sz w:val="20"/>
          <w:szCs w:val="20"/>
        </w:rPr>
        <w:t>2005</w:t>
      </w:r>
      <w:r w:rsidRPr="00D70892">
        <w:rPr>
          <w:rFonts w:ascii="Arial" w:hAnsi="Arial" w:cs="Arial"/>
          <w:sz w:val="20"/>
          <w:szCs w:val="20"/>
        </w:rPr>
        <w:t>).</w:t>
      </w:r>
      <w:proofErr w:type="gramEnd"/>
      <w:r w:rsidRPr="00D70892">
        <w:rPr>
          <w:rFonts w:ascii="Arial" w:hAnsi="Arial" w:cs="Arial"/>
          <w:sz w:val="20"/>
          <w:szCs w:val="20"/>
        </w:rPr>
        <w:t xml:space="preserve"> </w:t>
      </w:r>
      <w:proofErr w:type="gramStart"/>
      <w:r w:rsidRPr="00D70892">
        <w:rPr>
          <w:rFonts w:ascii="Arial" w:hAnsi="Arial" w:cs="Arial"/>
          <w:sz w:val="20"/>
          <w:szCs w:val="20"/>
        </w:rPr>
        <w:t>Effects of Indigenous Medicinal Plants (Neem and Pineapple) Against Gastro-intestinal Nematodiasis in Sheep.</w:t>
      </w:r>
      <w:proofErr w:type="gramEnd"/>
      <w:r w:rsidRPr="00D70892">
        <w:rPr>
          <w:rFonts w:ascii="Arial" w:hAnsi="Arial" w:cs="Arial"/>
          <w:sz w:val="20"/>
          <w:szCs w:val="20"/>
        </w:rPr>
        <w:t xml:space="preserve"> </w:t>
      </w:r>
      <w:r w:rsidRPr="00D70892">
        <w:rPr>
          <w:rFonts w:ascii="Arial" w:hAnsi="Arial" w:cs="Arial"/>
          <w:i/>
          <w:iCs/>
          <w:sz w:val="20"/>
          <w:szCs w:val="20"/>
        </w:rPr>
        <w:t>International Journal of Pharmacology</w:t>
      </w:r>
      <w:r w:rsidRPr="00D70892">
        <w:rPr>
          <w:rFonts w:ascii="Arial" w:hAnsi="Arial" w:cs="Arial"/>
          <w:sz w:val="20"/>
          <w:szCs w:val="20"/>
        </w:rPr>
        <w:t xml:space="preserve">, </w:t>
      </w:r>
      <w:r w:rsidRPr="00D70892">
        <w:rPr>
          <w:rFonts w:ascii="Arial" w:hAnsi="Arial" w:cs="Arial"/>
          <w:i/>
          <w:iCs/>
          <w:sz w:val="20"/>
          <w:szCs w:val="20"/>
        </w:rPr>
        <w:t>1</w:t>
      </w:r>
      <w:r w:rsidRPr="00D70892">
        <w:rPr>
          <w:rFonts w:ascii="Arial" w:hAnsi="Arial" w:cs="Arial"/>
          <w:sz w:val="20"/>
          <w:szCs w:val="20"/>
        </w:rPr>
        <w:t>(2), 185–189. https://doi.org/10.3923/ijp.2005.185.189</w:t>
      </w:r>
    </w:p>
    <w:p w14:paraId="1511DEF5" w14:textId="77777777"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Manjusa, A., &amp; Pradeep, K. (2022).</w:t>
      </w:r>
      <w:proofErr w:type="gramEnd"/>
      <w:r w:rsidRPr="00D70892">
        <w:rPr>
          <w:rFonts w:ascii="Arial" w:hAnsi="Arial" w:cs="Arial"/>
          <w:sz w:val="20"/>
          <w:szCs w:val="20"/>
        </w:rPr>
        <w:t xml:space="preserve"> Herbal anthelmintic agents: A narrative review. </w:t>
      </w:r>
      <w:r w:rsidRPr="00D70892">
        <w:rPr>
          <w:rFonts w:ascii="Arial" w:hAnsi="Arial" w:cs="Arial"/>
          <w:i/>
          <w:iCs/>
          <w:sz w:val="20"/>
          <w:szCs w:val="20"/>
        </w:rPr>
        <w:t>Journal of Traditional Chinese Medicine</w:t>
      </w:r>
      <w:r w:rsidRPr="00D70892">
        <w:rPr>
          <w:rFonts w:ascii="Arial" w:hAnsi="Arial" w:cs="Arial"/>
          <w:sz w:val="20"/>
          <w:szCs w:val="20"/>
        </w:rPr>
        <w:t xml:space="preserve">, </w:t>
      </w:r>
      <w:r w:rsidRPr="00D70892">
        <w:rPr>
          <w:rFonts w:ascii="Arial" w:hAnsi="Arial" w:cs="Arial"/>
          <w:i/>
          <w:iCs/>
          <w:sz w:val="20"/>
          <w:szCs w:val="20"/>
        </w:rPr>
        <w:t>42</w:t>
      </w:r>
      <w:r w:rsidRPr="00D70892">
        <w:rPr>
          <w:rFonts w:ascii="Arial" w:hAnsi="Arial" w:cs="Arial"/>
          <w:sz w:val="20"/>
          <w:szCs w:val="20"/>
        </w:rPr>
        <w:t>(4), 641–651. https://doi.org/10.19852/j.cnki.jtcm.2022.04.007</w:t>
      </w:r>
    </w:p>
    <w:p w14:paraId="69A30A8F" w14:textId="471CD565" w:rsidR="00CA6D60" w:rsidRPr="00D70892" w:rsidRDefault="00CA6D60" w:rsidP="00CA6D60">
      <w:pPr>
        <w:pStyle w:val="Bibliography"/>
        <w:jc w:val="both"/>
        <w:rPr>
          <w:rFonts w:ascii="Arial" w:hAnsi="Arial" w:cs="Arial"/>
          <w:sz w:val="20"/>
          <w:szCs w:val="20"/>
        </w:rPr>
      </w:pPr>
      <w:proofErr w:type="gramStart"/>
      <w:r w:rsidRPr="00D70892">
        <w:rPr>
          <w:rFonts w:ascii="Arial" w:hAnsi="Arial" w:cs="Arial"/>
          <w:sz w:val="20"/>
          <w:szCs w:val="20"/>
        </w:rPr>
        <w:t>Meenakshisundaram, A., Harikrishnan, T. J., &amp; Anna, T. (2017).</w:t>
      </w:r>
      <w:proofErr w:type="gramEnd"/>
      <w:r w:rsidRPr="00D70892">
        <w:rPr>
          <w:rFonts w:ascii="Arial" w:hAnsi="Arial" w:cs="Arial"/>
          <w:sz w:val="20"/>
          <w:szCs w:val="20"/>
        </w:rPr>
        <w:t xml:space="preserve"> </w:t>
      </w:r>
      <w:proofErr w:type="gramStart"/>
      <w:r w:rsidRPr="00D70892">
        <w:rPr>
          <w:rFonts w:ascii="Arial" w:hAnsi="Arial" w:cs="Arial"/>
          <w:sz w:val="20"/>
          <w:szCs w:val="20"/>
        </w:rPr>
        <w:t>Anthelmintic evaluation of Cucurbita pepo against gastrointestinal nematodes of sheep.</w:t>
      </w:r>
      <w:proofErr w:type="gramEnd"/>
      <w:r w:rsidRPr="00D70892">
        <w:rPr>
          <w:rFonts w:ascii="Arial" w:hAnsi="Arial" w:cs="Arial"/>
          <w:sz w:val="20"/>
          <w:szCs w:val="20"/>
        </w:rPr>
        <w:t xml:space="preserve"> </w:t>
      </w:r>
      <w:r w:rsidRPr="00D70892">
        <w:rPr>
          <w:rFonts w:ascii="Arial" w:hAnsi="Arial" w:cs="Arial"/>
          <w:i/>
          <w:iCs/>
          <w:sz w:val="20"/>
          <w:szCs w:val="20"/>
        </w:rPr>
        <w:t>Indian Journal of Animal Research</w:t>
      </w:r>
      <w:r w:rsidRPr="00D70892">
        <w:rPr>
          <w:rFonts w:ascii="Arial" w:hAnsi="Arial" w:cs="Arial"/>
          <w:sz w:val="20"/>
          <w:szCs w:val="20"/>
        </w:rPr>
        <w:t xml:space="preserve">, </w:t>
      </w:r>
      <w:r w:rsidR="000B6867" w:rsidRPr="00D70892">
        <w:rPr>
          <w:rFonts w:ascii="Arial" w:hAnsi="Arial" w:cs="Arial"/>
          <w:sz w:val="20"/>
          <w:szCs w:val="20"/>
        </w:rPr>
        <w:t>51(3), 518-524.</w:t>
      </w:r>
      <w:r w:rsidRPr="00D70892">
        <w:rPr>
          <w:rFonts w:ascii="Arial" w:hAnsi="Arial" w:cs="Arial"/>
          <w:sz w:val="20"/>
          <w:szCs w:val="20"/>
        </w:rPr>
        <w:t xml:space="preserve"> https://doi.org/10.18805/ijar.v0iOF.7264</w:t>
      </w:r>
    </w:p>
    <w:p w14:paraId="2ED8FA93" w14:textId="77777777"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t xml:space="preserve">Ratanapob, N., Thuamsuwan, N., &amp; Thongyuan, S. (2022). </w:t>
      </w:r>
      <w:proofErr w:type="gramStart"/>
      <w:r w:rsidRPr="00D70892">
        <w:rPr>
          <w:rFonts w:ascii="Arial" w:hAnsi="Arial" w:cs="Arial"/>
          <w:sz w:val="20"/>
          <w:szCs w:val="20"/>
        </w:rPr>
        <w:t>Anthelmintic resistance status of goat gastrointestinal nematodes in Sing Buri Province, Thailand.</w:t>
      </w:r>
      <w:proofErr w:type="gramEnd"/>
      <w:r w:rsidRPr="00D70892">
        <w:rPr>
          <w:rFonts w:ascii="Arial" w:hAnsi="Arial" w:cs="Arial"/>
          <w:sz w:val="20"/>
          <w:szCs w:val="20"/>
        </w:rPr>
        <w:t xml:space="preserve"> </w:t>
      </w:r>
      <w:r w:rsidRPr="00D70892">
        <w:rPr>
          <w:rFonts w:ascii="Arial" w:hAnsi="Arial" w:cs="Arial"/>
          <w:i/>
          <w:iCs/>
          <w:sz w:val="20"/>
          <w:szCs w:val="20"/>
        </w:rPr>
        <w:t>Veterinary World</w:t>
      </w:r>
      <w:r w:rsidRPr="00D70892">
        <w:rPr>
          <w:rFonts w:ascii="Arial" w:hAnsi="Arial" w:cs="Arial"/>
          <w:sz w:val="20"/>
          <w:szCs w:val="20"/>
        </w:rPr>
        <w:t>, 83–90. https://doi.org/10.14202/vetworld.2022.83-90</w:t>
      </w:r>
    </w:p>
    <w:p w14:paraId="55119F16" w14:textId="77777777"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t xml:space="preserve">Sastry, G. A. (1989). </w:t>
      </w:r>
      <w:r w:rsidRPr="00D70892">
        <w:rPr>
          <w:rFonts w:ascii="Arial" w:hAnsi="Arial" w:cs="Arial"/>
          <w:i/>
          <w:iCs/>
          <w:sz w:val="20"/>
          <w:szCs w:val="20"/>
        </w:rPr>
        <w:t>Veterinary Clinical Pathology</w:t>
      </w:r>
      <w:r w:rsidRPr="00D70892">
        <w:rPr>
          <w:rFonts w:ascii="Arial" w:hAnsi="Arial" w:cs="Arial"/>
          <w:sz w:val="20"/>
          <w:szCs w:val="20"/>
        </w:rPr>
        <w:t xml:space="preserve"> (3rd </w:t>
      </w:r>
      <w:proofErr w:type="gramStart"/>
      <w:r w:rsidRPr="00D70892">
        <w:rPr>
          <w:rFonts w:ascii="Arial" w:hAnsi="Arial" w:cs="Arial"/>
          <w:sz w:val="20"/>
          <w:szCs w:val="20"/>
        </w:rPr>
        <w:t>ed</w:t>
      </w:r>
      <w:proofErr w:type="gramEnd"/>
      <w:r w:rsidRPr="00D70892">
        <w:rPr>
          <w:rFonts w:ascii="Arial" w:hAnsi="Arial" w:cs="Arial"/>
          <w:sz w:val="20"/>
          <w:szCs w:val="20"/>
        </w:rPr>
        <w:t xml:space="preserve">.). </w:t>
      </w:r>
      <w:proofErr w:type="gramStart"/>
      <w:r w:rsidRPr="00D70892">
        <w:rPr>
          <w:rFonts w:ascii="Arial" w:hAnsi="Arial" w:cs="Arial"/>
          <w:sz w:val="20"/>
          <w:szCs w:val="20"/>
        </w:rPr>
        <w:t>CBS Publishers and Distributors (Pvt.) Ltd., Delhi, lndia.</w:t>
      </w:r>
      <w:proofErr w:type="gramEnd"/>
    </w:p>
    <w:p w14:paraId="2010E5FC" w14:textId="77777777"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lastRenderedPageBreak/>
        <w:t xml:space="preserve">Singh, R., </w:t>
      </w:r>
      <w:proofErr w:type="gramStart"/>
      <w:r w:rsidRPr="00D70892">
        <w:rPr>
          <w:rFonts w:ascii="Arial" w:hAnsi="Arial" w:cs="Arial"/>
          <w:sz w:val="20"/>
          <w:szCs w:val="20"/>
        </w:rPr>
        <w:t>Bal</w:t>
      </w:r>
      <w:proofErr w:type="gramEnd"/>
      <w:r w:rsidRPr="00D70892">
        <w:rPr>
          <w:rFonts w:ascii="Arial" w:hAnsi="Arial" w:cs="Arial"/>
          <w:sz w:val="20"/>
          <w:szCs w:val="20"/>
        </w:rPr>
        <w:t xml:space="preserve">, M. S., Singla, L. D., &amp; Kaur, P. (2017). Detection of anthelmintic resistance in sheep and goat against fenbendazole by faecal egg count reduction test. </w:t>
      </w:r>
      <w:r w:rsidRPr="00D70892">
        <w:rPr>
          <w:rFonts w:ascii="Arial" w:hAnsi="Arial" w:cs="Arial"/>
          <w:i/>
          <w:iCs/>
          <w:sz w:val="20"/>
          <w:szCs w:val="20"/>
        </w:rPr>
        <w:t>Journal of Parasitic Diseases: Official Organ of the Indian Society for Parasitology</w:t>
      </w:r>
      <w:r w:rsidRPr="00D70892">
        <w:rPr>
          <w:rFonts w:ascii="Arial" w:hAnsi="Arial" w:cs="Arial"/>
          <w:sz w:val="20"/>
          <w:szCs w:val="20"/>
        </w:rPr>
        <w:t xml:space="preserve">, </w:t>
      </w:r>
      <w:r w:rsidRPr="00D70892">
        <w:rPr>
          <w:rFonts w:ascii="Arial" w:hAnsi="Arial" w:cs="Arial"/>
          <w:i/>
          <w:iCs/>
          <w:sz w:val="20"/>
          <w:szCs w:val="20"/>
        </w:rPr>
        <w:t>41</w:t>
      </w:r>
      <w:r w:rsidRPr="00D70892">
        <w:rPr>
          <w:rFonts w:ascii="Arial" w:hAnsi="Arial" w:cs="Arial"/>
          <w:sz w:val="20"/>
          <w:szCs w:val="20"/>
        </w:rPr>
        <w:t>(2), 463–466. https://doi.org/10.1007/s12639-016-0828-8</w:t>
      </w:r>
    </w:p>
    <w:p w14:paraId="4353C9F7" w14:textId="06D94165"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t xml:space="preserve">Snedecor, G. W., </w:t>
      </w:r>
      <w:proofErr w:type="gramStart"/>
      <w:r w:rsidRPr="00D70892">
        <w:rPr>
          <w:rFonts w:ascii="Arial" w:hAnsi="Arial" w:cs="Arial"/>
          <w:sz w:val="20"/>
          <w:szCs w:val="20"/>
        </w:rPr>
        <w:t>C</w:t>
      </w:r>
      <w:r w:rsidR="002F0114" w:rsidRPr="00D70892">
        <w:rPr>
          <w:rFonts w:ascii="Arial" w:hAnsi="Arial" w:cs="Arial"/>
          <w:sz w:val="20"/>
          <w:szCs w:val="20"/>
        </w:rPr>
        <w:t>ochran</w:t>
      </w:r>
      <w:r w:rsidRPr="00D70892">
        <w:rPr>
          <w:rFonts w:ascii="Arial" w:hAnsi="Arial" w:cs="Arial"/>
          <w:sz w:val="20"/>
          <w:szCs w:val="20"/>
        </w:rPr>
        <w:t>.,</w:t>
      </w:r>
      <w:proofErr w:type="gramEnd"/>
      <w:r w:rsidRPr="00D70892">
        <w:rPr>
          <w:rFonts w:ascii="Arial" w:hAnsi="Arial" w:cs="Arial"/>
          <w:sz w:val="20"/>
          <w:szCs w:val="20"/>
        </w:rPr>
        <w:t xml:space="preserve"> W. G. (1994). </w:t>
      </w:r>
      <w:r w:rsidRPr="00D70892">
        <w:rPr>
          <w:rFonts w:ascii="Arial" w:hAnsi="Arial" w:cs="Arial"/>
          <w:i/>
          <w:iCs/>
          <w:sz w:val="20"/>
          <w:szCs w:val="20"/>
        </w:rPr>
        <w:t>Statistical methods</w:t>
      </w:r>
      <w:r w:rsidRPr="00D70892">
        <w:rPr>
          <w:rFonts w:ascii="Arial" w:hAnsi="Arial" w:cs="Arial"/>
          <w:sz w:val="20"/>
          <w:szCs w:val="20"/>
        </w:rPr>
        <w:t xml:space="preserve"> (8th </w:t>
      </w:r>
      <w:proofErr w:type="gramStart"/>
      <w:r w:rsidRPr="00D70892">
        <w:rPr>
          <w:rFonts w:ascii="Arial" w:hAnsi="Arial" w:cs="Arial"/>
          <w:sz w:val="20"/>
          <w:szCs w:val="20"/>
        </w:rPr>
        <w:t>ed</w:t>
      </w:r>
      <w:proofErr w:type="gramEnd"/>
      <w:r w:rsidRPr="00D70892">
        <w:rPr>
          <w:rFonts w:ascii="Arial" w:hAnsi="Arial" w:cs="Arial"/>
          <w:sz w:val="20"/>
          <w:szCs w:val="20"/>
        </w:rPr>
        <w:t xml:space="preserve">.). </w:t>
      </w:r>
      <w:proofErr w:type="gramStart"/>
      <w:r w:rsidRPr="00D70892">
        <w:rPr>
          <w:rFonts w:ascii="Arial" w:hAnsi="Arial" w:cs="Arial"/>
          <w:sz w:val="20"/>
          <w:szCs w:val="20"/>
        </w:rPr>
        <w:t>Low State University Press, USA, Oxford and IBH Publication, New Delhi.</w:t>
      </w:r>
      <w:proofErr w:type="gramEnd"/>
    </w:p>
    <w:p w14:paraId="0077E545" w14:textId="77777777" w:rsidR="00CA6D60" w:rsidRPr="00D70892" w:rsidRDefault="00CA6D60" w:rsidP="00CA6D60">
      <w:pPr>
        <w:pStyle w:val="Bibliography"/>
        <w:jc w:val="both"/>
        <w:rPr>
          <w:rFonts w:ascii="Arial" w:hAnsi="Arial" w:cs="Arial"/>
          <w:sz w:val="20"/>
          <w:szCs w:val="20"/>
        </w:rPr>
      </w:pPr>
      <w:r w:rsidRPr="00D70892">
        <w:rPr>
          <w:rFonts w:ascii="Arial" w:hAnsi="Arial" w:cs="Arial"/>
          <w:sz w:val="20"/>
          <w:szCs w:val="20"/>
        </w:rPr>
        <w:t xml:space="preserve">Soulsby, E. J. L. (1982). </w:t>
      </w:r>
      <w:proofErr w:type="gramStart"/>
      <w:r w:rsidRPr="00D70892">
        <w:rPr>
          <w:rFonts w:ascii="Arial" w:hAnsi="Arial" w:cs="Arial"/>
          <w:i/>
          <w:iCs/>
          <w:sz w:val="20"/>
          <w:szCs w:val="20"/>
        </w:rPr>
        <w:t>Helminths, arthopods and protoazoa of domesticated animals.</w:t>
      </w:r>
      <w:proofErr w:type="gramEnd"/>
      <w:r w:rsidRPr="00D70892">
        <w:rPr>
          <w:rFonts w:ascii="Arial" w:hAnsi="Arial" w:cs="Arial"/>
          <w:sz w:val="20"/>
          <w:szCs w:val="20"/>
        </w:rPr>
        <w:t xml:space="preserve"> (6th </w:t>
      </w:r>
      <w:proofErr w:type="gramStart"/>
      <w:r w:rsidRPr="00D70892">
        <w:rPr>
          <w:rFonts w:ascii="Arial" w:hAnsi="Arial" w:cs="Arial"/>
          <w:sz w:val="20"/>
          <w:szCs w:val="20"/>
        </w:rPr>
        <w:t>ed</w:t>
      </w:r>
      <w:proofErr w:type="gramEnd"/>
      <w:r w:rsidRPr="00D70892">
        <w:rPr>
          <w:rFonts w:ascii="Arial" w:hAnsi="Arial" w:cs="Arial"/>
          <w:sz w:val="20"/>
          <w:szCs w:val="20"/>
        </w:rPr>
        <w:t>.). Bailliere, Tindall</w:t>
      </w:r>
      <w:proofErr w:type="gramStart"/>
      <w:r w:rsidRPr="00D70892">
        <w:rPr>
          <w:rFonts w:ascii="Arial" w:hAnsi="Arial" w:cs="Arial"/>
          <w:sz w:val="20"/>
          <w:szCs w:val="20"/>
        </w:rPr>
        <w:t>,  Cassel</w:t>
      </w:r>
      <w:proofErr w:type="gramEnd"/>
      <w:r w:rsidRPr="00D70892">
        <w:rPr>
          <w:rFonts w:ascii="Arial" w:hAnsi="Arial" w:cs="Arial"/>
          <w:sz w:val="20"/>
          <w:szCs w:val="20"/>
        </w:rPr>
        <w:t xml:space="preserve"> and Condon.</w:t>
      </w:r>
    </w:p>
    <w:p w14:paraId="08B81E37" w14:textId="6CC1B408" w:rsidR="00CA6D60" w:rsidRPr="00D70892" w:rsidRDefault="00CA6D60" w:rsidP="00CA6D60">
      <w:pPr>
        <w:pStyle w:val="ListParagraph"/>
        <w:spacing w:line="480" w:lineRule="auto"/>
        <w:jc w:val="both"/>
        <w:rPr>
          <w:rFonts w:ascii="Arial" w:hAnsi="Arial" w:cs="Arial"/>
          <w:bCs/>
          <w:sz w:val="20"/>
          <w:szCs w:val="20"/>
        </w:rPr>
      </w:pPr>
      <w:r w:rsidRPr="00D70892">
        <w:rPr>
          <w:rFonts w:ascii="Arial" w:hAnsi="Arial" w:cs="Arial"/>
          <w:b/>
          <w:sz w:val="20"/>
          <w:szCs w:val="20"/>
        </w:rPr>
        <w:fldChar w:fldCharType="end"/>
      </w:r>
    </w:p>
    <w:sectPr w:rsidR="00CA6D60" w:rsidRPr="00D7089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ekoye Alene" w:date="2025-06-24T12:51:00Z" w:initials="2121">
    <w:p w14:paraId="464EB81D" w14:textId="206AC36F" w:rsidR="003D4EFF" w:rsidRDefault="003D4EFF">
      <w:pPr>
        <w:pStyle w:val="CommentText"/>
      </w:pPr>
      <w:r>
        <w:rPr>
          <w:rStyle w:val="CommentReference"/>
        </w:rPr>
        <w:annotationRef/>
      </w:r>
      <w:r>
        <w:t>Follow on author guideline or templet throughout the manuscript</w:t>
      </w:r>
    </w:p>
  </w:comment>
  <w:comment w:id="2" w:author="Yekoye Alene" w:date="2025-06-24T12:38:00Z" w:initials="2121">
    <w:p w14:paraId="5DF9409E" w14:textId="01147C08" w:rsidR="001E6245" w:rsidRDefault="001E6245">
      <w:pPr>
        <w:pStyle w:val="CommentText"/>
      </w:pPr>
      <w:r>
        <w:rPr>
          <w:rStyle w:val="CommentReference"/>
        </w:rPr>
        <w:annotationRef/>
      </w:r>
      <w:r>
        <w:t xml:space="preserve">Make </w:t>
      </w:r>
      <w:r w:rsidR="00D70892">
        <w:t>separate</w:t>
      </w:r>
      <w:r>
        <w:t xml:space="preserve"> paragraphs for aims, study </w:t>
      </w:r>
      <w:r w:rsidR="00D70892">
        <w:t>design</w:t>
      </w:r>
      <w:r>
        <w:t>, place and duration, methodology, results and discussion</w:t>
      </w:r>
    </w:p>
  </w:comment>
  <w:comment w:id="3" w:author="Yekoye Alene" w:date="2025-06-24T12:39:00Z" w:initials="2121">
    <w:p w14:paraId="127BDC88" w14:textId="420417FD" w:rsidR="00D70892" w:rsidRDefault="00D70892">
      <w:pPr>
        <w:pStyle w:val="CommentText"/>
      </w:pPr>
      <w:r>
        <w:rPr>
          <w:rStyle w:val="CommentReference"/>
        </w:rPr>
        <w:annotationRef/>
      </w:r>
      <w:proofErr w:type="spellStart"/>
      <w:r>
        <w:t>Italize</w:t>
      </w:r>
      <w:proofErr w:type="spellEnd"/>
      <w:r>
        <w:t xml:space="preserve"> it</w:t>
      </w:r>
    </w:p>
  </w:comment>
  <w:comment w:id="4" w:author="Yekoye Alene" w:date="2025-06-24T12:39:00Z" w:initials="2121">
    <w:p w14:paraId="6ED3B00C" w14:textId="4B170CD6" w:rsidR="0022797F" w:rsidRPr="0022797F" w:rsidRDefault="0022797F">
      <w:pPr>
        <w:pStyle w:val="CommentText"/>
        <w:rPr>
          <w:rFonts w:ascii="Times New Roman" w:hAnsi="Times New Roman" w:cs="Times New Roman"/>
        </w:rPr>
      </w:pPr>
      <w:r w:rsidRPr="0022797F">
        <w:rPr>
          <w:rStyle w:val="CommentReference"/>
          <w:rFonts w:ascii="Times New Roman" w:hAnsi="Times New Roman" w:cs="Times New Roman"/>
        </w:rPr>
        <w:annotationRef/>
      </w:r>
      <w:r w:rsidRPr="0022797F">
        <w:rPr>
          <w:rFonts w:ascii="Times New Roman" w:hAnsi="Times New Roman" w:cs="Times New Roman"/>
        </w:rPr>
        <w:t>Write alphabetically</w:t>
      </w:r>
      <w:r w:rsidR="00D70892">
        <w:rPr>
          <w:rFonts w:ascii="Times New Roman" w:hAnsi="Times New Roman" w:cs="Times New Roman"/>
        </w:rPr>
        <w:t xml:space="preserve"> and </w:t>
      </w:r>
      <w:proofErr w:type="spellStart"/>
      <w:r w:rsidR="00D70892">
        <w:rPr>
          <w:rFonts w:ascii="Times New Roman" w:hAnsi="Times New Roman" w:cs="Times New Roman"/>
        </w:rPr>
        <w:t>italize</w:t>
      </w:r>
      <w:proofErr w:type="spellEnd"/>
      <w:r w:rsidR="00D70892">
        <w:rPr>
          <w:rFonts w:ascii="Times New Roman" w:hAnsi="Times New Roman" w:cs="Times New Roman"/>
        </w:rPr>
        <w:t xml:space="preserve"> them</w:t>
      </w:r>
    </w:p>
  </w:comment>
  <w:comment w:id="5" w:author="Yekoye Alene" w:date="2025-06-24T12:44:00Z" w:initials="2121">
    <w:p w14:paraId="45D73B59" w14:textId="7180509A" w:rsidR="00D70892" w:rsidRDefault="00D70892">
      <w:pPr>
        <w:pStyle w:val="CommentText"/>
      </w:pPr>
      <w:r>
        <w:rPr>
          <w:rStyle w:val="CommentReference"/>
        </w:rPr>
        <w:annotationRef/>
      </w:r>
      <w:r>
        <w:t>Capitalize each word</w:t>
      </w:r>
    </w:p>
  </w:comment>
  <w:comment w:id="6" w:author="Yekoye Alene" w:date="2025-06-24T12:18:00Z" w:initials="2121">
    <w:p w14:paraId="48124C9C" w14:textId="251DF440" w:rsidR="006B21A7" w:rsidRDefault="006B21A7">
      <w:pPr>
        <w:pStyle w:val="CommentText"/>
      </w:pPr>
      <w:r>
        <w:rPr>
          <w:rStyle w:val="CommentReference"/>
        </w:rPr>
        <w:annotationRef/>
      </w:r>
      <w:r>
        <w:t>Clearly describe about control and treatment animal setup</w:t>
      </w:r>
    </w:p>
  </w:comment>
  <w:comment w:id="7" w:author="Yekoye Alene" w:date="2025-06-24T12:45:00Z" w:initials="2121">
    <w:p w14:paraId="343E635C" w14:textId="6B541C68" w:rsidR="00D70892" w:rsidRDefault="00D70892">
      <w:pPr>
        <w:pStyle w:val="CommentText"/>
      </w:pPr>
      <w:r>
        <w:rPr>
          <w:rStyle w:val="CommentReference"/>
        </w:rPr>
        <w:annotationRef/>
      </w:r>
      <w:r>
        <w:t>Capitalize each word</w:t>
      </w:r>
    </w:p>
  </w:comment>
  <w:comment w:id="8" w:author="Yekoye Alene" w:date="2025-06-24T12:15:00Z" w:initials="2121">
    <w:p w14:paraId="57A5A1A0" w14:textId="4CDAD2BF" w:rsidR="00051300" w:rsidRDefault="00051300">
      <w:pPr>
        <w:pStyle w:val="CommentText"/>
      </w:pPr>
      <w:r>
        <w:rPr>
          <w:rStyle w:val="CommentReference"/>
        </w:rPr>
        <w:annotationRef/>
      </w:r>
      <w:r>
        <w:t>Describe about control whether they are positive or negative control and how many of them?</w:t>
      </w:r>
    </w:p>
  </w:comment>
  <w:comment w:id="9" w:author="Yekoye Alene" w:date="2025-06-24T10:17:00Z" w:initials="2121">
    <w:p w14:paraId="3863E075" w14:textId="502D9AE6" w:rsidR="00C35DCC" w:rsidRDefault="00C35DCC">
      <w:pPr>
        <w:pStyle w:val="CommentText"/>
      </w:pPr>
      <w:r>
        <w:rPr>
          <w:rStyle w:val="CommentReference"/>
        </w:rPr>
        <w:annotationRef/>
      </w:r>
      <w:r>
        <w:t>Is there any reason to use this age group? If there was write something about it.</w:t>
      </w:r>
    </w:p>
  </w:comment>
  <w:comment w:id="10" w:author="Yekoye Alene" w:date="2025-06-24T12:45:00Z" w:initials="2121">
    <w:p w14:paraId="1FF9F077" w14:textId="13AC9F78" w:rsidR="00D70892" w:rsidRDefault="00D70892">
      <w:pPr>
        <w:pStyle w:val="CommentText"/>
      </w:pPr>
      <w:r>
        <w:rPr>
          <w:rStyle w:val="CommentReference"/>
        </w:rPr>
        <w:annotationRef/>
      </w:r>
      <w:r>
        <w:t>Capitalize each word</w:t>
      </w:r>
    </w:p>
  </w:comment>
  <w:comment w:id="11" w:author="Yekoye Alene" w:date="2025-06-24T10:27:00Z" w:initials="2121">
    <w:p w14:paraId="1D0DA242" w14:textId="684AF807" w:rsidR="00E641B7" w:rsidRDefault="00E641B7">
      <w:pPr>
        <w:pStyle w:val="CommentText"/>
      </w:pPr>
      <w:r>
        <w:rPr>
          <w:rStyle w:val="CommentReference"/>
        </w:rPr>
        <w:annotationRef/>
      </w:r>
      <w:r>
        <w:t xml:space="preserve">If you use both say both floatation and sedimentation </w:t>
      </w:r>
    </w:p>
  </w:comment>
  <w:comment w:id="12" w:author="Yekoye Alene" w:date="2025-06-24T12:46:00Z" w:initials="2121">
    <w:p w14:paraId="1D6C3A44" w14:textId="7C0886A5" w:rsidR="00D70892" w:rsidRDefault="00D70892">
      <w:pPr>
        <w:pStyle w:val="CommentText"/>
      </w:pPr>
      <w:r>
        <w:rPr>
          <w:rStyle w:val="CommentReference"/>
        </w:rPr>
        <w:annotationRef/>
      </w:r>
      <w:r>
        <w:t>Capitalize each word</w:t>
      </w:r>
    </w:p>
  </w:comment>
  <w:comment w:id="13" w:author="Yekoye Alene" w:date="2025-06-24T12:46:00Z" w:initials="2121">
    <w:p w14:paraId="02E626DC" w14:textId="5B3D8351" w:rsidR="00D70892" w:rsidRDefault="00D70892">
      <w:pPr>
        <w:pStyle w:val="CommentText"/>
      </w:pPr>
      <w:r>
        <w:rPr>
          <w:rStyle w:val="CommentReference"/>
        </w:rPr>
        <w:annotationRef/>
      </w:r>
      <w:r>
        <w:t>Capitalize each word</w:t>
      </w:r>
    </w:p>
  </w:comment>
  <w:comment w:id="14" w:author="Yekoye Alene" w:date="2025-06-24T10:31:00Z" w:initials="2121">
    <w:p w14:paraId="1F1A16F6" w14:textId="4432E6A1" w:rsidR="00E641B7" w:rsidRDefault="00E641B7">
      <w:pPr>
        <w:pStyle w:val="CommentText"/>
      </w:pPr>
      <w:r>
        <w:rPr>
          <w:rStyle w:val="CommentReference"/>
        </w:rPr>
        <w:annotationRef/>
      </w:r>
      <w:r>
        <w:t>Remove it since described previously</w:t>
      </w:r>
    </w:p>
  </w:comment>
  <w:comment w:id="15" w:author="Yekoye Alene" w:date="2025-06-24T12:28:00Z" w:initials="2121">
    <w:p w14:paraId="43D35AB0" w14:textId="55F5A828" w:rsidR="00E641B7" w:rsidRDefault="00E641B7">
      <w:pPr>
        <w:pStyle w:val="CommentText"/>
      </w:pPr>
      <w:r>
        <w:rPr>
          <w:rStyle w:val="CommentReference"/>
        </w:rPr>
        <w:annotationRef/>
      </w:r>
      <w:r>
        <w:t>Provide citation</w:t>
      </w:r>
      <w:r w:rsidR="001E6245">
        <w:t xml:space="preserve"> or reference</w:t>
      </w:r>
    </w:p>
  </w:comment>
  <w:comment w:id="16" w:author="Yekoye Alene" w:date="2025-06-24T12:46:00Z" w:initials="2121">
    <w:p w14:paraId="2E5C089F" w14:textId="40BF1F92" w:rsidR="00D70892" w:rsidRDefault="00D70892">
      <w:pPr>
        <w:pStyle w:val="CommentText"/>
      </w:pPr>
      <w:r>
        <w:rPr>
          <w:rStyle w:val="CommentReference"/>
        </w:rPr>
        <w:annotationRef/>
      </w:r>
      <w:r>
        <w:t>Capitalize each word</w:t>
      </w:r>
    </w:p>
  </w:comment>
  <w:comment w:id="17" w:author="Yekoye Alene" w:date="2025-06-24T12:47:00Z" w:initials="2121">
    <w:p w14:paraId="0A1DAFD9" w14:textId="046CA641" w:rsidR="00D70892" w:rsidRDefault="00D70892">
      <w:pPr>
        <w:pStyle w:val="CommentText"/>
      </w:pPr>
      <w:r>
        <w:rPr>
          <w:rStyle w:val="CommentReference"/>
        </w:rPr>
        <w:annotationRef/>
      </w:r>
      <w:r>
        <w:t>Capitalize each word</w:t>
      </w:r>
    </w:p>
  </w:comment>
  <w:comment w:id="18" w:author="Yekoye Alene" w:date="2025-06-24T11:31:00Z" w:initials="2121">
    <w:p w14:paraId="792B027D" w14:textId="7B5F54E4" w:rsidR="00010E65" w:rsidRDefault="00010E65">
      <w:pPr>
        <w:pStyle w:val="CommentText"/>
      </w:pPr>
      <w:r>
        <w:rPr>
          <w:rStyle w:val="CommentReference"/>
        </w:rPr>
        <w:annotationRef/>
      </w:r>
      <w:r>
        <w:rPr>
          <w:rFonts w:ascii="Times New Roman" w:hAnsi="Times New Roman" w:cs="Times New Roman"/>
          <w:b/>
          <w:bCs/>
          <w:sz w:val="24"/>
        </w:rPr>
        <w:t>A</w:t>
      </w:r>
      <w:r w:rsidRPr="00010E65">
        <w:rPr>
          <w:rFonts w:ascii="Times New Roman" w:hAnsi="Times New Roman" w:cs="Times New Roman"/>
          <w:b/>
          <w:bCs/>
          <w:sz w:val="24"/>
        </w:rPr>
        <w:t>verage egg per gram</w:t>
      </w:r>
      <w:r>
        <w:rPr>
          <w:rFonts w:ascii="Times New Roman" w:hAnsi="Times New Roman" w:cs="Times New Roman"/>
          <w:b/>
          <w:bCs/>
          <w:sz w:val="24"/>
        </w:rPr>
        <w:t xml:space="preserve"> (</w:t>
      </w:r>
      <w:r w:rsidRPr="00010E65">
        <w:rPr>
          <w:b/>
          <w:bCs/>
        </w:rPr>
        <w:t>EPG</w:t>
      </w:r>
      <w:r>
        <w:rPr>
          <w:b/>
          <w:bCs/>
        </w:rPr>
        <w:t>)</w:t>
      </w:r>
      <w:r w:rsidRPr="00010E65">
        <w:rPr>
          <w:b/>
          <w:bCs/>
        </w:rPr>
        <w:t xml:space="preserve"> counts and percentage reduction over time in goats treated with aqueous seed extract of </w:t>
      </w:r>
      <w:proofErr w:type="spellStart"/>
      <w:r w:rsidRPr="00D207C7">
        <w:rPr>
          <w:b/>
          <w:bCs/>
          <w:i/>
        </w:rPr>
        <w:t>cucurbita</w:t>
      </w:r>
      <w:proofErr w:type="spellEnd"/>
      <w:r w:rsidRPr="00D207C7">
        <w:rPr>
          <w:b/>
          <w:bCs/>
          <w:i/>
        </w:rPr>
        <w:t xml:space="preserve"> pepo</w:t>
      </w:r>
    </w:p>
  </w:comment>
  <w:comment w:id="19" w:author="Yekoye Alene" w:date="2025-06-24T12:47:00Z" w:initials="2121">
    <w:p w14:paraId="0212ED44" w14:textId="4880B3CC" w:rsidR="00D70892" w:rsidRDefault="00D70892">
      <w:pPr>
        <w:pStyle w:val="CommentText"/>
      </w:pPr>
      <w:r>
        <w:rPr>
          <w:rStyle w:val="CommentReference"/>
        </w:rPr>
        <w:annotationRef/>
      </w:r>
      <w:r>
        <w:t>Capitalize each word</w:t>
      </w:r>
    </w:p>
  </w:comment>
  <w:comment w:id="20" w:author="Yekoye Alene" w:date="2025-06-24T11:30:00Z" w:initials="2121">
    <w:p w14:paraId="69460146" w14:textId="7E5EA7A1" w:rsidR="008C1261" w:rsidRDefault="008C1261">
      <w:pPr>
        <w:pStyle w:val="CommentText"/>
      </w:pPr>
      <w:r>
        <w:rPr>
          <w:rStyle w:val="CommentReference"/>
        </w:rPr>
        <w:annotationRef/>
      </w:r>
      <w:r>
        <w:t xml:space="preserve">No need of describe it since non-significant result. </w:t>
      </w:r>
      <w:r w:rsidR="00D207C7">
        <w:t>Remove</w:t>
      </w:r>
      <w:r>
        <w:t xml:space="preserve"> the sentence.</w:t>
      </w:r>
    </w:p>
  </w:comment>
  <w:comment w:id="21" w:author="Yekoye Alene" w:date="2025-06-24T11:55:00Z" w:initials="2121">
    <w:p w14:paraId="1ED10CEC" w14:textId="6D903A5D" w:rsidR="0022797F" w:rsidRPr="0022797F" w:rsidRDefault="0022797F">
      <w:pPr>
        <w:pStyle w:val="CommentText"/>
        <w:rPr>
          <w:rFonts w:ascii="Times New Roman" w:hAnsi="Times New Roman" w:cs="Times New Roman"/>
        </w:rPr>
      </w:pPr>
      <w:r>
        <w:rPr>
          <w:rStyle w:val="CommentReference"/>
        </w:rPr>
        <w:annotationRef/>
      </w:r>
      <w:proofErr w:type="spellStart"/>
      <w:r w:rsidRPr="0022797F">
        <w:rPr>
          <w:rFonts w:ascii="Times New Roman" w:hAnsi="Times New Roman" w:cs="Times New Roman"/>
        </w:rPr>
        <w:t>Italize</w:t>
      </w:r>
      <w:proofErr w:type="spellEnd"/>
      <w:r w:rsidRPr="0022797F">
        <w:rPr>
          <w:rFonts w:ascii="Times New Roman" w:hAnsi="Times New Roman" w:cs="Times New Roman"/>
        </w:rPr>
        <w:t xml:space="preserve"> it</w:t>
      </w:r>
    </w:p>
  </w:comment>
  <w:comment w:id="23" w:author="Yekoye Alene" w:date="2025-06-24T12:27:00Z" w:initials="2121">
    <w:p w14:paraId="4F8605EA" w14:textId="11B34496" w:rsidR="00A1315D" w:rsidRPr="00A1315D" w:rsidRDefault="00A1315D">
      <w:pPr>
        <w:pStyle w:val="CommentText"/>
        <w:rPr>
          <w:rFonts w:ascii="Times New Roman" w:hAnsi="Times New Roman" w:cs="Times New Roman"/>
          <w:i/>
        </w:rPr>
      </w:pPr>
      <w:r>
        <w:rPr>
          <w:rStyle w:val="CommentReference"/>
        </w:rPr>
        <w:annotationRef/>
      </w:r>
      <w:r w:rsidR="001E6245" w:rsidRPr="001E6245">
        <w:rPr>
          <w:rFonts w:ascii="Times New Roman" w:hAnsi="Times New Roman" w:cs="Times New Roman"/>
        </w:rPr>
        <w:t>Replace with</w:t>
      </w:r>
      <w:r w:rsidR="001E6245">
        <w:rPr>
          <w:rFonts w:ascii="Times New Roman" w:hAnsi="Times New Roman" w:cs="Times New Roman"/>
          <w:i/>
        </w:rPr>
        <w:t xml:space="preserve"> </w:t>
      </w:r>
      <w:r w:rsidRPr="00A1315D">
        <w:rPr>
          <w:rFonts w:ascii="Times New Roman" w:hAnsi="Times New Roman" w:cs="Times New Roman"/>
          <w:i/>
        </w:rPr>
        <w:t>Cucurbita pepo</w:t>
      </w:r>
    </w:p>
  </w:comment>
  <w:comment w:id="22" w:author="Yekoye Alene" w:date="2025-06-24T11:29:00Z" w:initials="2121">
    <w:p w14:paraId="25E13C7F" w14:textId="6ADD2F58" w:rsidR="00A1315D" w:rsidRDefault="00A1315D">
      <w:pPr>
        <w:pStyle w:val="CommentText"/>
      </w:pPr>
      <w:r>
        <w:rPr>
          <w:rStyle w:val="CommentReference"/>
        </w:rPr>
        <w:annotationRef/>
      </w:r>
      <w:r w:rsidRPr="00A1315D">
        <w:rPr>
          <w:b/>
          <w:bCs/>
        </w:rPr>
        <w:t xml:space="preserve"> Effects </w:t>
      </w:r>
      <w:r>
        <w:rPr>
          <w:rFonts w:ascii="Times New Roman" w:hAnsi="Times New Roman" w:cs="Times New Roman"/>
          <w:b/>
          <w:bCs/>
        </w:rPr>
        <w:t xml:space="preserve">of aqueous seed extract of </w:t>
      </w:r>
      <w:r w:rsidRPr="00D207C7">
        <w:rPr>
          <w:rFonts w:ascii="Times New Roman" w:hAnsi="Times New Roman" w:cs="Times New Roman"/>
          <w:b/>
          <w:i/>
        </w:rPr>
        <w:t>Cucurbita pepo</w:t>
      </w:r>
      <w:r w:rsidRPr="00A1315D">
        <w:rPr>
          <w:rFonts w:ascii="Times New Roman" w:hAnsi="Times New Roman" w:cs="Times New Roman"/>
          <w:b/>
          <w:bCs/>
        </w:rPr>
        <w:t xml:space="preserve"> on haematological and biochemical parameters in goats infested with gastrointestinal helminths</w:t>
      </w:r>
    </w:p>
  </w:comment>
  <w:comment w:id="24" w:author="Yekoye Alene" w:date="2025-06-24T11:55:00Z" w:initials="2121">
    <w:p w14:paraId="135A8F34" w14:textId="0370F370" w:rsidR="00D207C7" w:rsidRPr="0022797F" w:rsidRDefault="00D207C7">
      <w:pPr>
        <w:pStyle w:val="CommentText"/>
        <w:rPr>
          <w:rFonts w:ascii="Times New Roman" w:hAnsi="Times New Roman" w:cs="Times New Roman"/>
        </w:rPr>
      </w:pPr>
      <w:r>
        <w:rPr>
          <w:rStyle w:val="CommentReference"/>
        </w:rPr>
        <w:annotationRef/>
      </w:r>
      <w:proofErr w:type="spellStart"/>
      <w:r w:rsidRPr="0022797F">
        <w:rPr>
          <w:rFonts w:ascii="Times New Roman" w:hAnsi="Times New Roman" w:cs="Times New Roman"/>
        </w:rPr>
        <w:t>Italize</w:t>
      </w:r>
      <w:proofErr w:type="spellEnd"/>
      <w:r w:rsidRPr="0022797F">
        <w:rPr>
          <w:rFonts w:ascii="Times New Roman" w:hAnsi="Times New Roman" w:cs="Times New Roman"/>
        </w:rPr>
        <w:t xml:space="preserve"> it</w:t>
      </w:r>
    </w:p>
  </w:comment>
  <w:comment w:id="25" w:author="Yekoye Alene" w:date="2025-06-24T11:57:00Z" w:initials="2121">
    <w:p w14:paraId="7295E232" w14:textId="13A77A95" w:rsidR="0022797F" w:rsidRDefault="0022797F">
      <w:pPr>
        <w:pStyle w:val="CommentText"/>
      </w:pPr>
      <w:r>
        <w:rPr>
          <w:rStyle w:val="CommentReference"/>
        </w:rPr>
        <w:annotationRef/>
      </w:r>
      <w:r>
        <w:t xml:space="preserve">Write </w:t>
      </w:r>
      <w:r w:rsidRPr="0022797F">
        <w:rPr>
          <w:b/>
        </w:rPr>
        <w:t>Note</w:t>
      </w:r>
      <w:proofErr w:type="gramStart"/>
      <w:r w:rsidRPr="0022797F">
        <w:rPr>
          <w:b/>
        </w:rPr>
        <w:t>:-</w:t>
      </w:r>
      <w:proofErr w:type="gramEnd"/>
      <w:r w:rsidRPr="0022797F">
        <w:rPr>
          <w:b/>
        </w:rPr>
        <w:t xml:space="preserve"> </w:t>
      </w:r>
      <w:r>
        <w:t>before the sentence</w:t>
      </w:r>
    </w:p>
  </w:comment>
  <w:comment w:id="26" w:author="Yekoye Alene" w:date="2025-06-24T11:52:00Z" w:initials="2121">
    <w:p w14:paraId="4E0F00B4" w14:textId="55DB6D73" w:rsidR="0061169A" w:rsidRDefault="0061169A">
      <w:pPr>
        <w:pStyle w:val="CommentText"/>
      </w:pPr>
      <w:r>
        <w:rPr>
          <w:rStyle w:val="CommentReference"/>
        </w:rPr>
        <w:annotationRef/>
      </w:r>
      <w:r>
        <w:t xml:space="preserve"> Replace with</w:t>
      </w:r>
      <w:proofErr w:type="gramStart"/>
      <w:r>
        <w:t>:-</w:t>
      </w:r>
      <w:proofErr w:type="gramEnd"/>
      <w:r>
        <w:t xml:space="preserve"> </w:t>
      </w:r>
      <w:r w:rsidRPr="0061169A">
        <w:t>Future research should focus on identifying the active constituents of the extract and exploring their mechanisms of action, which may lead to the development of novel plant-based anthelmintic formulations for sustainable parasite control in livestock.</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DB5B8" w14:textId="77777777" w:rsidR="0051743D" w:rsidRDefault="0051743D" w:rsidP="00706BFF">
      <w:pPr>
        <w:spacing w:after="0" w:line="240" w:lineRule="auto"/>
      </w:pPr>
      <w:r>
        <w:separator/>
      </w:r>
    </w:p>
  </w:endnote>
  <w:endnote w:type="continuationSeparator" w:id="0">
    <w:p w14:paraId="4E2657D5" w14:textId="77777777" w:rsidR="0051743D" w:rsidRDefault="0051743D" w:rsidP="0070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42B99" w14:textId="77777777" w:rsidR="00744497" w:rsidRDefault="007444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73020" w14:textId="77777777" w:rsidR="00744497" w:rsidRDefault="007444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14AB9" w14:textId="77777777" w:rsidR="00744497" w:rsidRDefault="00744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29F05" w14:textId="77777777" w:rsidR="0051743D" w:rsidRDefault="0051743D" w:rsidP="00706BFF">
      <w:pPr>
        <w:spacing w:after="0" w:line="240" w:lineRule="auto"/>
      </w:pPr>
      <w:r>
        <w:separator/>
      </w:r>
    </w:p>
  </w:footnote>
  <w:footnote w:type="continuationSeparator" w:id="0">
    <w:p w14:paraId="05072106" w14:textId="77777777" w:rsidR="0051743D" w:rsidRDefault="0051743D" w:rsidP="00706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2BE23" w14:textId="33E4882F" w:rsidR="00744497" w:rsidRDefault="0051743D">
    <w:pPr>
      <w:pStyle w:val="Header"/>
    </w:pPr>
    <w:r>
      <w:rPr>
        <w:noProof/>
      </w:rPr>
      <w:pict w14:anchorId="7AA1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2BBF4" w14:textId="6811FFFA" w:rsidR="00744497" w:rsidRDefault="0051743D">
    <w:pPr>
      <w:pStyle w:val="Header"/>
    </w:pPr>
    <w:r>
      <w:rPr>
        <w:noProof/>
      </w:rPr>
      <w:pict w14:anchorId="1BAA1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72BF9" w14:textId="70679D0E" w:rsidR="00744497" w:rsidRDefault="0051743D">
    <w:pPr>
      <w:pStyle w:val="Header"/>
    </w:pPr>
    <w:r>
      <w:rPr>
        <w:noProof/>
      </w:rPr>
      <w:pict w14:anchorId="5754E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900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E3CD3"/>
    <w:multiLevelType w:val="hybridMultilevel"/>
    <w:tmpl w:val="947CD2B8"/>
    <w:lvl w:ilvl="0" w:tplc="AB321712">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B8A4C68"/>
    <w:multiLevelType w:val="hybridMultilevel"/>
    <w:tmpl w:val="70FE57D0"/>
    <w:lvl w:ilvl="0" w:tplc="5754A2E4">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88F2DDD"/>
    <w:multiLevelType w:val="multilevel"/>
    <w:tmpl w:val="E3781E46"/>
    <w:lvl w:ilvl="0">
      <w:start w:val="1"/>
      <w:numFmt w:val="decimal"/>
      <w:lvlText w:val="%1."/>
      <w:lvlJc w:val="left"/>
      <w:pPr>
        <w:ind w:left="720" w:hanging="360"/>
      </w:pPr>
      <w:rPr>
        <w:rFonts w:eastAsia="Times New Roman"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DD"/>
    <w:rsid w:val="00010E65"/>
    <w:rsid w:val="00012EAA"/>
    <w:rsid w:val="000253E8"/>
    <w:rsid w:val="00051300"/>
    <w:rsid w:val="00057C8E"/>
    <w:rsid w:val="00060BAF"/>
    <w:rsid w:val="000667C9"/>
    <w:rsid w:val="0007118C"/>
    <w:rsid w:val="0007273D"/>
    <w:rsid w:val="00074BEC"/>
    <w:rsid w:val="00080C3C"/>
    <w:rsid w:val="00082623"/>
    <w:rsid w:val="00084925"/>
    <w:rsid w:val="000963E4"/>
    <w:rsid w:val="000A336E"/>
    <w:rsid w:val="000B5741"/>
    <w:rsid w:val="000B6867"/>
    <w:rsid w:val="000C4CC8"/>
    <w:rsid w:val="000D0B14"/>
    <w:rsid w:val="000E39ED"/>
    <w:rsid w:val="001105FE"/>
    <w:rsid w:val="00113F9F"/>
    <w:rsid w:val="00114705"/>
    <w:rsid w:val="00123980"/>
    <w:rsid w:val="001351DD"/>
    <w:rsid w:val="00160912"/>
    <w:rsid w:val="00167E4F"/>
    <w:rsid w:val="0017231A"/>
    <w:rsid w:val="00173563"/>
    <w:rsid w:val="00186BB9"/>
    <w:rsid w:val="00191C08"/>
    <w:rsid w:val="001A6F95"/>
    <w:rsid w:val="001D17A9"/>
    <w:rsid w:val="001E6245"/>
    <w:rsid w:val="00205836"/>
    <w:rsid w:val="00207582"/>
    <w:rsid w:val="0022797F"/>
    <w:rsid w:val="00250EC3"/>
    <w:rsid w:val="00251DD9"/>
    <w:rsid w:val="00285A2E"/>
    <w:rsid w:val="002A4570"/>
    <w:rsid w:val="002B4012"/>
    <w:rsid w:val="002D1F70"/>
    <w:rsid w:val="002E211C"/>
    <w:rsid w:val="002F0114"/>
    <w:rsid w:val="002F3274"/>
    <w:rsid w:val="003162BC"/>
    <w:rsid w:val="00320179"/>
    <w:rsid w:val="00320E8C"/>
    <w:rsid w:val="0032712F"/>
    <w:rsid w:val="00330B2D"/>
    <w:rsid w:val="003371BB"/>
    <w:rsid w:val="00341240"/>
    <w:rsid w:val="00347360"/>
    <w:rsid w:val="00362712"/>
    <w:rsid w:val="00362BFA"/>
    <w:rsid w:val="00367941"/>
    <w:rsid w:val="00371A72"/>
    <w:rsid w:val="003A00C1"/>
    <w:rsid w:val="003A0BD1"/>
    <w:rsid w:val="003A1891"/>
    <w:rsid w:val="003A1E88"/>
    <w:rsid w:val="003B6924"/>
    <w:rsid w:val="003B70F5"/>
    <w:rsid w:val="003D4EFF"/>
    <w:rsid w:val="003E0405"/>
    <w:rsid w:val="003F144D"/>
    <w:rsid w:val="003F1559"/>
    <w:rsid w:val="0040750C"/>
    <w:rsid w:val="0041154B"/>
    <w:rsid w:val="00413EFE"/>
    <w:rsid w:val="00422D98"/>
    <w:rsid w:val="00423109"/>
    <w:rsid w:val="004322A2"/>
    <w:rsid w:val="0044515C"/>
    <w:rsid w:val="00456F75"/>
    <w:rsid w:val="00465768"/>
    <w:rsid w:val="00466D61"/>
    <w:rsid w:val="004C094D"/>
    <w:rsid w:val="004E2E47"/>
    <w:rsid w:val="0051743D"/>
    <w:rsid w:val="00531B22"/>
    <w:rsid w:val="005452CF"/>
    <w:rsid w:val="00590427"/>
    <w:rsid w:val="00595C3E"/>
    <w:rsid w:val="005A47D5"/>
    <w:rsid w:val="005A772A"/>
    <w:rsid w:val="005B2DF1"/>
    <w:rsid w:val="005D2B08"/>
    <w:rsid w:val="005E1853"/>
    <w:rsid w:val="005E3498"/>
    <w:rsid w:val="005E6BBA"/>
    <w:rsid w:val="005F557E"/>
    <w:rsid w:val="0061169A"/>
    <w:rsid w:val="00630A18"/>
    <w:rsid w:val="00637C5E"/>
    <w:rsid w:val="006426F5"/>
    <w:rsid w:val="00662C62"/>
    <w:rsid w:val="00680B29"/>
    <w:rsid w:val="00684783"/>
    <w:rsid w:val="006A27E5"/>
    <w:rsid w:val="006A3AC1"/>
    <w:rsid w:val="006B21A7"/>
    <w:rsid w:val="006C0199"/>
    <w:rsid w:val="006D5B54"/>
    <w:rsid w:val="006D5D96"/>
    <w:rsid w:val="006E0DD8"/>
    <w:rsid w:val="006E14DC"/>
    <w:rsid w:val="006E4EF5"/>
    <w:rsid w:val="006E731C"/>
    <w:rsid w:val="007018F0"/>
    <w:rsid w:val="00706BFF"/>
    <w:rsid w:val="007234E4"/>
    <w:rsid w:val="007258D4"/>
    <w:rsid w:val="00726530"/>
    <w:rsid w:val="00732CE4"/>
    <w:rsid w:val="007345CB"/>
    <w:rsid w:val="00740365"/>
    <w:rsid w:val="007429DC"/>
    <w:rsid w:val="00744497"/>
    <w:rsid w:val="0074559B"/>
    <w:rsid w:val="00787AC6"/>
    <w:rsid w:val="007A6987"/>
    <w:rsid w:val="007C0600"/>
    <w:rsid w:val="007D0F40"/>
    <w:rsid w:val="008115DB"/>
    <w:rsid w:val="00814B91"/>
    <w:rsid w:val="00834539"/>
    <w:rsid w:val="00837B54"/>
    <w:rsid w:val="0085411E"/>
    <w:rsid w:val="00874442"/>
    <w:rsid w:val="008A0C47"/>
    <w:rsid w:val="008C1261"/>
    <w:rsid w:val="008C7ADD"/>
    <w:rsid w:val="00910E61"/>
    <w:rsid w:val="00920794"/>
    <w:rsid w:val="009209C5"/>
    <w:rsid w:val="009247FB"/>
    <w:rsid w:val="00932CBB"/>
    <w:rsid w:val="009449D9"/>
    <w:rsid w:val="00957D0A"/>
    <w:rsid w:val="00984AC0"/>
    <w:rsid w:val="00996691"/>
    <w:rsid w:val="009C7779"/>
    <w:rsid w:val="009D291F"/>
    <w:rsid w:val="009E77AB"/>
    <w:rsid w:val="009F6500"/>
    <w:rsid w:val="00A1315D"/>
    <w:rsid w:val="00A14759"/>
    <w:rsid w:val="00A26064"/>
    <w:rsid w:val="00A40AC3"/>
    <w:rsid w:val="00A415F7"/>
    <w:rsid w:val="00A43B88"/>
    <w:rsid w:val="00A80DBA"/>
    <w:rsid w:val="00A9226E"/>
    <w:rsid w:val="00A966DA"/>
    <w:rsid w:val="00AB7020"/>
    <w:rsid w:val="00AC2644"/>
    <w:rsid w:val="00AD2140"/>
    <w:rsid w:val="00B17BF7"/>
    <w:rsid w:val="00B217F2"/>
    <w:rsid w:val="00B22A94"/>
    <w:rsid w:val="00B26321"/>
    <w:rsid w:val="00B3534F"/>
    <w:rsid w:val="00B401EB"/>
    <w:rsid w:val="00B57A12"/>
    <w:rsid w:val="00B71029"/>
    <w:rsid w:val="00B71EDB"/>
    <w:rsid w:val="00B7688D"/>
    <w:rsid w:val="00B77CCE"/>
    <w:rsid w:val="00B92C44"/>
    <w:rsid w:val="00BC1560"/>
    <w:rsid w:val="00BC441B"/>
    <w:rsid w:val="00BC4A59"/>
    <w:rsid w:val="00BE0E3E"/>
    <w:rsid w:val="00BF0E9E"/>
    <w:rsid w:val="00BF2E51"/>
    <w:rsid w:val="00BF7553"/>
    <w:rsid w:val="00BF7951"/>
    <w:rsid w:val="00C05B49"/>
    <w:rsid w:val="00C204D5"/>
    <w:rsid w:val="00C3381C"/>
    <w:rsid w:val="00C35DCC"/>
    <w:rsid w:val="00C413FD"/>
    <w:rsid w:val="00C44F74"/>
    <w:rsid w:val="00C7384F"/>
    <w:rsid w:val="00CA6D60"/>
    <w:rsid w:val="00CC4991"/>
    <w:rsid w:val="00CD0B0F"/>
    <w:rsid w:val="00CE4110"/>
    <w:rsid w:val="00CE69D6"/>
    <w:rsid w:val="00D06067"/>
    <w:rsid w:val="00D207C7"/>
    <w:rsid w:val="00D27EF8"/>
    <w:rsid w:val="00D30A37"/>
    <w:rsid w:val="00D318F4"/>
    <w:rsid w:val="00D3385C"/>
    <w:rsid w:val="00D35DA8"/>
    <w:rsid w:val="00D4174F"/>
    <w:rsid w:val="00D441AD"/>
    <w:rsid w:val="00D46B58"/>
    <w:rsid w:val="00D70892"/>
    <w:rsid w:val="00D80FE2"/>
    <w:rsid w:val="00D82AC6"/>
    <w:rsid w:val="00DA15E2"/>
    <w:rsid w:val="00DC0AD0"/>
    <w:rsid w:val="00E0009A"/>
    <w:rsid w:val="00E02208"/>
    <w:rsid w:val="00E11D6D"/>
    <w:rsid w:val="00E313CC"/>
    <w:rsid w:val="00E35537"/>
    <w:rsid w:val="00E3646A"/>
    <w:rsid w:val="00E446E8"/>
    <w:rsid w:val="00E471F3"/>
    <w:rsid w:val="00E5420E"/>
    <w:rsid w:val="00E57021"/>
    <w:rsid w:val="00E641B7"/>
    <w:rsid w:val="00E66188"/>
    <w:rsid w:val="00E72877"/>
    <w:rsid w:val="00E73484"/>
    <w:rsid w:val="00E92B51"/>
    <w:rsid w:val="00E92C09"/>
    <w:rsid w:val="00E97FCC"/>
    <w:rsid w:val="00EC231D"/>
    <w:rsid w:val="00EC30B0"/>
    <w:rsid w:val="00EE1726"/>
    <w:rsid w:val="00EE29B2"/>
    <w:rsid w:val="00EE4C6E"/>
    <w:rsid w:val="00F361D1"/>
    <w:rsid w:val="00F430DD"/>
    <w:rsid w:val="00F447FB"/>
    <w:rsid w:val="00F4755B"/>
    <w:rsid w:val="00F54839"/>
    <w:rsid w:val="00F56940"/>
    <w:rsid w:val="00F6291B"/>
    <w:rsid w:val="00F7063C"/>
    <w:rsid w:val="00F81A21"/>
    <w:rsid w:val="00F86514"/>
    <w:rsid w:val="00FA1DEA"/>
    <w:rsid w:val="00FA52AE"/>
    <w:rsid w:val="00FD019D"/>
    <w:rsid w:val="00FF19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CD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20E"/>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F430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430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30D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30D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30D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30D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30D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30D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30D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3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DD"/>
    <w:rPr>
      <w:rFonts w:eastAsiaTheme="majorEastAsia" w:cstheme="majorBidi"/>
      <w:color w:val="272727" w:themeColor="text1" w:themeTint="D8"/>
    </w:rPr>
  </w:style>
  <w:style w:type="paragraph" w:styleId="Title">
    <w:name w:val="Title"/>
    <w:basedOn w:val="Normal"/>
    <w:next w:val="Normal"/>
    <w:link w:val="TitleChar"/>
    <w:uiPriority w:val="10"/>
    <w:qFormat/>
    <w:rsid w:val="00F430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3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D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3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D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30DD"/>
    <w:rPr>
      <w:i/>
      <w:iCs/>
      <w:color w:val="404040" w:themeColor="text1" w:themeTint="BF"/>
    </w:rPr>
  </w:style>
  <w:style w:type="paragraph" w:styleId="ListParagraph">
    <w:name w:val="List Paragraph"/>
    <w:basedOn w:val="Normal"/>
    <w:uiPriority w:val="34"/>
    <w:qFormat/>
    <w:rsid w:val="00F430DD"/>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430DD"/>
    <w:rPr>
      <w:i/>
      <w:iCs/>
      <w:color w:val="2F5496" w:themeColor="accent1" w:themeShade="BF"/>
    </w:rPr>
  </w:style>
  <w:style w:type="paragraph" w:styleId="IntenseQuote">
    <w:name w:val="Intense Quote"/>
    <w:basedOn w:val="Normal"/>
    <w:next w:val="Normal"/>
    <w:link w:val="IntenseQuoteChar"/>
    <w:uiPriority w:val="30"/>
    <w:qFormat/>
    <w:rsid w:val="00F430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30DD"/>
    <w:rPr>
      <w:i/>
      <w:iCs/>
      <w:color w:val="2F5496" w:themeColor="accent1" w:themeShade="BF"/>
    </w:rPr>
  </w:style>
  <w:style w:type="character" w:styleId="IntenseReference">
    <w:name w:val="Intense Reference"/>
    <w:basedOn w:val="DefaultParagraphFont"/>
    <w:uiPriority w:val="32"/>
    <w:qFormat/>
    <w:rsid w:val="00F430DD"/>
    <w:rPr>
      <w:b/>
      <w:bCs/>
      <w:smallCaps/>
      <w:color w:val="2F5496" w:themeColor="accent1" w:themeShade="BF"/>
      <w:spacing w:val="5"/>
    </w:rPr>
  </w:style>
  <w:style w:type="character" w:styleId="Hyperlink">
    <w:name w:val="Hyperlink"/>
    <w:basedOn w:val="DefaultParagraphFont"/>
    <w:uiPriority w:val="99"/>
    <w:semiHidden/>
    <w:unhideWhenUsed/>
    <w:rsid w:val="00E5420E"/>
    <w:rPr>
      <w:color w:val="0000FF"/>
      <w:u w:val="single"/>
    </w:rPr>
  </w:style>
  <w:style w:type="character" w:customStyle="1" w:styleId="text">
    <w:name w:val="text"/>
    <w:basedOn w:val="DefaultParagraphFont"/>
    <w:rsid w:val="00E5420E"/>
  </w:style>
  <w:style w:type="character" w:styleId="Emphasis">
    <w:name w:val="Emphasis"/>
    <w:basedOn w:val="DefaultParagraphFont"/>
    <w:uiPriority w:val="20"/>
    <w:qFormat/>
    <w:rsid w:val="00E5420E"/>
    <w:rPr>
      <w:i/>
      <w:iCs/>
    </w:rPr>
  </w:style>
  <w:style w:type="paragraph" w:styleId="NormalWeb">
    <w:name w:val="Normal (Web)"/>
    <w:basedOn w:val="Normal"/>
    <w:uiPriority w:val="99"/>
    <w:semiHidden/>
    <w:unhideWhenUsed/>
    <w:rsid w:val="00250EC3"/>
    <w:rPr>
      <w:rFonts w:ascii="Times New Roman" w:hAnsi="Times New Roman" w:cs="Times New Roman"/>
      <w:sz w:val="24"/>
      <w:szCs w:val="24"/>
    </w:rPr>
  </w:style>
  <w:style w:type="table" w:styleId="TableGrid">
    <w:name w:val="Table Grid"/>
    <w:basedOn w:val="TableNormal"/>
    <w:uiPriority w:val="39"/>
    <w:rsid w:val="00113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381C"/>
    <w:rPr>
      <w:b/>
      <w:bCs/>
    </w:rPr>
  </w:style>
  <w:style w:type="paragraph" w:customStyle="1" w:styleId="ReferHead">
    <w:name w:val="Refer Head"/>
    <w:basedOn w:val="Normal"/>
    <w:rsid w:val="00630A18"/>
    <w:pPr>
      <w:keepNext/>
      <w:spacing w:after="240" w:line="240" w:lineRule="auto"/>
    </w:pPr>
    <w:rPr>
      <w:rFonts w:ascii="Helvetica" w:eastAsia="Times New Roman" w:hAnsi="Helvetica" w:cs="Times New Roman"/>
      <w:b/>
      <w:caps/>
      <w:szCs w:val="20"/>
      <w:lang w:val="en-US" w:eastAsia="en-US"/>
    </w:rPr>
  </w:style>
  <w:style w:type="paragraph" w:styleId="Bibliography">
    <w:name w:val="Bibliography"/>
    <w:basedOn w:val="Normal"/>
    <w:next w:val="Normal"/>
    <w:uiPriority w:val="37"/>
    <w:unhideWhenUsed/>
    <w:rsid w:val="00CA6D60"/>
    <w:pPr>
      <w:spacing w:after="0" w:line="480" w:lineRule="auto"/>
      <w:ind w:left="720" w:hanging="720"/>
    </w:pPr>
  </w:style>
  <w:style w:type="paragraph" w:styleId="Header">
    <w:name w:val="header"/>
    <w:basedOn w:val="Normal"/>
    <w:link w:val="HeaderChar"/>
    <w:uiPriority w:val="99"/>
    <w:unhideWhenUsed/>
    <w:rsid w:val="0070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BFF"/>
    <w:rPr>
      <w:rFonts w:eastAsiaTheme="minorEastAsia"/>
      <w:kern w:val="0"/>
      <w:lang w:eastAsia="en-IN"/>
      <w14:ligatures w14:val="none"/>
    </w:rPr>
  </w:style>
  <w:style w:type="paragraph" w:styleId="Footer">
    <w:name w:val="footer"/>
    <w:basedOn w:val="Normal"/>
    <w:link w:val="FooterChar"/>
    <w:uiPriority w:val="99"/>
    <w:unhideWhenUsed/>
    <w:rsid w:val="0070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BFF"/>
    <w:rPr>
      <w:rFonts w:eastAsiaTheme="minorEastAsia"/>
      <w:kern w:val="0"/>
      <w:lang w:eastAsia="en-IN"/>
      <w14:ligatures w14:val="none"/>
    </w:rPr>
  </w:style>
  <w:style w:type="character" w:styleId="CommentReference">
    <w:name w:val="annotation reference"/>
    <w:basedOn w:val="DefaultParagraphFont"/>
    <w:uiPriority w:val="99"/>
    <w:semiHidden/>
    <w:unhideWhenUsed/>
    <w:rsid w:val="00C35DCC"/>
    <w:rPr>
      <w:sz w:val="16"/>
      <w:szCs w:val="16"/>
    </w:rPr>
  </w:style>
  <w:style w:type="paragraph" w:styleId="CommentText">
    <w:name w:val="annotation text"/>
    <w:basedOn w:val="Normal"/>
    <w:link w:val="CommentTextChar"/>
    <w:uiPriority w:val="99"/>
    <w:semiHidden/>
    <w:unhideWhenUsed/>
    <w:rsid w:val="00C35DCC"/>
    <w:pPr>
      <w:spacing w:line="240" w:lineRule="auto"/>
    </w:pPr>
    <w:rPr>
      <w:sz w:val="20"/>
      <w:szCs w:val="20"/>
    </w:rPr>
  </w:style>
  <w:style w:type="character" w:customStyle="1" w:styleId="CommentTextChar">
    <w:name w:val="Comment Text Char"/>
    <w:basedOn w:val="DefaultParagraphFont"/>
    <w:link w:val="CommentText"/>
    <w:uiPriority w:val="99"/>
    <w:semiHidden/>
    <w:rsid w:val="00C35DCC"/>
    <w:rPr>
      <w:rFonts w:eastAsiaTheme="minorEastAsia"/>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C35DCC"/>
    <w:rPr>
      <w:b/>
      <w:bCs/>
    </w:rPr>
  </w:style>
  <w:style w:type="character" w:customStyle="1" w:styleId="CommentSubjectChar">
    <w:name w:val="Comment Subject Char"/>
    <w:basedOn w:val="CommentTextChar"/>
    <w:link w:val="CommentSubject"/>
    <w:uiPriority w:val="99"/>
    <w:semiHidden/>
    <w:rsid w:val="00C35DCC"/>
    <w:rPr>
      <w:rFonts w:eastAsiaTheme="minorEastAsia"/>
      <w:b/>
      <w:bCs/>
      <w:kern w:val="0"/>
      <w:sz w:val="20"/>
      <w:szCs w:val="20"/>
      <w:lang w:eastAsia="en-IN"/>
      <w14:ligatures w14:val="none"/>
    </w:rPr>
  </w:style>
  <w:style w:type="paragraph" w:styleId="BalloonText">
    <w:name w:val="Balloon Text"/>
    <w:basedOn w:val="Normal"/>
    <w:link w:val="BalloonTextChar"/>
    <w:uiPriority w:val="99"/>
    <w:semiHidden/>
    <w:unhideWhenUsed/>
    <w:rsid w:val="00C35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DCC"/>
    <w:rPr>
      <w:rFonts w:ascii="Tahoma" w:eastAsiaTheme="minorEastAsia" w:hAnsi="Tahoma" w:cs="Tahoma"/>
      <w:kern w:val="0"/>
      <w:sz w:val="16"/>
      <w:szCs w:val="16"/>
      <w:lang w:eastAsia="en-IN"/>
      <w14:ligatures w14:val="none"/>
    </w:rPr>
  </w:style>
  <w:style w:type="paragraph" w:styleId="Revision">
    <w:name w:val="Revision"/>
    <w:hidden/>
    <w:uiPriority w:val="99"/>
    <w:semiHidden/>
    <w:rsid w:val="00662C62"/>
    <w:pPr>
      <w:spacing w:after="0" w:line="240" w:lineRule="auto"/>
    </w:pPr>
    <w:rPr>
      <w:rFonts w:eastAsiaTheme="minorEastAsia"/>
      <w:kern w:val="0"/>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20E"/>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F430D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430D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430DD"/>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430DD"/>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430DD"/>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430DD"/>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430DD"/>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430DD"/>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430DD"/>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43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3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3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3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3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DD"/>
    <w:rPr>
      <w:rFonts w:eastAsiaTheme="majorEastAsia" w:cstheme="majorBidi"/>
      <w:color w:val="272727" w:themeColor="text1" w:themeTint="D8"/>
    </w:rPr>
  </w:style>
  <w:style w:type="paragraph" w:styleId="Title">
    <w:name w:val="Title"/>
    <w:basedOn w:val="Normal"/>
    <w:next w:val="Normal"/>
    <w:link w:val="TitleChar"/>
    <w:uiPriority w:val="10"/>
    <w:qFormat/>
    <w:rsid w:val="00F430D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43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DD"/>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43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DD"/>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430DD"/>
    <w:rPr>
      <w:i/>
      <w:iCs/>
      <w:color w:val="404040" w:themeColor="text1" w:themeTint="BF"/>
    </w:rPr>
  </w:style>
  <w:style w:type="paragraph" w:styleId="ListParagraph">
    <w:name w:val="List Paragraph"/>
    <w:basedOn w:val="Normal"/>
    <w:uiPriority w:val="34"/>
    <w:qFormat/>
    <w:rsid w:val="00F430DD"/>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430DD"/>
    <w:rPr>
      <w:i/>
      <w:iCs/>
      <w:color w:val="2F5496" w:themeColor="accent1" w:themeShade="BF"/>
    </w:rPr>
  </w:style>
  <w:style w:type="paragraph" w:styleId="IntenseQuote">
    <w:name w:val="Intense Quote"/>
    <w:basedOn w:val="Normal"/>
    <w:next w:val="Normal"/>
    <w:link w:val="IntenseQuoteChar"/>
    <w:uiPriority w:val="30"/>
    <w:qFormat/>
    <w:rsid w:val="00F430D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430DD"/>
    <w:rPr>
      <w:i/>
      <w:iCs/>
      <w:color w:val="2F5496" w:themeColor="accent1" w:themeShade="BF"/>
    </w:rPr>
  </w:style>
  <w:style w:type="character" w:styleId="IntenseReference">
    <w:name w:val="Intense Reference"/>
    <w:basedOn w:val="DefaultParagraphFont"/>
    <w:uiPriority w:val="32"/>
    <w:qFormat/>
    <w:rsid w:val="00F430DD"/>
    <w:rPr>
      <w:b/>
      <w:bCs/>
      <w:smallCaps/>
      <w:color w:val="2F5496" w:themeColor="accent1" w:themeShade="BF"/>
      <w:spacing w:val="5"/>
    </w:rPr>
  </w:style>
  <w:style w:type="character" w:styleId="Hyperlink">
    <w:name w:val="Hyperlink"/>
    <w:basedOn w:val="DefaultParagraphFont"/>
    <w:uiPriority w:val="99"/>
    <w:semiHidden/>
    <w:unhideWhenUsed/>
    <w:rsid w:val="00E5420E"/>
    <w:rPr>
      <w:color w:val="0000FF"/>
      <w:u w:val="single"/>
    </w:rPr>
  </w:style>
  <w:style w:type="character" w:customStyle="1" w:styleId="text">
    <w:name w:val="text"/>
    <w:basedOn w:val="DefaultParagraphFont"/>
    <w:rsid w:val="00E5420E"/>
  </w:style>
  <w:style w:type="character" w:styleId="Emphasis">
    <w:name w:val="Emphasis"/>
    <w:basedOn w:val="DefaultParagraphFont"/>
    <w:uiPriority w:val="20"/>
    <w:qFormat/>
    <w:rsid w:val="00E5420E"/>
    <w:rPr>
      <w:i/>
      <w:iCs/>
    </w:rPr>
  </w:style>
  <w:style w:type="paragraph" w:styleId="NormalWeb">
    <w:name w:val="Normal (Web)"/>
    <w:basedOn w:val="Normal"/>
    <w:uiPriority w:val="99"/>
    <w:semiHidden/>
    <w:unhideWhenUsed/>
    <w:rsid w:val="00250EC3"/>
    <w:rPr>
      <w:rFonts w:ascii="Times New Roman" w:hAnsi="Times New Roman" w:cs="Times New Roman"/>
      <w:sz w:val="24"/>
      <w:szCs w:val="24"/>
    </w:rPr>
  </w:style>
  <w:style w:type="table" w:styleId="TableGrid">
    <w:name w:val="Table Grid"/>
    <w:basedOn w:val="TableNormal"/>
    <w:uiPriority w:val="39"/>
    <w:rsid w:val="00113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381C"/>
    <w:rPr>
      <w:b/>
      <w:bCs/>
    </w:rPr>
  </w:style>
  <w:style w:type="paragraph" w:customStyle="1" w:styleId="ReferHead">
    <w:name w:val="Refer Head"/>
    <w:basedOn w:val="Normal"/>
    <w:rsid w:val="00630A18"/>
    <w:pPr>
      <w:keepNext/>
      <w:spacing w:after="240" w:line="240" w:lineRule="auto"/>
    </w:pPr>
    <w:rPr>
      <w:rFonts w:ascii="Helvetica" w:eastAsia="Times New Roman" w:hAnsi="Helvetica" w:cs="Times New Roman"/>
      <w:b/>
      <w:caps/>
      <w:szCs w:val="20"/>
      <w:lang w:val="en-US" w:eastAsia="en-US"/>
    </w:rPr>
  </w:style>
  <w:style w:type="paragraph" w:styleId="Bibliography">
    <w:name w:val="Bibliography"/>
    <w:basedOn w:val="Normal"/>
    <w:next w:val="Normal"/>
    <w:uiPriority w:val="37"/>
    <w:unhideWhenUsed/>
    <w:rsid w:val="00CA6D60"/>
    <w:pPr>
      <w:spacing w:after="0" w:line="480" w:lineRule="auto"/>
      <w:ind w:left="720" w:hanging="720"/>
    </w:pPr>
  </w:style>
  <w:style w:type="paragraph" w:styleId="Header">
    <w:name w:val="header"/>
    <w:basedOn w:val="Normal"/>
    <w:link w:val="HeaderChar"/>
    <w:uiPriority w:val="99"/>
    <w:unhideWhenUsed/>
    <w:rsid w:val="0070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BFF"/>
    <w:rPr>
      <w:rFonts w:eastAsiaTheme="minorEastAsia"/>
      <w:kern w:val="0"/>
      <w:lang w:eastAsia="en-IN"/>
      <w14:ligatures w14:val="none"/>
    </w:rPr>
  </w:style>
  <w:style w:type="paragraph" w:styleId="Footer">
    <w:name w:val="footer"/>
    <w:basedOn w:val="Normal"/>
    <w:link w:val="FooterChar"/>
    <w:uiPriority w:val="99"/>
    <w:unhideWhenUsed/>
    <w:rsid w:val="0070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BFF"/>
    <w:rPr>
      <w:rFonts w:eastAsiaTheme="minorEastAsia"/>
      <w:kern w:val="0"/>
      <w:lang w:eastAsia="en-IN"/>
      <w14:ligatures w14:val="none"/>
    </w:rPr>
  </w:style>
  <w:style w:type="character" w:styleId="CommentReference">
    <w:name w:val="annotation reference"/>
    <w:basedOn w:val="DefaultParagraphFont"/>
    <w:uiPriority w:val="99"/>
    <w:semiHidden/>
    <w:unhideWhenUsed/>
    <w:rsid w:val="00C35DCC"/>
    <w:rPr>
      <w:sz w:val="16"/>
      <w:szCs w:val="16"/>
    </w:rPr>
  </w:style>
  <w:style w:type="paragraph" w:styleId="CommentText">
    <w:name w:val="annotation text"/>
    <w:basedOn w:val="Normal"/>
    <w:link w:val="CommentTextChar"/>
    <w:uiPriority w:val="99"/>
    <w:semiHidden/>
    <w:unhideWhenUsed/>
    <w:rsid w:val="00C35DCC"/>
    <w:pPr>
      <w:spacing w:line="240" w:lineRule="auto"/>
    </w:pPr>
    <w:rPr>
      <w:sz w:val="20"/>
      <w:szCs w:val="20"/>
    </w:rPr>
  </w:style>
  <w:style w:type="character" w:customStyle="1" w:styleId="CommentTextChar">
    <w:name w:val="Comment Text Char"/>
    <w:basedOn w:val="DefaultParagraphFont"/>
    <w:link w:val="CommentText"/>
    <w:uiPriority w:val="99"/>
    <w:semiHidden/>
    <w:rsid w:val="00C35DCC"/>
    <w:rPr>
      <w:rFonts w:eastAsiaTheme="minorEastAsia"/>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C35DCC"/>
    <w:rPr>
      <w:b/>
      <w:bCs/>
    </w:rPr>
  </w:style>
  <w:style w:type="character" w:customStyle="1" w:styleId="CommentSubjectChar">
    <w:name w:val="Comment Subject Char"/>
    <w:basedOn w:val="CommentTextChar"/>
    <w:link w:val="CommentSubject"/>
    <w:uiPriority w:val="99"/>
    <w:semiHidden/>
    <w:rsid w:val="00C35DCC"/>
    <w:rPr>
      <w:rFonts w:eastAsiaTheme="minorEastAsia"/>
      <w:b/>
      <w:bCs/>
      <w:kern w:val="0"/>
      <w:sz w:val="20"/>
      <w:szCs w:val="20"/>
      <w:lang w:eastAsia="en-IN"/>
      <w14:ligatures w14:val="none"/>
    </w:rPr>
  </w:style>
  <w:style w:type="paragraph" w:styleId="BalloonText">
    <w:name w:val="Balloon Text"/>
    <w:basedOn w:val="Normal"/>
    <w:link w:val="BalloonTextChar"/>
    <w:uiPriority w:val="99"/>
    <w:semiHidden/>
    <w:unhideWhenUsed/>
    <w:rsid w:val="00C35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DCC"/>
    <w:rPr>
      <w:rFonts w:ascii="Tahoma" w:eastAsiaTheme="minorEastAsia" w:hAnsi="Tahoma" w:cs="Tahoma"/>
      <w:kern w:val="0"/>
      <w:sz w:val="16"/>
      <w:szCs w:val="16"/>
      <w:lang w:eastAsia="en-IN"/>
      <w14:ligatures w14:val="none"/>
    </w:rPr>
  </w:style>
  <w:style w:type="paragraph" w:styleId="Revision">
    <w:name w:val="Revision"/>
    <w:hidden/>
    <w:uiPriority w:val="99"/>
    <w:semiHidden/>
    <w:rsid w:val="00662C62"/>
    <w:pPr>
      <w:spacing w:after="0" w:line="240" w:lineRule="auto"/>
    </w:pPr>
    <w:rPr>
      <w:rFonts w:eastAsiaTheme="minorEastAsia"/>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3175">
      <w:bodyDiv w:val="1"/>
      <w:marLeft w:val="0"/>
      <w:marRight w:val="0"/>
      <w:marTop w:val="0"/>
      <w:marBottom w:val="0"/>
      <w:divBdr>
        <w:top w:val="none" w:sz="0" w:space="0" w:color="auto"/>
        <w:left w:val="none" w:sz="0" w:space="0" w:color="auto"/>
        <w:bottom w:val="none" w:sz="0" w:space="0" w:color="auto"/>
        <w:right w:val="none" w:sz="0" w:space="0" w:color="auto"/>
      </w:divBdr>
    </w:div>
    <w:div w:id="305672370">
      <w:bodyDiv w:val="1"/>
      <w:marLeft w:val="0"/>
      <w:marRight w:val="0"/>
      <w:marTop w:val="0"/>
      <w:marBottom w:val="0"/>
      <w:divBdr>
        <w:top w:val="none" w:sz="0" w:space="0" w:color="auto"/>
        <w:left w:val="none" w:sz="0" w:space="0" w:color="auto"/>
        <w:bottom w:val="none" w:sz="0" w:space="0" w:color="auto"/>
        <w:right w:val="none" w:sz="0" w:space="0" w:color="auto"/>
      </w:divBdr>
    </w:div>
    <w:div w:id="397555961">
      <w:bodyDiv w:val="1"/>
      <w:marLeft w:val="0"/>
      <w:marRight w:val="0"/>
      <w:marTop w:val="0"/>
      <w:marBottom w:val="0"/>
      <w:divBdr>
        <w:top w:val="none" w:sz="0" w:space="0" w:color="auto"/>
        <w:left w:val="none" w:sz="0" w:space="0" w:color="auto"/>
        <w:bottom w:val="none" w:sz="0" w:space="0" w:color="auto"/>
        <w:right w:val="none" w:sz="0" w:space="0" w:color="auto"/>
      </w:divBdr>
    </w:div>
    <w:div w:id="418989230">
      <w:bodyDiv w:val="1"/>
      <w:marLeft w:val="0"/>
      <w:marRight w:val="0"/>
      <w:marTop w:val="0"/>
      <w:marBottom w:val="0"/>
      <w:divBdr>
        <w:top w:val="none" w:sz="0" w:space="0" w:color="auto"/>
        <w:left w:val="none" w:sz="0" w:space="0" w:color="auto"/>
        <w:bottom w:val="none" w:sz="0" w:space="0" w:color="auto"/>
        <w:right w:val="none" w:sz="0" w:space="0" w:color="auto"/>
      </w:divBdr>
    </w:div>
    <w:div w:id="476919548">
      <w:bodyDiv w:val="1"/>
      <w:marLeft w:val="0"/>
      <w:marRight w:val="0"/>
      <w:marTop w:val="0"/>
      <w:marBottom w:val="0"/>
      <w:divBdr>
        <w:top w:val="none" w:sz="0" w:space="0" w:color="auto"/>
        <w:left w:val="none" w:sz="0" w:space="0" w:color="auto"/>
        <w:bottom w:val="none" w:sz="0" w:space="0" w:color="auto"/>
        <w:right w:val="none" w:sz="0" w:space="0" w:color="auto"/>
      </w:divBdr>
    </w:div>
    <w:div w:id="581917576">
      <w:bodyDiv w:val="1"/>
      <w:marLeft w:val="0"/>
      <w:marRight w:val="0"/>
      <w:marTop w:val="0"/>
      <w:marBottom w:val="0"/>
      <w:divBdr>
        <w:top w:val="none" w:sz="0" w:space="0" w:color="auto"/>
        <w:left w:val="none" w:sz="0" w:space="0" w:color="auto"/>
        <w:bottom w:val="none" w:sz="0" w:space="0" w:color="auto"/>
        <w:right w:val="none" w:sz="0" w:space="0" w:color="auto"/>
      </w:divBdr>
    </w:div>
    <w:div w:id="758212648">
      <w:bodyDiv w:val="1"/>
      <w:marLeft w:val="0"/>
      <w:marRight w:val="0"/>
      <w:marTop w:val="0"/>
      <w:marBottom w:val="0"/>
      <w:divBdr>
        <w:top w:val="none" w:sz="0" w:space="0" w:color="auto"/>
        <w:left w:val="none" w:sz="0" w:space="0" w:color="auto"/>
        <w:bottom w:val="none" w:sz="0" w:space="0" w:color="auto"/>
        <w:right w:val="none" w:sz="0" w:space="0" w:color="auto"/>
      </w:divBdr>
    </w:div>
    <w:div w:id="1306004529">
      <w:bodyDiv w:val="1"/>
      <w:marLeft w:val="0"/>
      <w:marRight w:val="0"/>
      <w:marTop w:val="0"/>
      <w:marBottom w:val="0"/>
      <w:divBdr>
        <w:top w:val="none" w:sz="0" w:space="0" w:color="auto"/>
        <w:left w:val="none" w:sz="0" w:space="0" w:color="auto"/>
        <w:bottom w:val="none" w:sz="0" w:space="0" w:color="auto"/>
        <w:right w:val="none" w:sz="0" w:space="0" w:color="auto"/>
      </w:divBdr>
    </w:div>
    <w:div w:id="1366060634">
      <w:bodyDiv w:val="1"/>
      <w:marLeft w:val="0"/>
      <w:marRight w:val="0"/>
      <w:marTop w:val="0"/>
      <w:marBottom w:val="0"/>
      <w:divBdr>
        <w:top w:val="none" w:sz="0" w:space="0" w:color="auto"/>
        <w:left w:val="none" w:sz="0" w:space="0" w:color="auto"/>
        <w:bottom w:val="none" w:sz="0" w:space="0" w:color="auto"/>
        <w:right w:val="none" w:sz="0" w:space="0" w:color="auto"/>
      </w:divBdr>
    </w:div>
    <w:div w:id="160642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10</Pages>
  <Words>10938</Words>
  <Characters>62351</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ZINGARE</dc:creator>
  <cp:keywords/>
  <dc:description/>
  <cp:lastModifiedBy>Yekoye Alene</cp:lastModifiedBy>
  <cp:revision>181</cp:revision>
  <dcterms:created xsi:type="dcterms:W3CDTF">2025-06-19T14:47:00Z</dcterms:created>
  <dcterms:modified xsi:type="dcterms:W3CDTF">2025-06-24T09:51:00Z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id="70FrRb0j"/&gt;&lt;style id="http://www.zotero.org/styles/apa" locale="en-US" hasBibliography="1" bibliographyStyleHasBeenSet="1"/&gt;&lt;prefs&gt;&lt;pref name="fieldType" value="Field"/&gt;&lt;/prefs&gt;&lt;/data&gt;</vt:lpwstr>
  </property>
</Properties>
</file>