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CBE43" w14:textId="77777777" w:rsidR="00260FF3" w:rsidRDefault="00260FF3" w:rsidP="0001263A">
      <w:pPr>
        <w:spacing w:before="240" w:after="0" w:line="240" w:lineRule="auto"/>
        <w:jc w:val="center"/>
        <w:rPr>
          <w:rFonts w:ascii="Times New Roman" w:hAnsi="Times New Roman" w:cs="Times New Roman"/>
          <w:b/>
          <w:sz w:val="24"/>
          <w:szCs w:val="24"/>
        </w:rPr>
      </w:pPr>
      <w:r w:rsidRPr="002607C0">
        <w:rPr>
          <w:rFonts w:ascii="Times New Roman" w:hAnsi="Times New Roman" w:cs="Times New Roman"/>
          <w:b/>
          <w:sz w:val="24"/>
          <w:szCs w:val="24"/>
        </w:rPr>
        <w:t xml:space="preserve">Neuropharmacological Evaluation of Aqueous Extracts of </w:t>
      </w:r>
      <w:r w:rsidRPr="002607C0">
        <w:rPr>
          <w:rStyle w:val="Emphasis"/>
          <w:rFonts w:ascii="Times New Roman" w:hAnsi="Times New Roman" w:cs="Times New Roman"/>
          <w:b/>
          <w:sz w:val="24"/>
          <w:szCs w:val="24"/>
        </w:rPr>
        <w:t>Tecoma stans</w:t>
      </w:r>
      <w:r w:rsidRPr="002607C0">
        <w:rPr>
          <w:rFonts w:ascii="Times New Roman" w:hAnsi="Times New Roman" w:cs="Times New Roman"/>
          <w:b/>
          <w:sz w:val="24"/>
          <w:szCs w:val="24"/>
        </w:rPr>
        <w:t xml:space="preserve"> Linn in Mice Models</w:t>
      </w:r>
    </w:p>
    <w:p w14:paraId="114682AE" w14:textId="77777777" w:rsidR="00111AB8" w:rsidRDefault="00111AB8" w:rsidP="00235EA9">
      <w:pPr>
        <w:spacing w:before="240" w:after="0" w:line="240" w:lineRule="auto"/>
        <w:jc w:val="both"/>
        <w:rPr>
          <w:rFonts w:ascii="Times New Roman" w:hAnsi="Times New Roman" w:cs="Times New Roman"/>
          <w:b/>
          <w:bCs/>
          <w:sz w:val="24"/>
          <w:szCs w:val="24"/>
          <w:lang w:val="en-US"/>
        </w:rPr>
      </w:pPr>
    </w:p>
    <w:p w14:paraId="53E73179" w14:textId="3FC204FF" w:rsidR="000E5E0F" w:rsidRPr="002607C0" w:rsidRDefault="00235EA9" w:rsidP="00235EA9">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w:t>
      </w:r>
      <w:r w:rsidR="00FA538A" w:rsidRPr="002607C0">
        <w:rPr>
          <w:rFonts w:ascii="Times New Roman" w:hAnsi="Times New Roman" w:cs="Times New Roman"/>
          <w:b/>
          <w:bCs/>
          <w:sz w:val="24"/>
          <w:szCs w:val="24"/>
          <w:lang w:val="en-US"/>
        </w:rPr>
        <w:t>STRACT</w:t>
      </w:r>
    </w:p>
    <w:p w14:paraId="6761E20B" w14:textId="77777777" w:rsidR="000E5E0F" w:rsidRPr="002607C0" w:rsidRDefault="000E5E0F" w:rsidP="00235EA9">
      <w:pPr>
        <w:spacing w:before="240" w:line="240" w:lineRule="auto"/>
        <w:jc w:val="both"/>
        <w:rPr>
          <w:rFonts w:ascii="Times New Roman" w:hAnsi="Times New Roman" w:cs="Times New Roman"/>
          <w:b/>
          <w:bCs/>
          <w:sz w:val="24"/>
          <w:szCs w:val="24"/>
          <w:lang w:val="en-US"/>
        </w:rPr>
      </w:pPr>
      <w:r w:rsidRPr="002607C0">
        <w:rPr>
          <w:rFonts w:ascii="Times New Roman" w:hAnsi="Times New Roman" w:cs="Times New Roman"/>
          <w:sz w:val="24"/>
          <w:szCs w:val="24"/>
          <w:lang w:val="en-US"/>
        </w:rPr>
        <w:t xml:space="preserve">The major mood disorders are defined by the presence of depressive and/or manic episodes. Both major depressive disorders and bipolar disorders are major causes of morbidity worldwide, resulting in lost productivity and substantially increased use of medical resources. </w:t>
      </w:r>
      <w:r w:rsidRPr="002607C0">
        <w:rPr>
          <w:rFonts w:ascii="Times New Roman" w:eastAsia="Times New Roman" w:hAnsi="Times New Roman" w:cs="Times New Roman"/>
          <w:kern w:val="0"/>
          <w:sz w:val="24"/>
          <w:szCs w:val="24"/>
          <w:lang w:eastAsia="en-IN"/>
          <w14:ligatures w14:val="none"/>
        </w:rPr>
        <w:t xml:space="preserve">Only a small percentage of the 450 million individuals who suffer from mental or behavioural disorders receive even the most basic care, according to the World Health Organization's 2001 study. This represents 12.3% of the worldwide disease burden and is expected to increase to 15% by 2020. </w:t>
      </w:r>
      <w:r w:rsidR="00235EA9">
        <w:rPr>
          <w:rFonts w:ascii="Times New Roman" w:eastAsia="Times New Roman" w:hAnsi="Times New Roman" w:cs="Times New Roman"/>
          <w:kern w:val="0"/>
          <w:sz w:val="24"/>
          <w:szCs w:val="24"/>
          <w:lang w:eastAsia="en-IN"/>
          <w14:ligatures w14:val="none"/>
        </w:rPr>
        <w:t>T</w:t>
      </w:r>
      <w:r w:rsidRPr="002607C0">
        <w:rPr>
          <w:rFonts w:ascii="Times New Roman" w:eastAsia="Times New Roman" w:hAnsi="Times New Roman" w:cs="Times New Roman"/>
          <w:kern w:val="0"/>
          <w:sz w:val="24"/>
          <w:szCs w:val="24"/>
          <w:lang w:eastAsia="en-IN"/>
          <w14:ligatures w14:val="none"/>
        </w:rPr>
        <w:t>o ascertain the neuropharmacological impact of Tecoma stans flowers in mice to look into the scientific rationale behind their traditional use.</w:t>
      </w:r>
      <w:r w:rsidRPr="002607C0">
        <w:rPr>
          <w:rFonts w:ascii="Times New Roman" w:hAnsi="Times New Roman" w:cs="Times New Roman"/>
          <w:sz w:val="24"/>
          <w:szCs w:val="24"/>
          <w:lang w:val="en-US"/>
        </w:rPr>
        <w:t xml:space="preserve"> </w:t>
      </w:r>
      <w:r w:rsidRPr="002607C0">
        <w:rPr>
          <w:rFonts w:ascii="Times New Roman" w:eastAsia="Times New Roman" w:hAnsi="Times New Roman" w:cs="Times New Roman"/>
          <w:kern w:val="0"/>
          <w:sz w:val="24"/>
          <w:szCs w:val="24"/>
          <w:lang w:eastAsia="en-IN"/>
          <w14:ligatures w14:val="none"/>
        </w:rPr>
        <w:t xml:space="preserve">Tecoma stan flowers were shade-dried and ground into a powder. To increase polarity, it was extracted using the solvent one after the other. The two doses of 200 mg/kg and 400 mg/kg of the aqueous extracts were given orally. </w:t>
      </w:r>
      <w:r w:rsidRPr="002607C0">
        <w:rPr>
          <w:rFonts w:ascii="Times New Roman" w:hAnsi="Times New Roman" w:cs="Times New Roman"/>
          <w:sz w:val="24"/>
          <w:szCs w:val="24"/>
          <w:lang w:val="en-US"/>
        </w:rPr>
        <w:t xml:space="preserve">The neuropharmacological activity was evaluated in antipsychotic activity. </w:t>
      </w:r>
      <w:r w:rsidRPr="002607C0">
        <w:rPr>
          <w:rFonts w:ascii="Times New Roman" w:eastAsia="Times New Roman" w:hAnsi="Times New Roman" w:cs="Times New Roman"/>
          <w:kern w:val="0"/>
          <w:sz w:val="24"/>
          <w:szCs w:val="24"/>
          <w:lang w:eastAsia="en-IN"/>
          <w14:ligatures w14:val="none"/>
        </w:rPr>
        <w:t xml:space="preserve">The results were interpreted after submitting the data from multiple research to statistical analysis, including one-way ANOVA and post-tests such as Dunnett's T-test. In many models of animals, Tecoma stans Linn aqueous extracts demonstrated noteworthy neuropharmacological characteristics. </w:t>
      </w:r>
      <w:r w:rsidRPr="002607C0">
        <w:rPr>
          <w:rFonts w:ascii="Times New Roman" w:hAnsi="Times New Roman" w:cs="Times New Roman"/>
          <w:sz w:val="24"/>
          <w:szCs w:val="24"/>
          <w:lang w:val="en-US"/>
        </w:rPr>
        <w:t>The aqueous extracts of Tecoma stans Linn possess potential neuropharmacological activity.</w:t>
      </w:r>
    </w:p>
    <w:p w14:paraId="3129C033" w14:textId="77777777" w:rsidR="00CB36AC" w:rsidRPr="00235EA9" w:rsidRDefault="000E5E0F" w:rsidP="00235EA9">
      <w:pPr>
        <w:spacing w:before="240" w:after="0" w:line="240" w:lineRule="auto"/>
        <w:jc w:val="both"/>
        <w:rPr>
          <w:rFonts w:ascii="Times New Roman" w:hAnsi="Times New Roman" w:cs="Times New Roman"/>
          <w:i/>
          <w:sz w:val="24"/>
          <w:szCs w:val="24"/>
          <w:lang w:val="en-US"/>
        </w:rPr>
      </w:pPr>
      <w:r w:rsidRPr="00235EA9">
        <w:rPr>
          <w:rFonts w:ascii="Times New Roman" w:hAnsi="Times New Roman" w:cs="Times New Roman"/>
          <w:bCs/>
          <w:i/>
          <w:sz w:val="24"/>
          <w:szCs w:val="24"/>
          <w:lang w:val="en-US"/>
        </w:rPr>
        <w:t>Keywords:</w:t>
      </w:r>
      <w:r w:rsidR="00235EA9" w:rsidRPr="00235EA9">
        <w:rPr>
          <w:rFonts w:ascii="Times New Roman" w:hAnsi="Times New Roman" w:cs="Times New Roman"/>
          <w:b/>
          <w:bCs/>
          <w:i/>
          <w:sz w:val="24"/>
          <w:szCs w:val="24"/>
          <w:lang w:val="en-US"/>
        </w:rPr>
        <w:t xml:space="preserve"> </w:t>
      </w:r>
      <w:r w:rsidRPr="00235EA9">
        <w:rPr>
          <w:rFonts w:ascii="Times New Roman" w:hAnsi="Times New Roman" w:cs="Times New Roman"/>
          <w:i/>
          <w:sz w:val="24"/>
          <w:szCs w:val="24"/>
          <w:lang w:val="en-US"/>
        </w:rPr>
        <w:t xml:space="preserve">Aqueous extract, Tecoma stans flowers, Haloperidol, </w:t>
      </w:r>
      <w:proofErr w:type="spellStart"/>
      <w:r w:rsidR="002F2728" w:rsidRPr="00235EA9">
        <w:rPr>
          <w:rFonts w:ascii="Times New Roman" w:hAnsi="Times New Roman" w:cs="Times New Roman"/>
          <w:i/>
          <w:sz w:val="24"/>
          <w:szCs w:val="24"/>
          <w:lang w:val="en-US"/>
        </w:rPr>
        <w:t>Amphetamin</w:t>
      </w:r>
      <w:proofErr w:type="spellEnd"/>
    </w:p>
    <w:p w14:paraId="29BF3633" w14:textId="77777777" w:rsidR="000E5E0F" w:rsidRPr="00235EA9" w:rsidRDefault="00235EA9" w:rsidP="00235EA9">
      <w:pPr>
        <w:spacing w:before="240" w:after="0" w:line="240" w:lineRule="auto"/>
        <w:jc w:val="both"/>
        <w:rPr>
          <w:rFonts w:ascii="Times New Roman" w:hAnsi="Times New Roman" w:cs="Times New Roman"/>
          <w:b/>
          <w:bCs/>
          <w:sz w:val="24"/>
          <w:szCs w:val="24"/>
          <w:lang w:val="en-US"/>
        </w:rPr>
      </w:pPr>
      <w:r w:rsidRPr="00235EA9">
        <w:rPr>
          <w:rFonts w:ascii="Times New Roman" w:hAnsi="Times New Roman" w:cs="Times New Roman"/>
          <w:b/>
          <w:bCs/>
          <w:sz w:val="24"/>
          <w:szCs w:val="24"/>
          <w:lang w:val="en-US"/>
        </w:rPr>
        <w:t>1.</w:t>
      </w:r>
      <w:r>
        <w:rPr>
          <w:rFonts w:ascii="Times New Roman" w:hAnsi="Times New Roman" w:cs="Times New Roman"/>
          <w:b/>
          <w:bCs/>
          <w:sz w:val="24"/>
          <w:szCs w:val="24"/>
          <w:lang w:val="en-US"/>
        </w:rPr>
        <w:t xml:space="preserve"> </w:t>
      </w:r>
      <w:r w:rsidR="000E5E0F" w:rsidRPr="00235EA9">
        <w:rPr>
          <w:rFonts w:ascii="Times New Roman" w:hAnsi="Times New Roman" w:cs="Times New Roman"/>
          <w:b/>
          <w:bCs/>
          <w:sz w:val="24"/>
          <w:szCs w:val="24"/>
          <w:lang w:val="en-US"/>
        </w:rPr>
        <w:t>INTRODUCTION</w:t>
      </w:r>
    </w:p>
    <w:p w14:paraId="278F1BEB" w14:textId="77777777" w:rsidR="002E7626"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The study of how medications impact nervous system function in cells is known as neuropharmacology. Behavioural neuropharmacology and molecular neuropharmacology are the two primary subfields of neuropharmacology. The study of how medications impact human behaviour is the main focus of behavioural neuropharmacology</w:t>
      </w:r>
      <w:r w:rsidR="00235EA9">
        <w:rPr>
          <w:rFonts w:ascii="Times New Roman" w:eastAsia="Times New Roman" w:hAnsi="Times New Roman" w:cs="Times New Roman"/>
          <w:kern w:val="0"/>
          <w:sz w:val="24"/>
          <w:szCs w:val="24"/>
          <w:lang w:eastAsia="en-IN"/>
          <w14:ligatures w14:val="none"/>
        </w:rPr>
        <w:t xml:space="preserve"> [1]</w:t>
      </w:r>
      <w:r w:rsidRPr="002607C0">
        <w:rPr>
          <w:rFonts w:ascii="Times New Roman" w:eastAsia="Times New Roman" w:hAnsi="Times New Roman" w:cs="Times New Roman"/>
          <w:kern w:val="0"/>
          <w:sz w:val="24"/>
          <w:szCs w:val="24"/>
          <w:lang w:eastAsia="en-IN"/>
          <w14:ligatures w14:val="none"/>
        </w:rPr>
        <w:t>. In molecular neuropharmacology, neurons and their neurochemical interactions are studied to create medications that improve neurological processes</w:t>
      </w:r>
      <w:r w:rsidR="00235EA9">
        <w:rPr>
          <w:rFonts w:ascii="Times New Roman" w:eastAsia="Times New Roman" w:hAnsi="Times New Roman" w:cs="Times New Roman"/>
          <w:kern w:val="0"/>
          <w:sz w:val="24"/>
          <w:szCs w:val="24"/>
          <w:lang w:eastAsia="en-IN"/>
          <w14:ligatures w14:val="none"/>
        </w:rPr>
        <w:t xml:space="preserve"> [2]</w:t>
      </w:r>
      <w:r w:rsidRPr="002607C0">
        <w:rPr>
          <w:rFonts w:ascii="Times New Roman" w:eastAsia="Times New Roman" w:hAnsi="Times New Roman" w:cs="Times New Roman"/>
          <w:kern w:val="0"/>
          <w:sz w:val="24"/>
          <w:szCs w:val="24"/>
          <w:lang w:eastAsia="en-IN"/>
          <w14:ligatures w14:val="none"/>
        </w:rPr>
        <w:t>.</w:t>
      </w:r>
      <w:r w:rsidRPr="002607C0">
        <w:rPr>
          <w:rFonts w:ascii="Times New Roman" w:eastAsia="Times New Roman" w:hAnsi="Times New Roman" w:cs="Times New Roman"/>
          <w:kern w:val="0"/>
          <w:sz w:val="24"/>
          <w:szCs w:val="24"/>
          <w:vertAlign w:val="superscript"/>
          <w:lang w:eastAsia="en-IN"/>
          <w14:ligatures w14:val="none"/>
        </w:rPr>
        <w:t xml:space="preserve"> </w:t>
      </w:r>
      <w:r w:rsidRPr="002607C0">
        <w:rPr>
          <w:rFonts w:ascii="Times New Roman" w:eastAsia="Times New Roman" w:hAnsi="Times New Roman" w:cs="Times New Roman"/>
          <w:kern w:val="0"/>
          <w:sz w:val="24"/>
          <w:szCs w:val="24"/>
          <w:lang w:eastAsia="en-IN"/>
          <w14:ligatures w14:val="none"/>
        </w:rPr>
        <w:t>To cure neurological conditions. The most commonly used drugs act on the central nervous system. Although selectively acting synthetic medications have severe adverse effects and don't appreciably change the course of the disease, they can be used to treat anxiety, mania, depression, or schizophrenia without changing awareness</w:t>
      </w:r>
      <w:r w:rsidR="00235EA9">
        <w:rPr>
          <w:rFonts w:ascii="Times New Roman" w:eastAsia="Times New Roman" w:hAnsi="Times New Roman" w:cs="Times New Roman"/>
          <w:kern w:val="0"/>
          <w:sz w:val="24"/>
          <w:szCs w:val="24"/>
          <w:lang w:eastAsia="en-IN"/>
          <w14:ligatures w14:val="none"/>
        </w:rPr>
        <w:t xml:space="preserve"> [3]</w:t>
      </w:r>
      <w:r w:rsidRPr="002607C0">
        <w:rPr>
          <w:rFonts w:ascii="Times New Roman" w:eastAsia="Times New Roman" w:hAnsi="Times New Roman" w:cs="Times New Roman"/>
          <w:kern w:val="0"/>
          <w:sz w:val="24"/>
          <w:szCs w:val="24"/>
          <w:lang w:eastAsia="en-IN"/>
          <w14:ligatures w14:val="none"/>
        </w:rPr>
        <w:t>. In China and around the world, traditional medicinal herbs play a significant role in indigenous medical systems</w:t>
      </w:r>
      <w:r w:rsidR="00235EA9">
        <w:rPr>
          <w:rFonts w:ascii="Times New Roman" w:eastAsia="Times New Roman" w:hAnsi="Times New Roman" w:cs="Times New Roman"/>
          <w:kern w:val="0"/>
          <w:sz w:val="24"/>
          <w:szCs w:val="24"/>
          <w:lang w:eastAsia="en-IN"/>
          <w14:ligatures w14:val="none"/>
        </w:rPr>
        <w:t xml:space="preserve"> [4]</w:t>
      </w:r>
      <w:r w:rsidRPr="002607C0">
        <w:rPr>
          <w:rFonts w:ascii="Times New Roman" w:eastAsia="Times New Roman" w:hAnsi="Times New Roman" w:cs="Times New Roman"/>
          <w:kern w:val="0"/>
          <w:sz w:val="24"/>
          <w:szCs w:val="24"/>
          <w:lang w:eastAsia="en-IN"/>
          <w14:ligatures w14:val="none"/>
        </w:rPr>
        <w:t>.</w:t>
      </w:r>
    </w:p>
    <w:p w14:paraId="382ED499" w14:textId="77777777" w:rsidR="000E5E0F" w:rsidRPr="002607C0"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Due to the unparalleled availability of chemical variety, natural goods offer countless prospects for the development of novel drugs. Between 1960 and 1997, the chance of remission for a child with leukaemia jumped by 85% because of two medications made from the alkaloids of Madagascar's rosy periwinkle (Catharanthus roseus). Novel chemicals, like the one found in a plant in Madagascar lately, have the potential to produce new medications and help stop the spread of antibiotic-resistant illnesses</w:t>
      </w:r>
      <w:r w:rsidR="002E7626">
        <w:rPr>
          <w:rFonts w:ascii="Times New Roman" w:eastAsia="Times New Roman" w:hAnsi="Times New Roman" w:cs="Times New Roman"/>
          <w:kern w:val="0"/>
          <w:sz w:val="24"/>
          <w:szCs w:val="24"/>
          <w:lang w:eastAsia="en-IN"/>
          <w14:ligatures w14:val="none"/>
        </w:rPr>
        <w:t xml:space="preserve"> [5]</w:t>
      </w:r>
      <w:r w:rsidRPr="002607C0">
        <w:rPr>
          <w:rFonts w:ascii="Times New Roman" w:eastAsia="Times New Roman" w:hAnsi="Times New Roman" w:cs="Times New Roman"/>
          <w:kern w:val="0"/>
          <w:sz w:val="24"/>
          <w:szCs w:val="24"/>
          <w:lang w:eastAsia="en-IN"/>
          <w14:ligatures w14:val="none"/>
        </w:rPr>
        <w:t>. Considering all of the aforementioned factors, we have chosen the flowers of Tecoma stans, a local plant that belongs to the Bignoniaceae family. Because there aren't many scientific publications about Tecoma stans, we decided to conduct the current study on this plant and illustrate the neuropharmacological properties of its various extracts.</w:t>
      </w:r>
    </w:p>
    <w:p w14:paraId="779EBD55" w14:textId="77777777" w:rsidR="000E5E0F" w:rsidRPr="002607C0" w:rsidRDefault="002E7626"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b/>
          <w:bCs/>
          <w:sz w:val="24"/>
          <w:szCs w:val="24"/>
        </w:rPr>
        <w:lastRenderedPageBreak/>
        <w:t xml:space="preserve">2. </w:t>
      </w:r>
      <w:r w:rsidRPr="002607C0">
        <w:rPr>
          <w:rFonts w:ascii="Times New Roman" w:hAnsi="Times New Roman" w:cs="Times New Roman"/>
          <w:b/>
          <w:bCs/>
          <w:sz w:val="24"/>
          <w:szCs w:val="24"/>
        </w:rPr>
        <w:t>MATERIALS AND METHODS</w:t>
      </w:r>
    </w:p>
    <w:p w14:paraId="1FD25839" w14:textId="77777777" w:rsidR="000E5E0F" w:rsidRPr="002607C0" w:rsidRDefault="000E5E0F" w:rsidP="00235EA9">
      <w:pPr>
        <w:spacing w:before="240" w:after="0" w:line="240" w:lineRule="auto"/>
        <w:jc w:val="both"/>
        <w:rPr>
          <w:rFonts w:ascii="Times New Roman" w:hAnsi="Times New Roman" w:cs="Times New Roman"/>
          <w:b/>
          <w:bCs/>
          <w:sz w:val="24"/>
          <w:szCs w:val="24"/>
        </w:rPr>
      </w:pPr>
      <w:r w:rsidRPr="002607C0">
        <w:rPr>
          <w:rFonts w:ascii="Times New Roman" w:hAnsi="Times New Roman" w:cs="Times New Roman"/>
          <w:b/>
          <w:bCs/>
          <w:sz w:val="24"/>
          <w:szCs w:val="24"/>
        </w:rPr>
        <w:t xml:space="preserve">Materials </w:t>
      </w:r>
    </w:p>
    <w:p w14:paraId="638F3D60"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9034B2">
        <w:rPr>
          <w:rFonts w:ascii="Times New Roman" w:hAnsi="Times New Roman" w:cs="Times New Roman"/>
          <w:b/>
          <w:bCs/>
          <w:sz w:val="24"/>
          <w:szCs w:val="24"/>
        </w:rPr>
        <w:t>Plant</w:t>
      </w:r>
    </w:p>
    <w:p w14:paraId="09326E56" w14:textId="77777777" w:rsidR="000E5E0F" w:rsidRPr="002607C0"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hAnsi="Times New Roman" w:cs="Times New Roman"/>
          <w:sz w:val="24"/>
          <w:szCs w:val="24"/>
        </w:rPr>
        <w:t xml:space="preserve">The Tecoma stans flowers are found throughout India. </w:t>
      </w:r>
      <w:r w:rsidRPr="002607C0">
        <w:rPr>
          <w:rFonts w:ascii="Times New Roman" w:eastAsia="Times New Roman" w:hAnsi="Times New Roman" w:cs="Times New Roman"/>
          <w:kern w:val="0"/>
          <w:sz w:val="24"/>
          <w:szCs w:val="24"/>
          <w:lang w:eastAsia="en-IN"/>
          <w14:ligatures w14:val="none"/>
        </w:rPr>
        <w:t>Scientists from the Botanical Survey of India in Pune, Maharashtra, verified the plant's authenticity.</w:t>
      </w:r>
    </w:p>
    <w:p w14:paraId="6EBF8047" w14:textId="77777777" w:rsidR="000E5E0F" w:rsidRPr="002607C0" w:rsidRDefault="000E5E0F" w:rsidP="00235EA9">
      <w:pPr>
        <w:spacing w:before="240" w:after="0" w:line="240" w:lineRule="auto"/>
        <w:jc w:val="both"/>
        <w:rPr>
          <w:rFonts w:ascii="Times New Roman" w:hAnsi="Times New Roman" w:cs="Times New Roman"/>
          <w:sz w:val="24"/>
          <w:szCs w:val="24"/>
        </w:rPr>
      </w:pPr>
      <w:r w:rsidRPr="002607C0">
        <w:rPr>
          <w:rFonts w:ascii="Times New Roman" w:hAnsi="Times New Roman" w:cs="Times New Roman"/>
          <w:sz w:val="24"/>
          <w:szCs w:val="24"/>
        </w:rPr>
        <w:t>Drug: Haloperidol (Ranbaxy), Amphetamine (</w:t>
      </w:r>
      <w:proofErr w:type="spellStart"/>
      <w:r w:rsidRPr="002607C0">
        <w:rPr>
          <w:rFonts w:ascii="Times New Roman" w:hAnsi="Times New Roman" w:cs="Times New Roman"/>
          <w:sz w:val="24"/>
          <w:szCs w:val="24"/>
        </w:rPr>
        <w:t>Shreeji</w:t>
      </w:r>
      <w:proofErr w:type="spellEnd"/>
      <w:r w:rsidRPr="002607C0">
        <w:rPr>
          <w:rFonts w:ascii="Times New Roman" w:hAnsi="Times New Roman" w:cs="Times New Roman"/>
          <w:sz w:val="24"/>
          <w:szCs w:val="24"/>
        </w:rPr>
        <w:t xml:space="preserve"> Pharma International </w:t>
      </w:r>
      <w:proofErr w:type="spellStart"/>
      <w:r w:rsidRPr="002607C0">
        <w:rPr>
          <w:rFonts w:ascii="Times New Roman" w:hAnsi="Times New Roman" w:cs="Times New Roman"/>
          <w:sz w:val="24"/>
          <w:szCs w:val="24"/>
        </w:rPr>
        <w:t>Pvt.</w:t>
      </w:r>
      <w:proofErr w:type="spellEnd"/>
      <w:r w:rsidR="00DC6379">
        <w:rPr>
          <w:rFonts w:ascii="Times New Roman" w:hAnsi="Times New Roman" w:cs="Times New Roman"/>
          <w:sz w:val="24"/>
          <w:szCs w:val="24"/>
        </w:rPr>
        <w:t xml:space="preserve"> </w:t>
      </w:r>
      <w:r w:rsidRPr="002607C0">
        <w:rPr>
          <w:rFonts w:ascii="Times New Roman" w:hAnsi="Times New Roman" w:cs="Times New Roman"/>
          <w:sz w:val="24"/>
          <w:szCs w:val="24"/>
        </w:rPr>
        <w:t xml:space="preserve">Ltd, Phenobarbitone (Sun Pharma. </w:t>
      </w:r>
      <w:proofErr w:type="spellStart"/>
      <w:r w:rsidRPr="002607C0">
        <w:rPr>
          <w:rFonts w:ascii="Times New Roman" w:hAnsi="Times New Roman" w:cs="Times New Roman"/>
          <w:sz w:val="24"/>
          <w:szCs w:val="24"/>
        </w:rPr>
        <w:t>Pvt.</w:t>
      </w:r>
      <w:proofErr w:type="spellEnd"/>
      <w:r w:rsidRPr="002607C0">
        <w:rPr>
          <w:rFonts w:ascii="Times New Roman" w:hAnsi="Times New Roman" w:cs="Times New Roman"/>
          <w:sz w:val="24"/>
          <w:szCs w:val="24"/>
        </w:rPr>
        <w:t xml:space="preserve"> Ltd.), Diazepam (Ranbaxy)</w:t>
      </w:r>
      <w:r w:rsidR="00B73552">
        <w:rPr>
          <w:rFonts w:ascii="Times New Roman" w:hAnsi="Times New Roman" w:cs="Times New Roman"/>
          <w:sz w:val="24"/>
          <w:szCs w:val="24"/>
        </w:rPr>
        <w:t>.</w:t>
      </w:r>
    </w:p>
    <w:p w14:paraId="43A915FC"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9034B2">
        <w:rPr>
          <w:rFonts w:ascii="Times New Roman" w:hAnsi="Times New Roman" w:cs="Times New Roman"/>
          <w:b/>
          <w:bCs/>
          <w:sz w:val="24"/>
          <w:szCs w:val="24"/>
        </w:rPr>
        <w:t>Chemicals</w:t>
      </w:r>
    </w:p>
    <w:p w14:paraId="48BD377E" w14:textId="77777777" w:rsidR="000E5E0F" w:rsidRPr="002607C0" w:rsidRDefault="000E5E0F" w:rsidP="00235EA9">
      <w:pPr>
        <w:spacing w:before="240" w:after="0" w:line="240" w:lineRule="auto"/>
        <w:jc w:val="both"/>
        <w:rPr>
          <w:rFonts w:ascii="Times New Roman" w:hAnsi="Times New Roman" w:cs="Times New Roman"/>
          <w:sz w:val="24"/>
          <w:szCs w:val="24"/>
        </w:rPr>
      </w:pPr>
      <w:r w:rsidRPr="002607C0">
        <w:rPr>
          <w:rFonts w:ascii="Times New Roman" w:hAnsi="Times New Roman" w:cs="Times New Roman"/>
          <w:sz w:val="24"/>
          <w:szCs w:val="24"/>
        </w:rPr>
        <w:t>All chemicals used were of analytical grade.</w:t>
      </w:r>
    </w:p>
    <w:p w14:paraId="1E06B989" w14:textId="77777777" w:rsidR="000E5E0F" w:rsidRPr="002607C0" w:rsidRDefault="000E5E0F" w:rsidP="00235EA9">
      <w:pPr>
        <w:pStyle w:val="ListParagraph"/>
        <w:numPr>
          <w:ilvl w:val="0"/>
          <w:numId w:val="1"/>
        </w:numPr>
        <w:spacing w:before="240" w:after="0" w:line="240" w:lineRule="auto"/>
        <w:jc w:val="both"/>
        <w:rPr>
          <w:rFonts w:ascii="Times New Roman" w:hAnsi="Times New Roman" w:cs="Times New Roman"/>
          <w:sz w:val="24"/>
          <w:szCs w:val="24"/>
          <w:lang w:val="en-US"/>
        </w:rPr>
      </w:pPr>
      <w:r w:rsidRPr="002607C0">
        <w:rPr>
          <w:rFonts w:ascii="Times New Roman" w:hAnsi="Times New Roman" w:cs="Times New Roman"/>
          <w:sz w:val="24"/>
          <w:szCs w:val="24"/>
        </w:rPr>
        <w:t>Petroleum ether</w:t>
      </w:r>
    </w:p>
    <w:p w14:paraId="030891AB" w14:textId="77777777" w:rsidR="000E5E0F" w:rsidRPr="002607C0" w:rsidRDefault="000E5E0F" w:rsidP="00235EA9">
      <w:pPr>
        <w:pStyle w:val="ListParagraph"/>
        <w:numPr>
          <w:ilvl w:val="0"/>
          <w:numId w:val="1"/>
        </w:numPr>
        <w:spacing w:before="240" w:after="0" w:line="240" w:lineRule="auto"/>
        <w:jc w:val="both"/>
        <w:rPr>
          <w:rFonts w:ascii="Times New Roman" w:hAnsi="Times New Roman" w:cs="Times New Roman"/>
          <w:sz w:val="24"/>
          <w:szCs w:val="24"/>
          <w:lang w:val="en-US"/>
        </w:rPr>
      </w:pPr>
      <w:r w:rsidRPr="002607C0">
        <w:rPr>
          <w:rFonts w:ascii="Times New Roman" w:hAnsi="Times New Roman" w:cs="Times New Roman"/>
          <w:sz w:val="24"/>
          <w:szCs w:val="24"/>
        </w:rPr>
        <w:t>Chloroform</w:t>
      </w:r>
    </w:p>
    <w:p w14:paraId="7AC8F8E0" w14:textId="77777777" w:rsidR="000E5E0F" w:rsidRPr="002607C0" w:rsidRDefault="000E5E0F" w:rsidP="00235EA9">
      <w:pPr>
        <w:pStyle w:val="ListParagraph"/>
        <w:numPr>
          <w:ilvl w:val="0"/>
          <w:numId w:val="1"/>
        </w:numPr>
        <w:spacing w:before="240" w:after="0" w:line="240" w:lineRule="auto"/>
        <w:jc w:val="both"/>
        <w:rPr>
          <w:rFonts w:ascii="Times New Roman" w:hAnsi="Times New Roman" w:cs="Times New Roman"/>
          <w:sz w:val="24"/>
          <w:szCs w:val="24"/>
          <w:lang w:val="en-US"/>
        </w:rPr>
      </w:pPr>
      <w:r w:rsidRPr="002607C0">
        <w:rPr>
          <w:rFonts w:ascii="Times New Roman" w:hAnsi="Times New Roman" w:cs="Times New Roman"/>
          <w:sz w:val="24"/>
          <w:szCs w:val="24"/>
        </w:rPr>
        <w:t>Ethanol</w:t>
      </w:r>
    </w:p>
    <w:p w14:paraId="0B00AC95"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0E5E0F" w:rsidRPr="002607C0">
        <w:rPr>
          <w:rFonts w:ascii="Times New Roman" w:hAnsi="Times New Roman" w:cs="Times New Roman"/>
          <w:b/>
          <w:bCs/>
          <w:sz w:val="24"/>
          <w:szCs w:val="24"/>
        </w:rPr>
        <w:t>Animals</w:t>
      </w:r>
    </w:p>
    <w:p w14:paraId="33E97645" w14:textId="77777777" w:rsidR="000E5E0F" w:rsidRPr="002607C0" w:rsidRDefault="000E5E0F" w:rsidP="00235EA9">
      <w:pPr>
        <w:spacing w:before="240" w:after="0" w:line="240" w:lineRule="auto"/>
        <w:jc w:val="both"/>
        <w:rPr>
          <w:rFonts w:ascii="Times New Roman" w:hAnsi="Times New Roman" w:cs="Times New Roman"/>
          <w:sz w:val="24"/>
          <w:szCs w:val="24"/>
        </w:rPr>
      </w:pPr>
      <w:r w:rsidRPr="002607C0">
        <w:rPr>
          <w:rFonts w:ascii="Times New Roman" w:hAnsi="Times New Roman" w:cs="Times New Roman"/>
          <w:sz w:val="24"/>
          <w:szCs w:val="24"/>
        </w:rPr>
        <w:t>Albino Swiss mice 20-25 gm and 150-250 gm, respectively, were used for the current study. For experimental purposes, they were maintained in the animal house of DCS’s ARA College of Pharmacy, Dhule. All the studies conducted were approved by the Institutional Animal Ethical Committee (IAEC) (REG.</w:t>
      </w:r>
      <w:r w:rsidR="003D062A">
        <w:rPr>
          <w:rFonts w:ascii="Times New Roman" w:hAnsi="Times New Roman" w:cs="Times New Roman"/>
          <w:sz w:val="24"/>
          <w:szCs w:val="24"/>
        </w:rPr>
        <w:t xml:space="preserve"> No ARACOP/IAEC/24/16</w:t>
      </w:r>
      <w:r w:rsidRPr="002607C0">
        <w:rPr>
          <w:rFonts w:ascii="Times New Roman" w:hAnsi="Times New Roman" w:cs="Times New Roman"/>
          <w:sz w:val="24"/>
          <w:szCs w:val="24"/>
        </w:rPr>
        <w:t>)</w:t>
      </w:r>
    </w:p>
    <w:p w14:paraId="1E6AFA01"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9034B2" w:rsidRPr="002607C0">
        <w:rPr>
          <w:rFonts w:ascii="Times New Roman" w:hAnsi="Times New Roman" w:cs="Times New Roman"/>
          <w:b/>
          <w:bCs/>
          <w:sz w:val="24"/>
          <w:szCs w:val="24"/>
        </w:rPr>
        <w:t>METHODOLOGY</w:t>
      </w:r>
    </w:p>
    <w:p w14:paraId="0905B00A"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0E5E0F" w:rsidRPr="002607C0">
        <w:rPr>
          <w:rFonts w:ascii="Times New Roman" w:hAnsi="Times New Roman" w:cs="Times New Roman"/>
          <w:b/>
          <w:bCs/>
          <w:sz w:val="24"/>
          <w:szCs w:val="24"/>
        </w:rPr>
        <w:t>Plant Collection and Extraction</w:t>
      </w:r>
    </w:p>
    <w:p w14:paraId="3A3F2189" w14:textId="77777777" w:rsidR="000E5E0F" w:rsidRPr="002607C0"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 xml:space="preserve">Tecoma Stans flowers are gathered and allowed to dry in the shade. These dried flowers are ground into a coarse powder, which is then extracted in progressively stronger </w:t>
      </w:r>
      <w:r w:rsidR="003D062A">
        <w:rPr>
          <w:rFonts w:ascii="Times New Roman" w:eastAsia="Times New Roman" w:hAnsi="Times New Roman" w:cs="Times New Roman"/>
          <w:kern w:val="0"/>
          <w:sz w:val="24"/>
          <w:szCs w:val="24"/>
          <w:lang w:eastAsia="en-IN"/>
          <w14:ligatures w14:val="none"/>
        </w:rPr>
        <w:t>solvents</w:t>
      </w:r>
      <w:r w:rsidRPr="002607C0">
        <w:rPr>
          <w:rFonts w:ascii="Times New Roman" w:eastAsia="Times New Roman" w:hAnsi="Times New Roman" w:cs="Times New Roman"/>
          <w:kern w:val="0"/>
          <w:sz w:val="24"/>
          <w:szCs w:val="24"/>
          <w:lang w:eastAsia="en-IN"/>
          <w14:ligatures w14:val="none"/>
        </w:rPr>
        <w:t>. Petroleum ether, chloroform, alcohol, and aqueous solvents are among the appropriate solvents used to make different extracts.</w:t>
      </w:r>
    </w:p>
    <w:p w14:paraId="22F65D90" w14:textId="77777777" w:rsidR="000E5E0F" w:rsidRPr="002607C0" w:rsidRDefault="001F4984"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0E5E0F" w:rsidRPr="002607C0">
        <w:rPr>
          <w:rFonts w:ascii="Times New Roman" w:hAnsi="Times New Roman" w:cs="Times New Roman"/>
          <w:b/>
          <w:bCs/>
          <w:sz w:val="24"/>
          <w:szCs w:val="24"/>
        </w:rPr>
        <w:t>Pharmacological Investigation</w:t>
      </w:r>
    </w:p>
    <w:p w14:paraId="60701A27" w14:textId="77777777" w:rsidR="000E5E0F" w:rsidRPr="002607C0" w:rsidRDefault="000E5E0F" w:rsidP="00235EA9">
      <w:pPr>
        <w:spacing w:before="24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 xml:space="preserve">Acute toxicity research (oral) Fixed dosage procedure (FDP). </w:t>
      </w:r>
    </w:p>
    <w:p w14:paraId="47A836E4" w14:textId="77777777" w:rsidR="000E5E0F" w:rsidRPr="002607C0" w:rsidRDefault="000E5E0F" w:rsidP="00235EA9">
      <w:pPr>
        <w:spacing w:before="24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The proprietary formulation's acute oral toxicity research was conducted by OECD/OCED guideline 425.</w:t>
      </w:r>
    </w:p>
    <w:p w14:paraId="1B4E91D0" w14:textId="77777777" w:rsidR="000E5E0F" w:rsidRPr="002607C0" w:rsidRDefault="000E5E0F" w:rsidP="00235EA9">
      <w:pPr>
        <w:spacing w:before="240" w:after="0" w:line="240" w:lineRule="auto"/>
        <w:jc w:val="both"/>
        <w:rPr>
          <w:rFonts w:ascii="Times New Roman" w:hAnsi="Times New Roman" w:cs="Times New Roman"/>
          <w:sz w:val="24"/>
          <w:szCs w:val="24"/>
        </w:rPr>
      </w:pPr>
      <w:r w:rsidRPr="002607C0">
        <w:rPr>
          <w:rFonts w:ascii="Times New Roman" w:hAnsi="Times New Roman" w:cs="Times New Roman"/>
          <w:sz w:val="24"/>
          <w:szCs w:val="24"/>
        </w:rPr>
        <w:t>Procedure:</w:t>
      </w:r>
    </w:p>
    <w:p w14:paraId="303C88E4" w14:textId="77777777" w:rsidR="000E5E0F" w:rsidRPr="002607C0"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As indicated, the investigation was conducted as follows: following the animals' acclimatisation for four to five days</w:t>
      </w:r>
      <w:r w:rsidRPr="002607C0">
        <w:rPr>
          <w:rFonts w:ascii="Times New Roman" w:hAnsi="Times New Roman" w:cs="Times New Roman"/>
          <w:sz w:val="24"/>
          <w:szCs w:val="24"/>
        </w:rPr>
        <w:t>:</w:t>
      </w:r>
    </w:p>
    <w:p w14:paraId="1D5C72BD" w14:textId="77777777" w:rsidR="000E5E0F" w:rsidRPr="002607C0" w:rsidRDefault="000E5E0F" w:rsidP="00235EA9">
      <w:pPr>
        <w:pStyle w:val="ListParagraph"/>
        <w:numPr>
          <w:ilvl w:val="0"/>
          <w:numId w:val="2"/>
        </w:numPr>
        <w:spacing w:before="240" w:after="240" w:line="240" w:lineRule="auto"/>
        <w:ind w:left="426"/>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Young adult, healthy, nulliparous, non-pregnant Albino Swiss mice weighing 20–25 grams were employed in this investigation. Food—but not water—was withheld for three to four hours, and then again for one to two hours after the research sample was administered.</w:t>
      </w:r>
    </w:p>
    <w:p w14:paraId="7EAA8350" w14:textId="77777777" w:rsidR="000E5E0F" w:rsidRPr="002607C0" w:rsidRDefault="000E5E0F" w:rsidP="00235EA9">
      <w:pPr>
        <w:pStyle w:val="ListParagraph"/>
        <w:numPr>
          <w:ilvl w:val="0"/>
          <w:numId w:val="2"/>
        </w:numPr>
        <w:spacing w:before="240" w:after="240" w:line="240" w:lineRule="auto"/>
        <w:ind w:left="426"/>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lastRenderedPageBreak/>
        <w:t xml:space="preserve">Initially, a fixed dose level of 5, 50, and 500 mg/kg was used since it was anticipated that this level would enable the discovery of doses that produced obvious toxicity. </w:t>
      </w:r>
    </w:p>
    <w:p w14:paraId="6E7C9F47" w14:textId="77777777" w:rsidR="000E5E0F" w:rsidRPr="002607C0" w:rsidRDefault="000E5E0F" w:rsidP="00235EA9">
      <w:pPr>
        <w:spacing w:before="240" w:after="240" w:line="240" w:lineRule="auto"/>
        <w:ind w:left="66"/>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A fixed dose of 2000 mg/kg was added during the validation process to give more details on the substance's low acute toxicity.</w:t>
      </w:r>
    </w:p>
    <w:p w14:paraId="3DF75384" w14:textId="77777777" w:rsidR="000E5E0F" w:rsidRPr="002607C0" w:rsidRDefault="000E5E0F" w:rsidP="00235EA9">
      <w:pPr>
        <w:spacing w:before="240" w:after="0" w:line="240" w:lineRule="auto"/>
        <w:jc w:val="both"/>
        <w:rPr>
          <w:rFonts w:ascii="Times New Roman" w:hAnsi="Times New Roman" w:cs="Times New Roman"/>
          <w:sz w:val="24"/>
          <w:szCs w:val="24"/>
        </w:rPr>
      </w:pPr>
      <w:r w:rsidRPr="002607C0">
        <w:rPr>
          <w:rFonts w:ascii="Times New Roman" w:hAnsi="Times New Roman" w:cs="Times New Roman"/>
          <w:sz w:val="24"/>
          <w:szCs w:val="24"/>
        </w:rPr>
        <w:t>Observation</w:t>
      </w:r>
      <w:r w:rsidR="009034B2">
        <w:rPr>
          <w:rFonts w:ascii="Times New Roman" w:hAnsi="Times New Roman" w:cs="Times New Roman"/>
          <w:sz w:val="24"/>
          <w:szCs w:val="24"/>
        </w:rPr>
        <w:t>:</w:t>
      </w:r>
    </w:p>
    <w:p w14:paraId="544BB802" w14:textId="77777777" w:rsidR="000E5E0F" w:rsidRPr="002607C0" w:rsidRDefault="000E5E0F" w:rsidP="00235EA9">
      <w:pPr>
        <w:spacing w:before="240" w:after="0" w:line="240" w:lineRule="auto"/>
        <w:jc w:val="both"/>
        <w:rPr>
          <w:rFonts w:ascii="Times New Roman" w:hAnsi="Times New Roman" w:cs="Times New Roman"/>
          <w:sz w:val="24"/>
          <w:szCs w:val="24"/>
          <w:vertAlign w:val="superscript"/>
        </w:rPr>
      </w:pPr>
      <w:r w:rsidRPr="002607C0">
        <w:rPr>
          <w:rFonts w:ascii="Times New Roman" w:eastAsia="Times New Roman" w:hAnsi="Times New Roman" w:cs="Times New Roman"/>
          <w:kern w:val="0"/>
          <w:sz w:val="24"/>
          <w:szCs w:val="24"/>
          <w:lang w:eastAsia="en-IN"/>
          <w14:ligatures w14:val="none"/>
        </w:rPr>
        <w:t>For a total of 14 days, animals were monitored one-on-one for at least five minutes once during the first half-hour after dosing, then every two hours during the first twenty-four hours and every day after that</w:t>
      </w:r>
      <w:r w:rsidR="002E7626">
        <w:rPr>
          <w:rFonts w:ascii="Times New Roman" w:eastAsia="Times New Roman" w:hAnsi="Times New Roman" w:cs="Times New Roman"/>
          <w:kern w:val="0"/>
          <w:sz w:val="24"/>
          <w:szCs w:val="24"/>
          <w:lang w:eastAsia="en-IN"/>
          <w14:ligatures w14:val="none"/>
        </w:rPr>
        <w:t xml:space="preserve"> [6]</w:t>
      </w:r>
      <w:r w:rsidRPr="002607C0">
        <w:rPr>
          <w:rFonts w:ascii="Times New Roman" w:eastAsia="Times New Roman" w:hAnsi="Times New Roman" w:cs="Times New Roman"/>
          <w:kern w:val="0"/>
          <w:sz w:val="24"/>
          <w:szCs w:val="24"/>
          <w:lang w:eastAsia="en-IN"/>
          <w14:ligatures w14:val="none"/>
        </w:rPr>
        <w:t>.</w:t>
      </w:r>
    </w:p>
    <w:p w14:paraId="77DF0262" w14:textId="77777777" w:rsidR="000E5E0F" w:rsidRPr="002607C0" w:rsidRDefault="00D7295E"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sidR="001F4984">
        <w:rPr>
          <w:rFonts w:ascii="Times New Roman" w:hAnsi="Times New Roman" w:cs="Times New Roman"/>
          <w:b/>
          <w:bCs/>
          <w:sz w:val="24"/>
          <w:szCs w:val="24"/>
        </w:rPr>
        <w:t xml:space="preserve"> </w:t>
      </w:r>
      <w:r w:rsidR="000E5E0F" w:rsidRPr="002607C0">
        <w:rPr>
          <w:rFonts w:ascii="Times New Roman" w:hAnsi="Times New Roman" w:cs="Times New Roman"/>
          <w:b/>
          <w:bCs/>
          <w:sz w:val="24"/>
          <w:szCs w:val="24"/>
        </w:rPr>
        <w:t>Evaluation of Neuropharmacological prop</w:t>
      </w:r>
      <w:r w:rsidR="009034B2">
        <w:rPr>
          <w:rFonts w:ascii="Times New Roman" w:hAnsi="Times New Roman" w:cs="Times New Roman"/>
          <w:b/>
          <w:bCs/>
          <w:sz w:val="24"/>
          <w:szCs w:val="24"/>
        </w:rPr>
        <w:t>erties by the following methods</w:t>
      </w:r>
    </w:p>
    <w:p w14:paraId="416B6BC1" w14:textId="77777777" w:rsidR="000E5E0F" w:rsidRPr="002607C0" w:rsidRDefault="00D7295E"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sidR="001F4984">
        <w:rPr>
          <w:rFonts w:ascii="Times New Roman" w:hAnsi="Times New Roman" w:cs="Times New Roman"/>
          <w:b/>
          <w:bCs/>
          <w:sz w:val="24"/>
          <w:szCs w:val="24"/>
        </w:rPr>
        <w:t xml:space="preserve">.1 </w:t>
      </w:r>
      <w:r w:rsidR="000E5E0F" w:rsidRPr="002607C0">
        <w:rPr>
          <w:rFonts w:ascii="Times New Roman" w:hAnsi="Times New Roman" w:cs="Times New Roman"/>
          <w:b/>
          <w:bCs/>
          <w:sz w:val="24"/>
          <w:szCs w:val="24"/>
        </w:rPr>
        <w:t>Antipsychotic studies of Tecoma stans extrac</w:t>
      </w:r>
      <w:r w:rsidR="009034B2">
        <w:rPr>
          <w:rFonts w:ascii="Times New Roman" w:hAnsi="Times New Roman" w:cs="Times New Roman"/>
          <w:b/>
          <w:bCs/>
          <w:sz w:val="24"/>
          <w:szCs w:val="24"/>
        </w:rPr>
        <w:t>ts by compulsive behaviour test</w:t>
      </w:r>
    </w:p>
    <w:p w14:paraId="51119238" w14:textId="77777777" w:rsidR="000E5E0F" w:rsidRPr="002607C0" w:rsidRDefault="000E5E0F" w:rsidP="00235EA9">
      <w:pPr>
        <w:spacing w:before="240" w:after="0" w:line="240" w:lineRule="auto"/>
        <w:jc w:val="both"/>
        <w:rPr>
          <w:rFonts w:ascii="Times New Roman" w:hAnsi="Times New Roman" w:cs="Times New Roman"/>
          <w:sz w:val="24"/>
          <w:szCs w:val="24"/>
        </w:rPr>
      </w:pPr>
      <w:r w:rsidRPr="002607C0">
        <w:rPr>
          <w:rFonts w:ascii="Times New Roman" w:eastAsia="Times New Roman" w:hAnsi="Times New Roman" w:cs="Times New Roman"/>
          <w:kern w:val="0"/>
          <w:sz w:val="24"/>
          <w:szCs w:val="24"/>
          <w:lang w:eastAsia="en-IN"/>
          <w14:ligatures w14:val="none"/>
        </w:rPr>
        <w:t>Five groups of five albino mice, each of either sex and weighing between 20 and 25 grams, are chosen.</w:t>
      </w:r>
      <w:r w:rsidR="00193924">
        <w:rPr>
          <w:rFonts w:ascii="Times New Roman" w:eastAsia="Times New Roman" w:hAnsi="Times New Roman" w:cs="Times New Roman"/>
          <w:kern w:val="0"/>
          <w:sz w:val="24"/>
          <w:szCs w:val="24"/>
          <w:lang w:eastAsia="en-IN"/>
          <w14:ligatures w14:val="none"/>
        </w:rPr>
        <w:t xml:space="preserve"> </w:t>
      </w:r>
      <w:r w:rsidRPr="002607C0">
        <w:rPr>
          <w:rFonts w:ascii="Times New Roman" w:eastAsia="Times New Roman" w:hAnsi="Times New Roman" w:cs="Times New Roman"/>
          <w:kern w:val="0"/>
          <w:sz w:val="24"/>
          <w:szCs w:val="24"/>
          <w:lang w:eastAsia="en-IN"/>
          <w14:ligatures w14:val="none"/>
        </w:rPr>
        <w:t xml:space="preserve">Animals used in compulsive behaviour tests will be weighed and numbered to assess the aqueous extract's antipsychotic properties. After that, they were split up into five groups, each with five animals. </w:t>
      </w:r>
      <w:r w:rsidR="00193924">
        <w:rPr>
          <w:rFonts w:ascii="Times New Roman" w:eastAsia="Times New Roman" w:hAnsi="Times New Roman" w:cs="Times New Roman"/>
          <w:kern w:val="0"/>
          <w:sz w:val="24"/>
          <w:szCs w:val="24"/>
          <w:lang w:eastAsia="en-IN"/>
          <w14:ligatures w14:val="none"/>
        </w:rPr>
        <w:t>Five animals in the control group will receive a vehicle, and in the second group, five</w:t>
      </w:r>
      <w:r w:rsidRPr="002607C0">
        <w:rPr>
          <w:rFonts w:ascii="Times New Roman" w:eastAsia="Times New Roman" w:hAnsi="Times New Roman" w:cs="Times New Roman"/>
          <w:kern w:val="0"/>
          <w:sz w:val="24"/>
          <w:szCs w:val="24"/>
          <w:lang w:eastAsia="en-IN"/>
          <w14:ligatures w14:val="none"/>
        </w:rPr>
        <w:t xml:space="preserve"> animals will receive amphetamine injections, and they will each be placed in a different beaker. The animals' rearing, sniffing, and licking behaviours will be observed at intervals of 0, 5, and 30 minutes. Cumulative scores at each time interval are recorded and computed, with += presence, + += moderately severe, and + + += intense and continuous action representing the intensity of the response.</w:t>
      </w:r>
      <w:r w:rsidR="00193924">
        <w:rPr>
          <w:rFonts w:ascii="Times New Roman" w:eastAsia="Times New Roman" w:hAnsi="Times New Roman" w:cs="Times New Roman"/>
          <w:kern w:val="0"/>
          <w:sz w:val="24"/>
          <w:szCs w:val="24"/>
          <w:lang w:eastAsia="en-IN"/>
          <w14:ligatures w14:val="none"/>
        </w:rPr>
        <w:t xml:space="preserve"> </w:t>
      </w:r>
      <w:r w:rsidR="00193924" w:rsidRPr="002607C0">
        <w:rPr>
          <w:rFonts w:ascii="Times New Roman" w:eastAsia="Times New Roman" w:hAnsi="Times New Roman" w:cs="Times New Roman"/>
          <w:kern w:val="0"/>
          <w:sz w:val="24"/>
          <w:szCs w:val="24"/>
          <w:lang w:eastAsia="en-IN"/>
          <w14:ligatures w14:val="none"/>
        </w:rPr>
        <w:t xml:space="preserve">Animals in the third group received injections of haloperidol and amphetamine at 30-minute intervals. </w:t>
      </w:r>
      <w:r w:rsidR="00193924" w:rsidRPr="002607C0">
        <w:rPr>
          <w:rFonts w:ascii="Times New Roman" w:hAnsi="Times New Roman" w:cs="Times New Roman"/>
          <w:sz w:val="24"/>
          <w:szCs w:val="24"/>
        </w:rPr>
        <w:t xml:space="preserve">These animals are placed individually in a beaker, and the cumulative score at each time interval is noted and calculated. </w:t>
      </w:r>
      <w:r w:rsidRPr="002607C0">
        <w:rPr>
          <w:rFonts w:ascii="Times New Roman" w:hAnsi="Times New Roman" w:cs="Times New Roman"/>
          <w:sz w:val="24"/>
          <w:szCs w:val="24"/>
        </w:rPr>
        <w:t>To the 4</w:t>
      </w:r>
      <w:r w:rsidRPr="002607C0">
        <w:rPr>
          <w:rFonts w:ascii="Times New Roman" w:hAnsi="Times New Roman" w:cs="Times New Roman"/>
          <w:sz w:val="24"/>
          <w:szCs w:val="24"/>
          <w:vertAlign w:val="superscript"/>
        </w:rPr>
        <w:t>th</w:t>
      </w:r>
      <w:r w:rsidRPr="002607C0">
        <w:rPr>
          <w:rFonts w:ascii="Times New Roman" w:hAnsi="Times New Roman" w:cs="Times New Roman"/>
          <w:sz w:val="24"/>
          <w:szCs w:val="24"/>
        </w:rPr>
        <w:t xml:space="preserve"> and 5</w:t>
      </w:r>
      <w:r w:rsidRPr="002607C0">
        <w:rPr>
          <w:rFonts w:ascii="Times New Roman" w:hAnsi="Times New Roman" w:cs="Times New Roman"/>
          <w:sz w:val="24"/>
          <w:szCs w:val="24"/>
          <w:vertAlign w:val="superscript"/>
        </w:rPr>
        <w:t>th</w:t>
      </w:r>
      <w:r w:rsidRPr="002607C0">
        <w:rPr>
          <w:rFonts w:ascii="Times New Roman" w:hAnsi="Times New Roman" w:cs="Times New Roman"/>
          <w:sz w:val="24"/>
          <w:szCs w:val="24"/>
        </w:rPr>
        <w:t xml:space="preserve"> group aqueous extract of </w:t>
      </w:r>
      <w:proofErr w:type="spellStart"/>
      <w:r w:rsidRPr="002607C0">
        <w:rPr>
          <w:rFonts w:ascii="Times New Roman" w:hAnsi="Times New Roman" w:cs="Times New Roman"/>
          <w:sz w:val="24"/>
          <w:szCs w:val="24"/>
        </w:rPr>
        <w:t>tecoma</w:t>
      </w:r>
      <w:proofErr w:type="spellEnd"/>
      <w:r w:rsidRPr="002607C0">
        <w:rPr>
          <w:rFonts w:ascii="Times New Roman" w:hAnsi="Times New Roman" w:cs="Times New Roman"/>
          <w:sz w:val="24"/>
          <w:szCs w:val="24"/>
        </w:rPr>
        <w:t xml:space="preserve"> stans flowers at 200 mg/kg and 400 mg/kg. 30 minutes later, amphetamine will be injected into these animals. These animals were placed individually in a beaker, and cumulative scores were noted at each time interval, and the score was calculated. Comparisons of the action of amphetamine in normal and haloperidol and Tecoma stans flower extract groups are done</w:t>
      </w:r>
      <w:r w:rsidR="00114E28">
        <w:rPr>
          <w:rFonts w:ascii="Times New Roman" w:hAnsi="Times New Roman" w:cs="Times New Roman"/>
          <w:sz w:val="24"/>
          <w:szCs w:val="24"/>
        </w:rPr>
        <w:t xml:space="preserve"> [7</w:t>
      </w:r>
      <w:r w:rsidR="002E7626">
        <w:rPr>
          <w:rFonts w:ascii="Times New Roman" w:hAnsi="Times New Roman" w:cs="Times New Roman"/>
          <w:sz w:val="24"/>
          <w:szCs w:val="24"/>
        </w:rPr>
        <w:t>].</w:t>
      </w:r>
    </w:p>
    <w:p w14:paraId="2A2356A5" w14:textId="77777777" w:rsidR="000E5E0F" w:rsidRPr="002607C0" w:rsidRDefault="00D7295E" w:rsidP="00235EA9">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sidR="001F4984">
        <w:rPr>
          <w:rFonts w:ascii="Times New Roman" w:hAnsi="Times New Roman" w:cs="Times New Roman"/>
          <w:b/>
          <w:bCs/>
          <w:sz w:val="24"/>
          <w:szCs w:val="24"/>
        </w:rPr>
        <w:t xml:space="preserve">.2 </w:t>
      </w:r>
      <w:r w:rsidR="000E5E0F" w:rsidRPr="002607C0">
        <w:rPr>
          <w:rFonts w:ascii="Times New Roman" w:hAnsi="Times New Roman" w:cs="Times New Roman"/>
          <w:b/>
          <w:bCs/>
          <w:sz w:val="24"/>
          <w:szCs w:val="24"/>
        </w:rPr>
        <w:t>Pentobarbi</w:t>
      </w:r>
      <w:r w:rsidR="009034B2">
        <w:rPr>
          <w:rFonts w:ascii="Times New Roman" w:hAnsi="Times New Roman" w:cs="Times New Roman"/>
          <w:b/>
          <w:bCs/>
          <w:sz w:val="24"/>
          <w:szCs w:val="24"/>
        </w:rPr>
        <w:t>tone-induced sleeping time test</w:t>
      </w:r>
    </w:p>
    <w:p w14:paraId="28BFCBCA" w14:textId="77777777" w:rsidR="000E5E0F" w:rsidRPr="00193924" w:rsidRDefault="00D3315D"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Four</w:t>
      </w:r>
      <w:r w:rsidR="000E5E0F" w:rsidRPr="002607C0">
        <w:rPr>
          <w:rFonts w:ascii="Times New Roman" w:eastAsia="Times New Roman" w:hAnsi="Times New Roman" w:cs="Times New Roman"/>
          <w:kern w:val="0"/>
          <w:sz w:val="24"/>
          <w:szCs w:val="24"/>
          <w:lang w:eastAsia="en-IN"/>
          <w14:ligatures w14:val="none"/>
        </w:rPr>
        <w:t xml:space="preserve"> groups of five albino mice, each of either sex and weighing betw</w:t>
      </w:r>
      <w:r w:rsidR="00193924">
        <w:rPr>
          <w:rFonts w:ascii="Times New Roman" w:eastAsia="Times New Roman" w:hAnsi="Times New Roman" w:cs="Times New Roman"/>
          <w:kern w:val="0"/>
          <w:sz w:val="24"/>
          <w:szCs w:val="24"/>
          <w:lang w:eastAsia="en-IN"/>
          <w14:ligatures w14:val="none"/>
        </w:rPr>
        <w:t xml:space="preserve">een 20 and 25 grams, are chosen </w:t>
      </w:r>
      <w:r w:rsidR="000E5E0F" w:rsidRPr="002607C0">
        <w:rPr>
          <w:rFonts w:ascii="Times New Roman" w:eastAsia="Times New Roman" w:hAnsi="Times New Roman" w:cs="Times New Roman"/>
          <w:kern w:val="0"/>
          <w:sz w:val="24"/>
          <w:szCs w:val="24"/>
          <w:lang w:eastAsia="en-IN"/>
          <w14:ligatures w14:val="none"/>
        </w:rPr>
        <w:t xml:space="preserve">among the animals. Tecoma Stans aqueous extract dosages of 200 and 400 mg/kg were administered orally to the test group. In contrast, the standard group got diazepam (1 mg/kg </w:t>
      </w:r>
      <w:proofErr w:type="spellStart"/>
      <w:r w:rsidR="000E5E0F" w:rsidRPr="002607C0">
        <w:rPr>
          <w:rFonts w:ascii="Times New Roman" w:eastAsia="Times New Roman" w:hAnsi="Times New Roman" w:cs="Times New Roman"/>
          <w:kern w:val="0"/>
          <w:sz w:val="24"/>
          <w:szCs w:val="24"/>
          <w:lang w:eastAsia="en-IN"/>
          <w14:ligatures w14:val="none"/>
        </w:rPr>
        <w:t>i.p.</w:t>
      </w:r>
      <w:proofErr w:type="spellEnd"/>
      <w:r w:rsidR="000E5E0F" w:rsidRPr="002607C0">
        <w:rPr>
          <w:rFonts w:ascii="Times New Roman" w:eastAsia="Times New Roman" w:hAnsi="Times New Roman" w:cs="Times New Roman"/>
          <w:kern w:val="0"/>
          <w:sz w:val="24"/>
          <w:szCs w:val="24"/>
          <w:lang w:eastAsia="en-IN"/>
          <w14:ligatures w14:val="none"/>
        </w:rPr>
        <w:t xml:space="preserve">) and a vehicle as a control. Each mouse was given pentobarbitone (50 mg/kg </w:t>
      </w:r>
      <w:proofErr w:type="spellStart"/>
      <w:r w:rsidR="000E5E0F" w:rsidRPr="002607C0">
        <w:rPr>
          <w:rFonts w:ascii="Times New Roman" w:eastAsia="Times New Roman" w:hAnsi="Times New Roman" w:cs="Times New Roman"/>
          <w:kern w:val="0"/>
          <w:sz w:val="24"/>
          <w:szCs w:val="24"/>
          <w:lang w:eastAsia="en-IN"/>
          <w14:ligatures w14:val="none"/>
        </w:rPr>
        <w:t>i.p.</w:t>
      </w:r>
      <w:proofErr w:type="spellEnd"/>
      <w:r w:rsidR="000E5E0F" w:rsidRPr="002607C0">
        <w:rPr>
          <w:rFonts w:ascii="Times New Roman" w:eastAsia="Times New Roman" w:hAnsi="Times New Roman" w:cs="Times New Roman"/>
          <w:kern w:val="0"/>
          <w:sz w:val="24"/>
          <w:szCs w:val="24"/>
          <w:lang w:eastAsia="en-IN"/>
          <w14:ligatures w14:val="none"/>
        </w:rPr>
        <w:t>) to induce sleep thirty minutes later. The animals were monitored for the duration of their sleep (the interval between the loss and recovery of the righting reflex) and the latent period (the interval between the administration of pentobarbitone and the loss of the righting reflex)</w:t>
      </w:r>
      <w:r w:rsidR="00114E28">
        <w:rPr>
          <w:rFonts w:ascii="Times New Roman" w:eastAsia="Times New Roman" w:hAnsi="Times New Roman" w:cs="Times New Roman"/>
          <w:kern w:val="0"/>
          <w:sz w:val="24"/>
          <w:szCs w:val="24"/>
          <w:lang w:eastAsia="en-IN"/>
          <w14:ligatures w14:val="none"/>
        </w:rPr>
        <w:t xml:space="preserve"> [8</w:t>
      </w:r>
      <w:r w:rsidR="002E7626">
        <w:rPr>
          <w:rFonts w:ascii="Times New Roman" w:eastAsia="Times New Roman" w:hAnsi="Times New Roman" w:cs="Times New Roman"/>
          <w:kern w:val="0"/>
          <w:sz w:val="24"/>
          <w:szCs w:val="24"/>
          <w:lang w:eastAsia="en-IN"/>
          <w14:ligatures w14:val="none"/>
        </w:rPr>
        <w:t>]</w:t>
      </w:r>
      <w:r w:rsidR="000E5E0F" w:rsidRPr="002607C0">
        <w:rPr>
          <w:rFonts w:ascii="Times New Roman" w:eastAsia="Times New Roman" w:hAnsi="Times New Roman" w:cs="Times New Roman"/>
          <w:kern w:val="0"/>
          <w:sz w:val="24"/>
          <w:szCs w:val="24"/>
          <w:lang w:eastAsia="en-IN"/>
          <w14:ligatures w14:val="none"/>
        </w:rPr>
        <w:t>.</w:t>
      </w:r>
    </w:p>
    <w:p w14:paraId="60F9C1AC" w14:textId="77777777" w:rsidR="000E5E0F" w:rsidRPr="001F4984" w:rsidRDefault="001F4984" w:rsidP="001F4984">
      <w:pPr>
        <w:spacing w:before="240" w:after="0" w:line="240" w:lineRule="auto"/>
        <w:jc w:val="both"/>
        <w:rPr>
          <w:rFonts w:ascii="Times New Roman" w:hAnsi="Times New Roman" w:cs="Times New Roman"/>
          <w:sz w:val="24"/>
          <w:szCs w:val="24"/>
        </w:rPr>
      </w:pPr>
      <w:r w:rsidRPr="001F4984">
        <w:rPr>
          <w:rFonts w:ascii="Times New Roman" w:hAnsi="Times New Roman" w:cs="Times New Roman"/>
          <w:b/>
          <w:bCs/>
          <w:sz w:val="24"/>
          <w:szCs w:val="24"/>
        </w:rPr>
        <w:t>4.</w:t>
      </w:r>
      <w:r>
        <w:rPr>
          <w:rFonts w:ascii="Times New Roman" w:hAnsi="Times New Roman" w:cs="Times New Roman"/>
          <w:b/>
          <w:bCs/>
          <w:sz w:val="24"/>
          <w:szCs w:val="24"/>
        </w:rPr>
        <w:t xml:space="preserve"> </w:t>
      </w:r>
      <w:r w:rsidR="000E5E0F" w:rsidRPr="001F4984">
        <w:rPr>
          <w:rFonts w:ascii="Times New Roman" w:hAnsi="Times New Roman" w:cs="Times New Roman"/>
          <w:b/>
          <w:bCs/>
          <w:sz w:val="24"/>
          <w:szCs w:val="24"/>
        </w:rPr>
        <w:t>RESULTS</w:t>
      </w:r>
    </w:p>
    <w:p w14:paraId="6887D3A6" w14:textId="77777777" w:rsidR="000E5E0F" w:rsidRPr="002607C0" w:rsidRDefault="001F4984" w:rsidP="00235EA9">
      <w:pPr>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4.1 </w:t>
      </w:r>
      <w:r w:rsidR="000E5E0F" w:rsidRPr="002607C0">
        <w:rPr>
          <w:rFonts w:ascii="Times New Roman" w:hAnsi="Times New Roman" w:cs="Times New Roman"/>
          <w:b/>
          <w:bCs/>
          <w:sz w:val="24"/>
          <w:szCs w:val="24"/>
        </w:rPr>
        <w:t>Successive solvent extraction</w:t>
      </w:r>
    </w:p>
    <w:p w14:paraId="3DCF8449" w14:textId="77777777" w:rsidR="000E5E0F" w:rsidRPr="002607C0" w:rsidRDefault="000E5E0F" w:rsidP="00235EA9">
      <w:pPr>
        <w:spacing w:before="240" w:after="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Various extracts are made using appropriate solvents, such as petroleum ether, chloroform, alcohol, and aqueous solvents with the Soxhlet apparatus. Table No. 1 lists the varied extracts' percentage yields, colours, consistency, and water solubility.</w:t>
      </w:r>
    </w:p>
    <w:p w14:paraId="5D12BD75" w14:textId="77777777" w:rsidR="00327771" w:rsidRDefault="00327771" w:rsidP="00235EA9">
      <w:pPr>
        <w:spacing w:before="240" w:line="240" w:lineRule="auto"/>
        <w:jc w:val="both"/>
        <w:rPr>
          <w:rFonts w:ascii="Times New Roman" w:hAnsi="Times New Roman" w:cs="Times New Roman"/>
          <w:b/>
          <w:bCs/>
          <w:sz w:val="24"/>
          <w:szCs w:val="24"/>
          <w:lang w:val="en-US"/>
        </w:rPr>
      </w:pPr>
    </w:p>
    <w:p w14:paraId="32FB22A6" w14:textId="77777777" w:rsidR="00327771" w:rsidRDefault="00327771" w:rsidP="00235EA9">
      <w:pPr>
        <w:spacing w:before="240" w:line="240" w:lineRule="auto"/>
        <w:jc w:val="both"/>
        <w:rPr>
          <w:rFonts w:ascii="Times New Roman" w:hAnsi="Times New Roman" w:cs="Times New Roman"/>
          <w:b/>
          <w:bCs/>
          <w:sz w:val="24"/>
          <w:szCs w:val="24"/>
          <w:lang w:val="en-US"/>
        </w:rPr>
      </w:pPr>
    </w:p>
    <w:p w14:paraId="676CF86B" w14:textId="77777777" w:rsidR="00327771" w:rsidRDefault="00327771" w:rsidP="00235EA9">
      <w:pPr>
        <w:spacing w:before="240" w:line="240" w:lineRule="auto"/>
        <w:jc w:val="both"/>
        <w:rPr>
          <w:rFonts w:ascii="Times New Roman" w:hAnsi="Times New Roman" w:cs="Times New Roman"/>
          <w:b/>
          <w:bCs/>
          <w:sz w:val="24"/>
          <w:szCs w:val="24"/>
          <w:lang w:val="en-US"/>
        </w:rPr>
      </w:pPr>
    </w:p>
    <w:p w14:paraId="5A8310F6" w14:textId="77777777" w:rsidR="000E5E0F" w:rsidRPr="002607C0" w:rsidRDefault="001B73B6" w:rsidP="00327771">
      <w:pPr>
        <w:spacing w:before="240" w:line="240" w:lineRule="auto"/>
        <w:jc w:val="center"/>
        <w:rPr>
          <w:rFonts w:ascii="Times New Roman" w:eastAsia="Times New Roman" w:hAnsi="Times New Roman" w:cs="Times New Roman"/>
          <w:b/>
          <w:kern w:val="0"/>
          <w:sz w:val="24"/>
          <w:szCs w:val="24"/>
          <w:lang w:eastAsia="en-IN"/>
          <w14:ligatures w14:val="none"/>
        </w:rPr>
      </w:pPr>
      <w:r>
        <w:rPr>
          <w:rFonts w:ascii="Times New Roman" w:hAnsi="Times New Roman" w:cs="Times New Roman"/>
          <w:b/>
          <w:bCs/>
          <w:sz w:val="24"/>
          <w:szCs w:val="24"/>
          <w:lang w:val="en-US"/>
        </w:rPr>
        <w:t>Table 1.</w:t>
      </w:r>
      <w:r w:rsidR="000E5E0F" w:rsidRPr="002607C0">
        <w:rPr>
          <w:rFonts w:ascii="Times New Roman" w:hAnsi="Times New Roman" w:cs="Times New Roman"/>
          <w:b/>
          <w:bCs/>
          <w:sz w:val="24"/>
          <w:szCs w:val="24"/>
          <w:lang w:val="en-US"/>
        </w:rPr>
        <w:t xml:space="preserve"> </w:t>
      </w:r>
      <w:r w:rsidR="000E5E0F" w:rsidRPr="002607C0">
        <w:rPr>
          <w:rFonts w:ascii="Times New Roman" w:eastAsia="Times New Roman" w:hAnsi="Times New Roman" w:cs="Times New Roman"/>
          <w:b/>
          <w:kern w:val="0"/>
          <w:sz w:val="24"/>
          <w:szCs w:val="24"/>
          <w:lang w:eastAsia="en-IN"/>
          <w14:ligatures w14:val="none"/>
        </w:rPr>
        <w:t>The percentage yield, colour, consistency, and water solubility of various extracts</w:t>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383"/>
        <w:gridCol w:w="1435"/>
        <w:gridCol w:w="1478"/>
        <w:gridCol w:w="1412"/>
        <w:gridCol w:w="1493"/>
        <w:gridCol w:w="1455"/>
      </w:tblGrid>
      <w:tr w:rsidR="000E5E0F" w:rsidRPr="002607C0" w14:paraId="320B0905" w14:textId="77777777" w:rsidTr="00272D55">
        <w:tc>
          <w:tcPr>
            <w:tcW w:w="1383" w:type="dxa"/>
          </w:tcPr>
          <w:p w14:paraId="712EA360"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Plant part used</w:t>
            </w:r>
          </w:p>
        </w:tc>
        <w:tc>
          <w:tcPr>
            <w:tcW w:w="1435" w:type="dxa"/>
            <w:tcBorders>
              <w:bottom w:val="single" w:sz="4" w:space="0" w:color="auto"/>
            </w:tcBorders>
          </w:tcPr>
          <w:p w14:paraId="253E9D4D"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Extracts</w:t>
            </w:r>
          </w:p>
        </w:tc>
        <w:tc>
          <w:tcPr>
            <w:tcW w:w="1478" w:type="dxa"/>
            <w:tcBorders>
              <w:bottom w:val="single" w:sz="4" w:space="0" w:color="auto"/>
            </w:tcBorders>
          </w:tcPr>
          <w:p w14:paraId="6E255D86"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Percentage Yield</w:t>
            </w:r>
          </w:p>
        </w:tc>
        <w:tc>
          <w:tcPr>
            <w:tcW w:w="1412" w:type="dxa"/>
            <w:tcBorders>
              <w:bottom w:val="single" w:sz="4" w:space="0" w:color="auto"/>
            </w:tcBorders>
          </w:tcPr>
          <w:p w14:paraId="2A81D39E"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Colour</w:t>
            </w:r>
          </w:p>
        </w:tc>
        <w:tc>
          <w:tcPr>
            <w:tcW w:w="1493" w:type="dxa"/>
            <w:tcBorders>
              <w:bottom w:val="single" w:sz="4" w:space="0" w:color="auto"/>
            </w:tcBorders>
          </w:tcPr>
          <w:p w14:paraId="51A02AA4"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Consistency</w:t>
            </w:r>
          </w:p>
        </w:tc>
        <w:tc>
          <w:tcPr>
            <w:tcW w:w="1455" w:type="dxa"/>
            <w:tcBorders>
              <w:bottom w:val="single" w:sz="4" w:space="0" w:color="auto"/>
            </w:tcBorders>
          </w:tcPr>
          <w:p w14:paraId="0890B20B" w14:textId="77777777" w:rsidR="000E5E0F" w:rsidRPr="002607C0" w:rsidRDefault="000E5E0F" w:rsidP="00272D55">
            <w:pPr>
              <w:jc w:val="center"/>
              <w:rPr>
                <w:rFonts w:ascii="Times New Roman" w:hAnsi="Times New Roman" w:cs="Times New Roman"/>
                <w:b/>
                <w:bCs/>
                <w:sz w:val="24"/>
                <w:szCs w:val="24"/>
              </w:rPr>
            </w:pPr>
            <w:r w:rsidRPr="002607C0">
              <w:rPr>
                <w:rFonts w:ascii="Times New Roman" w:hAnsi="Times New Roman" w:cs="Times New Roman"/>
                <w:b/>
                <w:bCs/>
                <w:sz w:val="24"/>
                <w:szCs w:val="24"/>
              </w:rPr>
              <w:t xml:space="preserve">Water Solubility </w:t>
            </w:r>
          </w:p>
        </w:tc>
      </w:tr>
      <w:tr w:rsidR="000E5E0F" w:rsidRPr="002607C0" w14:paraId="6137BB77" w14:textId="77777777" w:rsidTr="00272D55">
        <w:tc>
          <w:tcPr>
            <w:tcW w:w="1383" w:type="dxa"/>
            <w:vMerge w:val="restart"/>
          </w:tcPr>
          <w:p w14:paraId="6C65C10E" w14:textId="77777777" w:rsidR="000E5E0F" w:rsidRPr="002607C0" w:rsidRDefault="000E5E0F" w:rsidP="00272D55">
            <w:pPr>
              <w:jc w:val="center"/>
              <w:rPr>
                <w:rFonts w:ascii="Times New Roman" w:hAnsi="Times New Roman" w:cs="Times New Roman"/>
                <w:i/>
                <w:iCs/>
                <w:sz w:val="24"/>
                <w:szCs w:val="24"/>
              </w:rPr>
            </w:pPr>
            <w:r w:rsidRPr="002607C0">
              <w:rPr>
                <w:rFonts w:ascii="Times New Roman" w:hAnsi="Times New Roman" w:cs="Times New Roman"/>
                <w:i/>
                <w:iCs/>
                <w:sz w:val="24"/>
                <w:szCs w:val="24"/>
              </w:rPr>
              <w:t>Tecoma stans</w:t>
            </w:r>
          </w:p>
          <w:p w14:paraId="16AC37CA"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flower</w:t>
            </w:r>
          </w:p>
        </w:tc>
        <w:tc>
          <w:tcPr>
            <w:tcW w:w="1435" w:type="dxa"/>
            <w:tcBorders>
              <w:bottom w:val="nil"/>
            </w:tcBorders>
          </w:tcPr>
          <w:p w14:paraId="67E5040A"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Petroleum</w:t>
            </w:r>
          </w:p>
        </w:tc>
        <w:tc>
          <w:tcPr>
            <w:tcW w:w="1478" w:type="dxa"/>
            <w:tcBorders>
              <w:bottom w:val="nil"/>
            </w:tcBorders>
          </w:tcPr>
          <w:p w14:paraId="57D8F4A8"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2.08</w:t>
            </w:r>
          </w:p>
        </w:tc>
        <w:tc>
          <w:tcPr>
            <w:tcW w:w="1412" w:type="dxa"/>
            <w:tcBorders>
              <w:bottom w:val="nil"/>
            </w:tcBorders>
          </w:tcPr>
          <w:p w14:paraId="392EC8FE"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Dark green</w:t>
            </w:r>
          </w:p>
        </w:tc>
        <w:tc>
          <w:tcPr>
            <w:tcW w:w="1493" w:type="dxa"/>
            <w:tcBorders>
              <w:bottom w:val="nil"/>
            </w:tcBorders>
          </w:tcPr>
          <w:p w14:paraId="52E18AB2"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Sticky</w:t>
            </w:r>
          </w:p>
        </w:tc>
        <w:tc>
          <w:tcPr>
            <w:tcW w:w="1455" w:type="dxa"/>
            <w:tcBorders>
              <w:bottom w:val="nil"/>
            </w:tcBorders>
          </w:tcPr>
          <w:p w14:paraId="3192A103"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Insoluble</w:t>
            </w:r>
          </w:p>
        </w:tc>
      </w:tr>
      <w:tr w:rsidR="000E5E0F" w:rsidRPr="002607C0" w14:paraId="6592857F" w14:textId="77777777" w:rsidTr="00272D55">
        <w:tc>
          <w:tcPr>
            <w:tcW w:w="1383" w:type="dxa"/>
            <w:vMerge/>
          </w:tcPr>
          <w:p w14:paraId="321FBA18" w14:textId="77777777" w:rsidR="000E5E0F" w:rsidRPr="002607C0" w:rsidRDefault="000E5E0F" w:rsidP="00272D55">
            <w:pPr>
              <w:jc w:val="center"/>
              <w:rPr>
                <w:rFonts w:ascii="Times New Roman" w:hAnsi="Times New Roman" w:cs="Times New Roman"/>
                <w:sz w:val="24"/>
                <w:szCs w:val="24"/>
              </w:rPr>
            </w:pPr>
          </w:p>
        </w:tc>
        <w:tc>
          <w:tcPr>
            <w:tcW w:w="1435" w:type="dxa"/>
            <w:tcBorders>
              <w:top w:val="nil"/>
              <w:bottom w:val="nil"/>
            </w:tcBorders>
          </w:tcPr>
          <w:p w14:paraId="0632F9D9"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Chloroform</w:t>
            </w:r>
          </w:p>
        </w:tc>
        <w:tc>
          <w:tcPr>
            <w:tcW w:w="1478" w:type="dxa"/>
            <w:tcBorders>
              <w:top w:val="nil"/>
              <w:bottom w:val="nil"/>
            </w:tcBorders>
          </w:tcPr>
          <w:p w14:paraId="6CA7A61D"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1.95</w:t>
            </w:r>
          </w:p>
        </w:tc>
        <w:tc>
          <w:tcPr>
            <w:tcW w:w="1412" w:type="dxa"/>
            <w:tcBorders>
              <w:top w:val="nil"/>
              <w:bottom w:val="nil"/>
            </w:tcBorders>
          </w:tcPr>
          <w:p w14:paraId="769C8DC9"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Dark green</w:t>
            </w:r>
          </w:p>
        </w:tc>
        <w:tc>
          <w:tcPr>
            <w:tcW w:w="1493" w:type="dxa"/>
            <w:tcBorders>
              <w:top w:val="nil"/>
              <w:bottom w:val="nil"/>
            </w:tcBorders>
          </w:tcPr>
          <w:p w14:paraId="6EF83D8B"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Sticky</w:t>
            </w:r>
          </w:p>
        </w:tc>
        <w:tc>
          <w:tcPr>
            <w:tcW w:w="1455" w:type="dxa"/>
            <w:tcBorders>
              <w:top w:val="nil"/>
              <w:bottom w:val="nil"/>
            </w:tcBorders>
          </w:tcPr>
          <w:p w14:paraId="445E027E"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soluble</w:t>
            </w:r>
          </w:p>
        </w:tc>
      </w:tr>
      <w:tr w:rsidR="000E5E0F" w:rsidRPr="002607C0" w14:paraId="7DBA79FB" w14:textId="77777777" w:rsidTr="00272D55">
        <w:tc>
          <w:tcPr>
            <w:tcW w:w="1383" w:type="dxa"/>
            <w:vMerge/>
          </w:tcPr>
          <w:p w14:paraId="41183E4A" w14:textId="77777777" w:rsidR="000E5E0F" w:rsidRPr="002607C0" w:rsidRDefault="000E5E0F" w:rsidP="00272D55">
            <w:pPr>
              <w:jc w:val="center"/>
              <w:rPr>
                <w:rFonts w:ascii="Times New Roman" w:hAnsi="Times New Roman" w:cs="Times New Roman"/>
                <w:sz w:val="24"/>
                <w:szCs w:val="24"/>
              </w:rPr>
            </w:pPr>
          </w:p>
        </w:tc>
        <w:tc>
          <w:tcPr>
            <w:tcW w:w="1435" w:type="dxa"/>
            <w:tcBorders>
              <w:top w:val="nil"/>
              <w:bottom w:val="nil"/>
            </w:tcBorders>
          </w:tcPr>
          <w:p w14:paraId="5A1A7EF6"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Methanol</w:t>
            </w:r>
          </w:p>
        </w:tc>
        <w:tc>
          <w:tcPr>
            <w:tcW w:w="1478" w:type="dxa"/>
            <w:tcBorders>
              <w:top w:val="nil"/>
              <w:bottom w:val="nil"/>
            </w:tcBorders>
          </w:tcPr>
          <w:p w14:paraId="45859AA7"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1.96</w:t>
            </w:r>
          </w:p>
        </w:tc>
        <w:tc>
          <w:tcPr>
            <w:tcW w:w="1412" w:type="dxa"/>
            <w:tcBorders>
              <w:top w:val="nil"/>
              <w:bottom w:val="nil"/>
            </w:tcBorders>
          </w:tcPr>
          <w:p w14:paraId="318AD91A"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Dark green</w:t>
            </w:r>
          </w:p>
        </w:tc>
        <w:tc>
          <w:tcPr>
            <w:tcW w:w="1493" w:type="dxa"/>
            <w:tcBorders>
              <w:top w:val="nil"/>
              <w:bottom w:val="nil"/>
            </w:tcBorders>
          </w:tcPr>
          <w:p w14:paraId="36B78B85"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Sticky</w:t>
            </w:r>
          </w:p>
        </w:tc>
        <w:tc>
          <w:tcPr>
            <w:tcW w:w="1455" w:type="dxa"/>
            <w:tcBorders>
              <w:top w:val="nil"/>
              <w:bottom w:val="nil"/>
            </w:tcBorders>
          </w:tcPr>
          <w:p w14:paraId="3A703553"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soluble</w:t>
            </w:r>
          </w:p>
        </w:tc>
      </w:tr>
      <w:tr w:rsidR="000E5E0F" w:rsidRPr="002607C0" w14:paraId="2842BAF9" w14:textId="77777777" w:rsidTr="00272D55">
        <w:tc>
          <w:tcPr>
            <w:tcW w:w="1383" w:type="dxa"/>
            <w:vMerge/>
          </w:tcPr>
          <w:p w14:paraId="75E6814D" w14:textId="77777777" w:rsidR="000E5E0F" w:rsidRPr="002607C0" w:rsidRDefault="000E5E0F" w:rsidP="00272D55">
            <w:pPr>
              <w:jc w:val="center"/>
              <w:rPr>
                <w:rFonts w:ascii="Times New Roman" w:hAnsi="Times New Roman" w:cs="Times New Roman"/>
                <w:sz w:val="24"/>
                <w:szCs w:val="24"/>
              </w:rPr>
            </w:pPr>
          </w:p>
        </w:tc>
        <w:tc>
          <w:tcPr>
            <w:tcW w:w="1435" w:type="dxa"/>
            <w:tcBorders>
              <w:top w:val="nil"/>
            </w:tcBorders>
          </w:tcPr>
          <w:p w14:paraId="26FB4F33" w14:textId="77777777" w:rsidR="000E5E0F" w:rsidRPr="002F2728" w:rsidRDefault="000E5E0F" w:rsidP="00272D55">
            <w:pPr>
              <w:jc w:val="center"/>
              <w:rPr>
                <w:rFonts w:ascii="Times New Roman" w:hAnsi="Times New Roman" w:cs="Times New Roman"/>
                <w:sz w:val="24"/>
                <w:szCs w:val="24"/>
              </w:rPr>
            </w:pPr>
            <w:r w:rsidRPr="002F2728">
              <w:rPr>
                <w:rFonts w:ascii="Times New Roman" w:hAnsi="Times New Roman" w:cs="Times New Roman"/>
                <w:sz w:val="24"/>
                <w:szCs w:val="24"/>
              </w:rPr>
              <w:t>Aqueous</w:t>
            </w:r>
          </w:p>
        </w:tc>
        <w:tc>
          <w:tcPr>
            <w:tcW w:w="1478" w:type="dxa"/>
            <w:tcBorders>
              <w:top w:val="nil"/>
            </w:tcBorders>
          </w:tcPr>
          <w:p w14:paraId="121A247B" w14:textId="77777777" w:rsidR="000E5E0F" w:rsidRPr="002F2728" w:rsidRDefault="002F2728" w:rsidP="00272D55">
            <w:pPr>
              <w:jc w:val="center"/>
              <w:rPr>
                <w:rFonts w:ascii="Times New Roman" w:hAnsi="Times New Roman" w:cs="Times New Roman"/>
                <w:color w:val="FF0000"/>
                <w:sz w:val="24"/>
                <w:szCs w:val="24"/>
              </w:rPr>
            </w:pPr>
            <w:r w:rsidRPr="002F2728">
              <w:rPr>
                <w:rFonts w:ascii="Times New Roman" w:hAnsi="Times New Roman" w:cs="Times New Roman"/>
                <w:sz w:val="24"/>
                <w:szCs w:val="24"/>
              </w:rPr>
              <w:t>2.</w:t>
            </w:r>
            <w:r w:rsidR="000E5E0F" w:rsidRPr="002F2728">
              <w:rPr>
                <w:rFonts w:ascii="Times New Roman" w:hAnsi="Times New Roman" w:cs="Times New Roman"/>
                <w:sz w:val="24"/>
                <w:szCs w:val="24"/>
              </w:rPr>
              <w:t>13</w:t>
            </w:r>
          </w:p>
        </w:tc>
        <w:tc>
          <w:tcPr>
            <w:tcW w:w="1412" w:type="dxa"/>
            <w:tcBorders>
              <w:top w:val="nil"/>
            </w:tcBorders>
          </w:tcPr>
          <w:p w14:paraId="0FF64B11" w14:textId="77777777" w:rsidR="000E5E0F" w:rsidRPr="002607C0" w:rsidRDefault="000E5E0F" w:rsidP="00272D55">
            <w:pPr>
              <w:jc w:val="center"/>
              <w:rPr>
                <w:rFonts w:ascii="Times New Roman" w:hAnsi="Times New Roman" w:cs="Times New Roman"/>
                <w:color w:val="FF0000"/>
                <w:sz w:val="24"/>
                <w:szCs w:val="24"/>
              </w:rPr>
            </w:pPr>
            <w:r w:rsidRPr="002607C0">
              <w:rPr>
                <w:rFonts w:ascii="Times New Roman" w:hAnsi="Times New Roman" w:cs="Times New Roman"/>
                <w:color w:val="000000" w:themeColor="text1"/>
                <w:sz w:val="24"/>
                <w:szCs w:val="24"/>
              </w:rPr>
              <w:t>Dark brown</w:t>
            </w:r>
          </w:p>
        </w:tc>
        <w:tc>
          <w:tcPr>
            <w:tcW w:w="1493" w:type="dxa"/>
            <w:tcBorders>
              <w:top w:val="nil"/>
            </w:tcBorders>
          </w:tcPr>
          <w:p w14:paraId="76AA907B"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Dry powder</w:t>
            </w:r>
          </w:p>
        </w:tc>
        <w:tc>
          <w:tcPr>
            <w:tcW w:w="1455" w:type="dxa"/>
            <w:tcBorders>
              <w:top w:val="nil"/>
            </w:tcBorders>
          </w:tcPr>
          <w:p w14:paraId="0875BF90" w14:textId="77777777" w:rsidR="000E5E0F" w:rsidRPr="002607C0" w:rsidRDefault="000E5E0F" w:rsidP="00272D55">
            <w:pPr>
              <w:jc w:val="center"/>
              <w:rPr>
                <w:rFonts w:ascii="Times New Roman" w:hAnsi="Times New Roman" w:cs="Times New Roman"/>
                <w:sz w:val="24"/>
                <w:szCs w:val="24"/>
              </w:rPr>
            </w:pPr>
            <w:r w:rsidRPr="002607C0">
              <w:rPr>
                <w:rFonts w:ascii="Times New Roman" w:hAnsi="Times New Roman" w:cs="Times New Roman"/>
                <w:sz w:val="24"/>
                <w:szCs w:val="24"/>
              </w:rPr>
              <w:t>soluble</w:t>
            </w:r>
          </w:p>
        </w:tc>
      </w:tr>
    </w:tbl>
    <w:p w14:paraId="230BBD1F" w14:textId="77777777" w:rsidR="000E5E0F" w:rsidRPr="002607C0" w:rsidRDefault="001F4984" w:rsidP="00235EA9">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4.2 </w:t>
      </w:r>
      <w:r w:rsidR="000E5E0F" w:rsidRPr="002607C0">
        <w:rPr>
          <w:rFonts w:ascii="Times New Roman" w:hAnsi="Times New Roman" w:cs="Times New Roman"/>
          <w:b/>
          <w:bCs/>
          <w:sz w:val="24"/>
          <w:szCs w:val="24"/>
          <w:lang w:val="en-US"/>
        </w:rPr>
        <w:t>Determination</w:t>
      </w:r>
      <w:r w:rsidR="00DC6379">
        <w:rPr>
          <w:rFonts w:ascii="Times New Roman" w:hAnsi="Times New Roman" w:cs="Times New Roman"/>
          <w:b/>
          <w:bCs/>
          <w:sz w:val="24"/>
          <w:szCs w:val="24"/>
          <w:lang w:val="en-US"/>
        </w:rPr>
        <w:t xml:space="preserve"> of acute toxicity</w:t>
      </w:r>
    </w:p>
    <w:p w14:paraId="14631FDD" w14:textId="77777777" w:rsidR="000E5E0F" w:rsidRPr="002607C0" w:rsidRDefault="000E5E0F" w:rsidP="00235EA9">
      <w:pPr>
        <w:spacing w:before="240" w:after="240" w:line="240" w:lineRule="auto"/>
        <w:jc w:val="both"/>
        <w:rPr>
          <w:rFonts w:ascii="Times New Roman" w:hAnsi="Times New Roman" w:cs="Times New Roman"/>
          <w:sz w:val="24"/>
          <w:szCs w:val="24"/>
          <w:lang w:val="en-US"/>
        </w:rPr>
      </w:pPr>
      <w:r w:rsidRPr="002607C0">
        <w:rPr>
          <w:rFonts w:ascii="Times New Roman" w:eastAsia="Times New Roman" w:hAnsi="Times New Roman" w:cs="Times New Roman"/>
          <w:kern w:val="0"/>
          <w:sz w:val="24"/>
          <w:szCs w:val="24"/>
          <w:lang w:eastAsia="en-IN"/>
          <w14:ligatures w14:val="none"/>
        </w:rPr>
        <w:t xml:space="preserve">By OECD requirements, an acute oral toxicity study of Tecoma stans flowers aqueous extract (AETS) was conducted. According to OECD 425 recommendations, acute toxicity was examined at dosages of 5 mg/kg, 50 mg/kg, 300 mg/kg, and 2000 mg/kg. A dose of 2000 mg/kg exhibited hazardous symptoms; hence, it is regarded as an LD50 cut-off value by OECD rules 425. </w:t>
      </w:r>
      <w:r w:rsidRPr="002607C0">
        <w:rPr>
          <w:rFonts w:ascii="Times New Roman" w:eastAsia="Times New Roman" w:hAnsi="Times New Roman" w:cs="Times New Roman"/>
          <w:kern w:val="0"/>
          <w:sz w:val="24"/>
          <w:szCs w:val="24"/>
          <w:lang w:eastAsia="en-IN"/>
          <w14:ligatures w14:val="none"/>
        </w:rPr>
        <w:br/>
        <w:t xml:space="preserve">The following lists the doses chosen for pharmacological research using fixed-dose techniques. </w:t>
      </w:r>
      <w:r w:rsidR="0001263A">
        <w:rPr>
          <w:rFonts w:ascii="Times New Roman" w:hAnsi="Times New Roman" w:cs="Times New Roman"/>
          <w:sz w:val="24"/>
          <w:szCs w:val="24"/>
          <w:lang w:val="en-US"/>
        </w:rPr>
        <w:t>1/10</w:t>
      </w:r>
      <w:r w:rsidRPr="002607C0">
        <w:rPr>
          <w:rFonts w:ascii="Times New Roman" w:hAnsi="Times New Roman" w:cs="Times New Roman"/>
          <w:sz w:val="24"/>
          <w:szCs w:val="24"/>
          <w:vertAlign w:val="superscript"/>
          <w:lang w:val="en-US"/>
        </w:rPr>
        <w:t>th</w:t>
      </w:r>
      <w:r w:rsidRPr="002607C0">
        <w:rPr>
          <w:rFonts w:ascii="Times New Roman" w:hAnsi="Times New Roman" w:cs="Times New Roman"/>
          <w:sz w:val="24"/>
          <w:szCs w:val="24"/>
          <w:lang w:val="en-US"/>
        </w:rPr>
        <w:t xml:space="preserve"> of 2000mg/kg) aqueous extracts of Tecoma stan</w:t>
      </w:r>
      <w:r w:rsidR="0001263A">
        <w:rPr>
          <w:rFonts w:ascii="Times New Roman" w:hAnsi="Times New Roman" w:cs="Times New Roman"/>
          <w:sz w:val="24"/>
          <w:szCs w:val="24"/>
          <w:lang w:val="en-US"/>
        </w:rPr>
        <w:t>s flowers (AETS): 200mg/kg (1/5</w:t>
      </w:r>
      <w:r w:rsidRPr="002607C0">
        <w:rPr>
          <w:rFonts w:ascii="Times New Roman" w:hAnsi="Times New Roman" w:cs="Times New Roman"/>
          <w:sz w:val="24"/>
          <w:szCs w:val="24"/>
          <w:vertAlign w:val="superscript"/>
          <w:lang w:val="en-US"/>
        </w:rPr>
        <w:t>th</w:t>
      </w:r>
      <w:r w:rsidRPr="002607C0">
        <w:rPr>
          <w:rFonts w:ascii="Times New Roman" w:hAnsi="Times New Roman" w:cs="Times New Roman"/>
          <w:sz w:val="24"/>
          <w:szCs w:val="24"/>
          <w:lang w:val="en-US"/>
        </w:rPr>
        <w:t xml:space="preserve"> of 2000mg/kg) aqueous extracts of Tecoma stans flowers (AETS): 400mg/kg.</w:t>
      </w:r>
    </w:p>
    <w:p w14:paraId="39CA0D58" w14:textId="77777777" w:rsidR="000849EB" w:rsidRDefault="001F4984" w:rsidP="00235EA9">
      <w:pPr>
        <w:spacing w:before="24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4.3 </w:t>
      </w:r>
      <w:r w:rsidR="000E5E0F" w:rsidRPr="002607C0">
        <w:rPr>
          <w:rFonts w:ascii="Times New Roman" w:hAnsi="Times New Roman" w:cs="Times New Roman"/>
          <w:b/>
          <w:sz w:val="24"/>
          <w:szCs w:val="24"/>
          <w:lang w:val="en-US"/>
        </w:rPr>
        <w:t>Antipsychotic studies of Tecoma stans extrac</w:t>
      </w:r>
      <w:r w:rsidR="00DC6379">
        <w:rPr>
          <w:rFonts w:ascii="Times New Roman" w:hAnsi="Times New Roman" w:cs="Times New Roman"/>
          <w:b/>
          <w:sz w:val="24"/>
          <w:szCs w:val="24"/>
          <w:lang w:val="en-US"/>
        </w:rPr>
        <w:t xml:space="preserve">ts by compulsive </w:t>
      </w:r>
      <w:proofErr w:type="spellStart"/>
      <w:r w:rsidR="00DC6379">
        <w:rPr>
          <w:rFonts w:ascii="Times New Roman" w:hAnsi="Times New Roman" w:cs="Times New Roman"/>
          <w:b/>
          <w:sz w:val="24"/>
          <w:szCs w:val="24"/>
          <w:lang w:val="en-US"/>
        </w:rPr>
        <w:t>behaviour</w:t>
      </w:r>
      <w:proofErr w:type="spellEnd"/>
      <w:r w:rsidR="00DC6379">
        <w:rPr>
          <w:rFonts w:ascii="Times New Roman" w:hAnsi="Times New Roman" w:cs="Times New Roman"/>
          <w:b/>
          <w:sz w:val="24"/>
          <w:szCs w:val="24"/>
          <w:lang w:val="en-US"/>
        </w:rPr>
        <w:t xml:space="preserve"> test</w:t>
      </w:r>
    </w:p>
    <w:p w14:paraId="176EBB51" w14:textId="77777777" w:rsidR="002607C0" w:rsidRPr="000849EB" w:rsidRDefault="000849EB" w:rsidP="00235EA9">
      <w:pPr>
        <w:spacing w:before="240" w:after="0" w:line="240" w:lineRule="auto"/>
        <w:jc w:val="both"/>
        <w:rPr>
          <w:rFonts w:ascii="Times New Roman" w:hAnsi="Times New Roman" w:cs="Times New Roman"/>
          <w:b/>
          <w:sz w:val="24"/>
          <w:szCs w:val="24"/>
          <w:lang w:val="en-US"/>
        </w:rPr>
      </w:pPr>
      <w:r>
        <w:rPr>
          <w:rFonts w:ascii="Times New Roman" w:eastAsia="Times New Roman" w:hAnsi="Times New Roman" w:cs="Times New Roman"/>
          <w:kern w:val="0"/>
          <w:sz w:val="24"/>
          <w:szCs w:val="24"/>
          <w:lang w:eastAsia="en-IN"/>
          <w14:ligatures w14:val="none"/>
        </w:rPr>
        <w:t>Table No. 2</w:t>
      </w:r>
      <w:r w:rsidR="000E5E0F" w:rsidRPr="002607C0">
        <w:rPr>
          <w:rFonts w:ascii="Times New Roman" w:eastAsia="Times New Roman" w:hAnsi="Times New Roman" w:cs="Times New Roman"/>
          <w:kern w:val="0"/>
          <w:sz w:val="24"/>
          <w:szCs w:val="24"/>
          <w:lang w:eastAsia="en-IN"/>
          <w14:ligatures w14:val="none"/>
        </w:rPr>
        <w:t xml:space="preserve"> below details the outcome of the aqueous flower extract and compares it with the common antipsychotic haloperidol. </w:t>
      </w:r>
      <w:r w:rsidR="002607C0" w:rsidRPr="002607C0">
        <w:rPr>
          <w:rFonts w:ascii="Times New Roman" w:eastAsia="Times New Roman" w:hAnsi="Times New Roman" w:cs="Times New Roman"/>
          <w:kern w:val="0"/>
          <w:sz w:val="24"/>
          <w:szCs w:val="24"/>
          <w:lang w:eastAsia="en-IN"/>
          <w14:ligatures w14:val="none"/>
        </w:rPr>
        <w:t>The effects of various treatments on compulsive behaviours—</w:t>
      </w:r>
      <w:r w:rsidR="002607C0" w:rsidRPr="002607C0">
        <w:rPr>
          <w:rFonts w:ascii="Times New Roman" w:eastAsia="Times New Roman" w:hAnsi="Times New Roman" w:cs="Times New Roman"/>
          <w:bCs/>
          <w:kern w:val="0"/>
          <w:sz w:val="24"/>
          <w:szCs w:val="24"/>
          <w:lang w:eastAsia="en-IN"/>
          <w14:ligatures w14:val="none"/>
        </w:rPr>
        <w:t>rearing, sniffing, and licking</w:t>
      </w:r>
      <w:r w:rsidR="002607C0" w:rsidRPr="002607C0">
        <w:rPr>
          <w:rFonts w:ascii="Times New Roman" w:eastAsia="Times New Roman" w:hAnsi="Times New Roman" w:cs="Times New Roman"/>
          <w:kern w:val="0"/>
          <w:sz w:val="24"/>
          <w:szCs w:val="24"/>
          <w:lang w:eastAsia="en-IN"/>
          <w14:ligatures w14:val="none"/>
        </w:rPr>
        <w:t>—were evaluated at 0, 15, and 30 minutes.</w:t>
      </w:r>
    </w:p>
    <w:p w14:paraId="0E14DDCF" w14:textId="77777777" w:rsidR="002607C0" w:rsidRPr="002607C0" w:rsidRDefault="002607C0" w:rsidP="00235EA9">
      <w:pPr>
        <w:spacing w:before="240" w:after="100" w:afterAutospacing="1"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bCs/>
          <w:kern w:val="0"/>
          <w:sz w:val="24"/>
          <w:szCs w:val="24"/>
          <w:lang w:eastAsia="en-IN"/>
          <w14:ligatures w14:val="none"/>
        </w:rPr>
        <w:t>Amphetamine (2 mg/kg)</w:t>
      </w:r>
      <w:r w:rsidRPr="002607C0">
        <w:rPr>
          <w:rFonts w:ascii="Times New Roman" w:eastAsia="Times New Roman" w:hAnsi="Times New Roman" w:cs="Times New Roman"/>
          <w:kern w:val="0"/>
          <w:sz w:val="24"/>
          <w:szCs w:val="24"/>
          <w:lang w:eastAsia="en-IN"/>
          <w14:ligatures w14:val="none"/>
        </w:rPr>
        <w:t xml:space="preserve"> significantly increased all compulsive behaviours compared to the control group. The most pronounced effects were observed at 15 minutes: rearing (15.67 ± 0.21), sniffing (16.78 ± 1.09), and licking (19.23 ± 1.09), indicating a strong stimulant-induced compulsive activity.</w:t>
      </w:r>
    </w:p>
    <w:p w14:paraId="518DF756" w14:textId="77777777" w:rsidR="002607C0" w:rsidRPr="002607C0" w:rsidRDefault="002607C0" w:rsidP="00235EA9">
      <w:pPr>
        <w:spacing w:before="240" w:after="100" w:afterAutospacing="1"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bCs/>
          <w:kern w:val="0"/>
          <w:sz w:val="24"/>
          <w:szCs w:val="24"/>
          <w:lang w:eastAsia="en-IN"/>
          <w14:ligatures w14:val="none"/>
        </w:rPr>
        <w:t>Haloperidol (3 mg/kg) + Amphetamine</w:t>
      </w:r>
      <w:r w:rsidRPr="002607C0">
        <w:rPr>
          <w:rFonts w:ascii="Times New Roman" w:eastAsia="Times New Roman" w:hAnsi="Times New Roman" w:cs="Times New Roman"/>
          <w:kern w:val="0"/>
          <w:sz w:val="24"/>
          <w:szCs w:val="24"/>
          <w:lang w:eastAsia="en-IN"/>
          <w14:ligatures w14:val="none"/>
        </w:rPr>
        <w:t xml:space="preserve"> reduced these behaviours compared to amphetamine alone, suggesting antipsychotic attenuation. Notably, rearing and licking at 30 minutes were significantly decreased (2.77 ± 0.88 and 3.09 ± 0.11, respectively).</w:t>
      </w:r>
    </w:p>
    <w:p w14:paraId="4E566D5E" w14:textId="77777777" w:rsidR="002607C0" w:rsidRPr="002607C0" w:rsidRDefault="002607C0" w:rsidP="00235EA9">
      <w:pPr>
        <w:spacing w:before="240" w:after="100" w:afterAutospacing="1"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 xml:space="preserve">Both </w:t>
      </w:r>
      <w:r w:rsidR="006B4432">
        <w:rPr>
          <w:rFonts w:ascii="Times New Roman" w:eastAsia="Times New Roman" w:hAnsi="Times New Roman" w:cs="Times New Roman"/>
          <w:bCs/>
          <w:kern w:val="0"/>
          <w:sz w:val="24"/>
          <w:szCs w:val="24"/>
          <w:lang w:eastAsia="en-IN"/>
          <w14:ligatures w14:val="none"/>
        </w:rPr>
        <w:t>AETS 200 mg/kg and 4</w:t>
      </w:r>
      <w:r w:rsidRPr="002607C0">
        <w:rPr>
          <w:rFonts w:ascii="Times New Roman" w:eastAsia="Times New Roman" w:hAnsi="Times New Roman" w:cs="Times New Roman"/>
          <w:bCs/>
          <w:kern w:val="0"/>
          <w:sz w:val="24"/>
          <w:szCs w:val="24"/>
          <w:lang w:eastAsia="en-IN"/>
          <w14:ligatures w14:val="none"/>
        </w:rPr>
        <w:t>00 mg/kg + Amphetamine</w:t>
      </w:r>
      <w:r w:rsidRPr="002607C0">
        <w:rPr>
          <w:rFonts w:ascii="Times New Roman" w:eastAsia="Times New Roman" w:hAnsi="Times New Roman" w:cs="Times New Roman"/>
          <w:kern w:val="0"/>
          <w:sz w:val="24"/>
          <w:szCs w:val="24"/>
          <w:lang w:eastAsia="en-IN"/>
          <w14:ligatures w14:val="none"/>
        </w:rPr>
        <w:t xml:space="preserve"> groups exhibited a dose-dependent decrease in compulsiv</w:t>
      </w:r>
      <w:r w:rsidR="002A4E97">
        <w:rPr>
          <w:rFonts w:ascii="Times New Roman" w:eastAsia="Times New Roman" w:hAnsi="Times New Roman" w:cs="Times New Roman"/>
          <w:kern w:val="0"/>
          <w:sz w:val="24"/>
          <w:szCs w:val="24"/>
          <w:lang w:eastAsia="en-IN"/>
          <w14:ligatures w14:val="none"/>
        </w:rPr>
        <w:t>e behaviours. The higher dose (4</w:t>
      </w:r>
      <w:r w:rsidRPr="002607C0">
        <w:rPr>
          <w:rFonts w:ascii="Times New Roman" w:eastAsia="Times New Roman" w:hAnsi="Times New Roman" w:cs="Times New Roman"/>
          <w:kern w:val="0"/>
          <w:sz w:val="24"/>
          <w:szCs w:val="24"/>
          <w:lang w:eastAsia="en-IN"/>
          <w14:ligatures w14:val="none"/>
        </w:rPr>
        <w:t xml:space="preserve">00 mg/kg) showed stronger suppression of symptoms. For example, at 30 minutes: </w:t>
      </w:r>
      <w:r w:rsidRPr="002607C0">
        <w:rPr>
          <w:rFonts w:ascii="Times New Roman" w:eastAsia="Times New Roman" w:hAnsi="Times New Roman" w:cs="Times New Roman"/>
          <w:bCs/>
          <w:kern w:val="0"/>
          <w:sz w:val="24"/>
          <w:szCs w:val="24"/>
          <w:lang w:eastAsia="en-IN"/>
          <w14:ligatures w14:val="none"/>
        </w:rPr>
        <w:t>Rearing</w:t>
      </w:r>
      <w:r w:rsidRPr="002607C0">
        <w:rPr>
          <w:rFonts w:ascii="Times New Roman" w:eastAsia="Times New Roman" w:hAnsi="Times New Roman" w:cs="Times New Roman"/>
          <w:kern w:val="0"/>
          <w:sz w:val="24"/>
          <w:szCs w:val="24"/>
          <w:lang w:eastAsia="en-IN"/>
          <w14:ligatures w14:val="none"/>
        </w:rPr>
        <w:t xml:space="preserve"> reduced to </w:t>
      </w:r>
      <w:r w:rsidR="00534445" w:rsidRPr="002607C0">
        <w:rPr>
          <w:rFonts w:ascii="Times New Roman" w:hAnsi="Times New Roman" w:cs="Times New Roman"/>
          <w:sz w:val="24"/>
          <w:szCs w:val="24"/>
          <w:lang w:val="en-US"/>
        </w:rPr>
        <w:t>2.00±0.10</w:t>
      </w:r>
      <w:r w:rsidRPr="002607C0">
        <w:rPr>
          <w:rFonts w:ascii="Times New Roman" w:eastAsia="Times New Roman" w:hAnsi="Times New Roman" w:cs="Times New Roman"/>
          <w:kern w:val="0"/>
          <w:sz w:val="24"/>
          <w:szCs w:val="24"/>
          <w:lang w:eastAsia="en-IN"/>
          <w14:ligatures w14:val="none"/>
        </w:rPr>
        <w:t xml:space="preserve">**, </w:t>
      </w:r>
      <w:r w:rsidRPr="002607C0">
        <w:rPr>
          <w:rFonts w:ascii="Times New Roman" w:eastAsia="Times New Roman" w:hAnsi="Times New Roman" w:cs="Times New Roman"/>
          <w:bCs/>
          <w:kern w:val="0"/>
          <w:sz w:val="24"/>
          <w:szCs w:val="24"/>
          <w:lang w:eastAsia="en-IN"/>
          <w14:ligatures w14:val="none"/>
        </w:rPr>
        <w:t>Sniffing</w:t>
      </w:r>
      <w:r w:rsidRPr="002607C0">
        <w:rPr>
          <w:rFonts w:ascii="Times New Roman" w:eastAsia="Times New Roman" w:hAnsi="Times New Roman" w:cs="Times New Roman"/>
          <w:kern w:val="0"/>
          <w:sz w:val="24"/>
          <w:szCs w:val="24"/>
          <w:lang w:eastAsia="en-IN"/>
          <w14:ligatures w14:val="none"/>
        </w:rPr>
        <w:t xml:space="preserve"> to </w:t>
      </w:r>
      <w:r w:rsidR="00534445" w:rsidRPr="002607C0">
        <w:rPr>
          <w:rFonts w:ascii="Times New Roman" w:hAnsi="Times New Roman" w:cs="Times New Roman"/>
          <w:sz w:val="24"/>
          <w:szCs w:val="24"/>
          <w:lang w:val="en-US"/>
        </w:rPr>
        <w:t>1.78±0.65</w:t>
      </w:r>
      <w:r w:rsidRPr="002607C0">
        <w:rPr>
          <w:rFonts w:ascii="Times New Roman" w:eastAsia="Times New Roman" w:hAnsi="Times New Roman" w:cs="Times New Roman"/>
          <w:kern w:val="0"/>
          <w:sz w:val="24"/>
          <w:szCs w:val="24"/>
          <w:lang w:eastAsia="en-IN"/>
          <w14:ligatures w14:val="none"/>
        </w:rPr>
        <w:t xml:space="preserve">**, and </w:t>
      </w:r>
      <w:r w:rsidRPr="002607C0">
        <w:rPr>
          <w:rFonts w:ascii="Times New Roman" w:eastAsia="Times New Roman" w:hAnsi="Times New Roman" w:cs="Times New Roman"/>
          <w:bCs/>
          <w:kern w:val="0"/>
          <w:sz w:val="24"/>
          <w:szCs w:val="24"/>
          <w:lang w:eastAsia="en-IN"/>
          <w14:ligatures w14:val="none"/>
        </w:rPr>
        <w:t>Licking</w:t>
      </w:r>
      <w:r w:rsidRPr="002607C0">
        <w:rPr>
          <w:rFonts w:ascii="Times New Roman" w:eastAsia="Times New Roman" w:hAnsi="Times New Roman" w:cs="Times New Roman"/>
          <w:kern w:val="0"/>
          <w:sz w:val="24"/>
          <w:szCs w:val="24"/>
          <w:lang w:eastAsia="en-IN"/>
          <w14:ligatures w14:val="none"/>
        </w:rPr>
        <w:t xml:space="preserve"> to </w:t>
      </w:r>
      <w:r w:rsidR="00534445" w:rsidRPr="002607C0">
        <w:rPr>
          <w:rFonts w:ascii="Times New Roman" w:hAnsi="Times New Roman" w:cs="Times New Roman"/>
          <w:sz w:val="24"/>
          <w:szCs w:val="24"/>
          <w:lang w:val="en-US"/>
        </w:rPr>
        <w:t>1.23±0.10</w:t>
      </w:r>
      <w:r w:rsidRPr="002607C0">
        <w:rPr>
          <w:rFonts w:ascii="Times New Roman" w:eastAsia="Times New Roman" w:hAnsi="Times New Roman" w:cs="Times New Roman"/>
          <w:kern w:val="0"/>
          <w:sz w:val="24"/>
          <w:szCs w:val="24"/>
          <w:lang w:eastAsia="en-IN"/>
          <w14:ligatures w14:val="none"/>
        </w:rPr>
        <w:t>***, indicating statistically significant attenuation (p&lt;0.01 to p&lt;0.001) compared to amphetamine alone.</w:t>
      </w:r>
    </w:p>
    <w:p w14:paraId="64AE81CB" w14:textId="77777777" w:rsidR="002607C0" w:rsidRDefault="002607C0" w:rsidP="00235EA9">
      <w:pPr>
        <w:spacing w:before="240" w:after="100" w:afterAutospacing="1"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These results suggest that AETS possesses potential anti-compulsive or anti-stimulant-like effects, similar to haloperidol, with stronger activity at higher doses.</w:t>
      </w:r>
    </w:p>
    <w:p w14:paraId="15B63000" w14:textId="77777777" w:rsidR="001F4984" w:rsidRDefault="001B73B6" w:rsidP="00327771">
      <w:pPr>
        <w:spacing w:before="24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w:t>
      </w:r>
      <w:r w:rsidR="000E5E0F" w:rsidRPr="002607C0">
        <w:rPr>
          <w:rFonts w:ascii="Times New Roman" w:hAnsi="Times New Roman" w:cs="Times New Roman"/>
          <w:b/>
          <w:bCs/>
          <w:sz w:val="24"/>
          <w:szCs w:val="24"/>
          <w:lang w:val="en-US"/>
        </w:rPr>
        <w:t>2</w:t>
      </w:r>
      <w:r>
        <w:rPr>
          <w:rFonts w:ascii="Times New Roman" w:hAnsi="Times New Roman" w:cs="Times New Roman"/>
          <w:b/>
          <w:bCs/>
          <w:sz w:val="24"/>
          <w:szCs w:val="24"/>
          <w:lang w:val="en-US"/>
        </w:rPr>
        <w:t>.</w:t>
      </w:r>
      <w:r w:rsidR="000E5E0F" w:rsidRPr="002607C0">
        <w:rPr>
          <w:rFonts w:ascii="Times New Roman" w:hAnsi="Times New Roman" w:cs="Times New Roman"/>
          <w:b/>
          <w:bCs/>
          <w:sz w:val="24"/>
          <w:szCs w:val="24"/>
          <w:lang w:val="en-US"/>
        </w:rPr>
        <w:t xml:space="preserve"> Compulsive </w:t>
      </w:r>
      <w:proofErr w:type="spellStart"/>
      <w:r w:rsidR="000E5E0F" w:rsidRPr="002607C0">
        <w:rPr>
          <w:rFonts w:ascii="Times New Roman" w:hAnsi="Times New Roman" w:cs="Times New Roman"/>
          <w:b/>
          <w:bCs/>
          <w:sz w:val="24"/>
          <w:szCs w:val="24"/>
          <w:lang w:val="en-US"/>
        </w:rPr>
        <w:t>behaviour</w:t>
      </w:r>
      <w:proofErr w:type="spellEnd"/>
      <w:r w:rsidR="000E5E0F" w:rsidRPr="002607C0">
        <w:rPr>
          <w:rFonts w:ascii="Times New Roman" w:hAnsi="Times New Roman" w:cs="Times New Roman"/>
          <w:b/>
          <w:bCs/>
          <w:sz w:val="24"/>
          <w:szCs w:val="24"/>
          <w:lang w:val="en-US"/>
        </w:rPr>
        <w:t xml:space="preserve"> test</w:t>
      </w:r>
    </w:p>
    <w:tbl>
      <w:tblPr>
        <w:tblStyle w:val="TableGrid"/>
        <w:tblW w:w="9683"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851"/>
        <w:gridCol w:w="850"/>
        <w:gridCol w:w="709"/>
        <w:gridCol w:w="851"/>
        <w:gridCol w:w="992"/>
        <w:gridCol w:w="992"/>
        <w:gridCol w:w="851"/>
        <w:gridCol w:w="992"/>
        <w:gridCol w:w="894"/>
      </w:tblGrid>
      <w:tr w:rsidR="000E5E0F" w:rsidRPr="002607C0" w14:paraId="72277C35" w14:textId="77777777" w:rsidTr="00272D55">
        <w:tc>
          <w:tcPr>
            <w:tcW w:w="1701" w:type="dxa"/>
            <w:vMerge w:val="restart"/>
          </w:tcPr>
          <w:p w14:paraId="095C2F05" w14:textId="77777777" w:rsidR="000E5E0F" w:rsidRPr="002607C0" w:rsidRDefault="000E5E0F" w:rsidP="001F4984">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lastRenderedPageBreak/>
              <w:t>Treatments</w:t>
            </w:r>
          </w:p>
          <w:p w14:paraId="30847D14" w14:textId="77777777" w:rsidR="000E5E0F" w:rsidRPr="002607C0" w:rsidRDefault="000E5E0F" w:rsidP="001F4984">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(Dose mg/kg)</w:t>
            </w:r>
          </w:p>
        </w:tc>
        <w:tc>
          <w:tcPr>
            <w:tcW w:w="7982" w:type="dxa"/>
            <w:gridSpan w:val="9"/>
          </w:tcPr>
          <w:p w14:paraId="65BF2CD3" w14:textId="77777777" w:rsidR="000E5E0F" w:rsidRPr="002607C0" w:rsidRDefault="002A4E97" w:rsidP="002A4E97">
            <w:pPr>
              <w:pStyle w:val="ListParagraph"/>
              <w:tabs>
                <w:tab w:val="left" w:pos="1140"/>
                <w:tab w:val="center" w:pos="3883"/>
              </w:tabs>
              <w:spacing w:before="240"/>
              <w:ind w:left="0"/>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0E5E0F" w:rsidRPr="002607C0">
              <w:rPr>
                <w:rFonts w:ascii="Times New Roman" w:hAnsi="Times New Roman" w:cs="Times New Roman"/>
                <w:b/>
                <w:bCs/>
                <w:sz w:val="24"/>
                <w:szCs w:val="24"/>
                <w:lang w:val="en-US"/>
              </w:rPr>
              <w:t>Severity of responses min</w:t>
            </w:r>
          </w:p>
        </w:tc>
      </w:tr>
      <w:tr w:rsidR="000E5E0F" w:rsidRPr="002607C0" w14:paraId="43CAFB1C" w14:textId="77777777" w:rsidTr="00272D55">
        <w:tc>
          <w:tcPr>
            <w:tcW w:w="1701" w:type="dxa"/>
            <w:vMerge/>
          </w:tcPr>
          <w:p w14:paraId="6FD4EA1F"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p>
        </w:tc>
        <w:tc>
          <w:tcPr>
            <w:tcW w:w="2410" w:type="dxa"/>
            <w:gridSpan w:val="3"/>
          </w:tcPr>
          <w:p w14:paraId="5626A49E"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Rearing</w:t>
            </w:r>
          </w:p>
        </w:tc>
        <w:tc>
          <w:tcPr>
            <w:tcW w:w="2835" w:type="dxa"/>
            <w:gridSpan w:val="3"/>
          </w:tcPr>
          <w:p w14:paraId="238616E5"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Sniffing</w:t>
            </w:r>
          </w:p>
        </w:tc>
        <w:tc>
          <w:tcPr>
            <w:tcW w:w="2737" w:type="dxa"/>
            <w:gridSpan w:val="3"/>
          </w:tcPr>
          <w:p w14:paraId="6A290C55"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Licking</w:t>
            </w:r>
          </w:p>
        </w:tc>
      </w:tr>
      <w:tr w:rsidR="000E5E0F" w:rsidRPr="002607C0" w14:paraId="7254295D" w14:textId="77777777" w:rsidTr="00272D55">
        <w:tc>
          <w:tcPr>
            <w:tcW w:w="1701" w:type="dxa"/>
            <w:vMerge/>
            <w:tcBorders>
              <w:bottom w:val="single" w:sz="4" w:space="0" w:color="auto"/>
            </w:tcBorders>
          </w:tcPr>
          <w:p w14:paraId="5D104008"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p>
        </w:tc>
        <w:tc>
          <w:tcPr>
            <w:tcW w:w="851" w:type="dxa"/>
            <w:tcBorders>
              <w:bottom w:val="single" w:sz="4" w:space="0" w:color="auto"/>
            </w:tcBorders>
          </w:tcPr>
          <w:p w14:paraId="53754B19"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0</w:t>
            </w:r>
          </w:p>
        </w:tc>
        <w:tc>
          <w:tcPr>
            <w:tcW w:w="850" w:type="dxa"/>
            <w:tcBorders>
              <w:bottom w:val="single" w:sz="4" w:space="0" w:color="auto"/>
            </w:tcBorders>
          </w:tcPr>
          <w:p w14:paraId="55CECFE7"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15</w:t>
            </w:r>
          </w:p>
        </w:tc>
        <w:tc>
          <w:tcPr>
            <w:tcW w:w="709" w:type="dxa"/>
            <w:tcBorders>
              <w:bottom w:val="single" w:sz="4" w:space="0" w:color="auto"/>
            </w:tcBorders>
          </w:tcPr>
          <w:p w14:paraId="7A0AB83E" w14:textId="77777777" w:rsidR="000E5E0F" w:rsidRPr="002607C0" w:rsidRDefault="000E5E0F" w:rsidP="00235EA9">
            <w:pPr>
              <w:pStyle w:val="ListParagraph"/>
              <w:spacing w:before="240"/>
              <w:ind w:left="-30" w:right="-108"/>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30</w:t>
            </w:r>
          </w:p>
        </w:tc>
        <w:tc>
          <w:tcPr>
            <w:tcW w:w="851" w:type="dxa"/>
            <w:tcBorders>
              <w:bottom w:val="single" w:sz="4" w:space="0" w:color="auto"/>
            </w:tcBorders>
          </w:tcPr>
          <w:p w14:paraId="084B0EE0" w14:textId="77777777" w:rsidR="000E5E0F" w:rsidRPr="002607C0" w:rsidRDefault="000E5E0F" w:rsidP="00235EA9">
            <w:pPr>
              <w:pStyle w:val="ListParagraph"/>
              <w:spacing w:before="240"/>
              <w:ind w:left="-4" w:right="-108"/>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0</w:t>
            </w:r>
          </w:p>
        </w:tc>
        <w:tc>
          <w:tcPr>
            <w:tcW w:w="992" w:type="dxa"/>
            <w:tcBorders>
              <w:bottom w:val="single" w:sz="4" w:space="0" w:color="auto"/>
            </w:tcBorders>
          </w:tcPr>
          <w:p w14:paraId="42864DAA"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15</w:t>
            </w:r>
          </w:p>
        </w:tc>
        <w:tc>
          <w:tcPr>
            <w:tcW w:w="992" w:type="dxa"/>
            <w:tcBorders>
              <w:bottom w:val="single" w:sz="4" w:space="0" w:color="auto"/>
            </w:tcBorders>
          </w:tcPr>
          <w:p w14:paraId="355E45A1"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30</w:t>
            </w:r>
          </w:p>
        </w:tc>
        <w:tc>
          <w:tcPr>
            <w:tcW w:w="851" w:type="dxa"/>
            <w:tcBorders>
              <w:bottom w:val="single" w:sz="4" w:space="0" w:color="auto"/>
            </w:tcBorders>
          </w:tcPr>
          <w:p w14:paraId="7CA20747"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0</w:t>
            </w:r>
          </w:p>
        </w:tc>
        <w:tc>
          <w:tcPr>
            <w:tcW w:w="992" w:type="dxa"/>
            <w:tcBorders>
              <w:bottom w:val="single" w:sz="4" w:space="0" w:color="auto"/>
            </w:tcBorders>
          </w:tcPr>
          <w:p w14:paraId="6EFE2E2B"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15</w:t>
            </w:r>
          </w:p>
        </w:tc>
        <w:tc>
          <w:tcPr>
            <w:tcW w:w="894" w:type="dxa"/>
            <w:tcBorders>
              <w:bottom w:val="single" w:sz="4" w:space="0" w:color="auto"/>
            </w:tcBorders>
          </w:tcPr>
          <w:p w14:paraId="283E1FBC" w14:textId="77777777" w:rsidR="000E5E0F" w:rsidRPr="002607C0" w:rsidRDefault="000E5E0F" w:rsidP="00235EA9">
            <w:pPr>
              <w:pStyle w:val="ListParagraph"/>
              <w:spacing w:before="240"/>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30</w:t>
            </w:r>
          </w:p>
        </w:tc>
      </w:tr>
      <w:tr w:rsidR="000E5E0F" w:rsidRPr="002607C0" w14:paraId="5DB912AF" w14:textId="77777777" w:rsidTr="00272D55">
        <w:tc>
          <w:tcPr>
            <w:tcW w:w="1701" w:type="dxa"/>
            <w:tcBorders>
              <w:bottom w:val="nil"/>
            </w:tcBorders>
          </w:tcPr>
          <w:p w14:paraId="21C3CC39"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Control</w:t>
            </w:r>
          </w:p>
        </w:tc>
        <w:tc>
          <w:tcPr>
            <w:tcW w:w="851" w:type="dxa"/>
            <w:tcBorders>
              <w:bottom w:val="nil"/>
            </w:tcBorders>
          </w:tcPr>
          <w:p w14:paraId="6F7E6EDC"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1.20±0.22</w:t>
            </w:r>
          </w:p>
        </w:tc>
        <w:tc>
          <w:tcPr>
            <w:tcW w:w="850" w:type="dxa"/>
            <w:tcBorders>
              <w:bottom w:val="nil"/>
            </w:tcBorders>
          </w:tcPr>
          <w:p w14:paraId="606FEB0D"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1.26±0.98</w:t>
            </w:r>
          </w:p>
        </w:tc>
        <w:tc>
          <w:tcPr>
            <w:tcW w:w="709" w:type="dxa"/>
            <w:tcBorders>
              <w:bottom w:val="nil"/>
            </w:tcBorders>
          </w:tcPr>
          <w:p w14:paraId="409938C0" w14:textId="77777777" w:rsidR="000E5E0F" w:rsidRPr="002607C0" w:rsidRDefault="000E5E0F" w:rsidP="00272D55">
            <w:pPr>
              <w:pStyle w:val="ListParagraph"/>
              <w:tabs>
                <w:tab w:val="left" w:pos="635"/>
              </w:tabs>
              <w:ind w:left="-30"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1.22±0.78</w:t>
            </w:r>
          </w:p>
        </w:tc>
        <w:tc>
          <w:tcPr>
            <w:tcW w:w="851" w:type="dxa"/>
            <w:tcBorders>
              <w:bottom w:val="nil"/>
            </w:tcBorders>
          </w:tcPr>
          <w:p w14:paraId="5122EE39" w14:textId="77777777" w:rsidR="000E5E0F" w:rsidRPr="002607C0" w:rsidRDefault="000E5E0F" w:rsidP="00272D55">
            <w:pPr>
              <w:pStyle w:val="ListParagraph"/>
              <w:ind w:left="-4"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0.79±0.56</w:t>
            </w:r>
          </w:p>
        </w:tc>
        <w:tc>
          <w:tcPr>
            <w:tcW w:w="992" w:type="dxa"/>
            <w:tcBorders>
              <w:bottom w:val="nil"/>
            </w:tcBorders>
          </w:tcPr>
          <w:p w14:paraId="4419DDB1"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0.82±0.88</w:t>
            </w:r>
          </w:p>
        </w:tc>
        <w:tc>
          <w:tcPr>
            <w:tcW w:w="992" w:type="dxa"/>
            <w:tcBorders>
              <w:bottom w:val="nil"/>
            </w:tcBorders>
          </w:tcPr>
          <w:p w14:paraId="2F5AB91A"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0.82±0.81</w:t>
            </w:r>
          </w:p>
        </w:tc>
        <w:tc>
          <w:tcPr>
            <w:tcW w:w="851" w:type="dxa"/>
            <w:tcBorders>
              <w:bottom w:val="nil"/>
            </w:tcBorders>
          </w:tcPr>
          <w:p w14:paraId="467BE034"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1.98±0.44.</w:t>
            </w:r>
          </w:p>
        </w:tc>
        <w:tc>
          <w:tcPr>
            <w:tcW w:w="992" w:type="dxa"/>
            <w:tcBorders>
              <w:bottom w:val="nil"/>
            </w:tcBorders>
          </w:tcPr>
          <w:p w14:paraId="195508DA"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2.11±0.67</w:t>
            </w:r>
          </w:p>
        </w:tc>
        <w:tc>
          <w:tcPr>
            <w:tcW w:w="894" w:type="dxa"/>
            <w:tcBorders>
              <w:bottom w:val="nil"/>
            </w:tcBorders>
          </w:tcPr>
          <w:p w14:paraId="6E41647D"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2.09±0.77</w:t>
            </w:r>
          </w:p>
        </w:tc>
      </w:tr>
      <w:tr w:rsidR="000E5E0F" w:rsidRPr="002607C0" w14:paraId="6DBF159C" w14:textId="77777777" w:rsidTr="00272D55">
        <w:trPr>
          <w:trHeight w:val="920"/>
        </w:trPr>
        <w:tc>
          <w:tcPr>
            <w:tcW w:w="1701" w:type="dxa"/>
            <w:tcBorders>
              <w:top w:val="nil"/>
              <w:bottom w:val="nil"/>
            </w:tcBorders>
          </w:tcPr>
          <w:p w14:paraId="200EA66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Amphetamine</w:t>
            </w:r>
          </w:p>
          <w:p w14:paraId="6D12ADA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(2mg/kg)</w:t>
            </w:r>
          </w:p>
        </w:tc>
        <w:tc>
          <w:tcPr>
            <w:tcW w:w="851" w:type="dxa"/>
            <w:tcBorders>
              <w:top w:val="nil"/>
              <w:bottom w:val="nil"/>
            </w:tcBorders>
          </w:tcPr>
          <w:p w14:paraId="009D09FC"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1.28±0.34</w:t>
            </w:r>
          </w:p>
        </w:tc>
        <w:tc>
          <w:tcPr>
            <w:tcW w:w="850" w:type="dxa"/>
            <w:tcBorders>
              <w:top w:val="nil"/>
              <w:bottom w:val="nil"/>
            </w:tcBorders>
          </w:tcPr>
          <w:p w14:paraId="2394B714"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15.67±0.21</w:t>
            </w:r>
          </w:p>
        </w:tc>
        <w:tc>
          <w:tcPr>
            <w:tcW w:w="709" w:type="dxa"/>
            <w:tcBorders>
              <w:top w:val="nil"/>
              <w:bottom w:val="nil"/>
            </w:tcBorders>
          </w:tcPr>
          <w:p w14:paraId="1B404C64" w14:textId="77777777" w:rsidR="000E5E0F" w:rsidRPr="002607C0" w:rsidRDefault="000E5E0F" w:rsidP="00272D55">
            <w:pPr>
              <w:pStyle w:val="ListParagraph"/>
              <w:ind w:left="-30"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9.45±0.25</w:t>
            </w:r>
          </w:p>
        </w:tc>
        <w:tc>
          <w:tcPr>
            <w:tcW w:w="851" w:type="dxa"/>
            <w:tcBorders>
              <w:top w:val="nil"/>
              <w:bottom w:val="nil"/>
            </w:tcBorders>
          </w:tcPr>
          <w:p w14:paraId="0CBF5A4E" w14:textId="77777777" w:rsidR="000E5E0F" w:rsidRPr="002607C0" w:rsidRDefault="000E5E0F" w:rsidP="00272D55">
            <w:pPr>
              <w:pStyle w:val="ListParagraph"/>
              <w:ind w:left="-4"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0.89±0.21</w:t>
            </w:r>
          </w:p>
        </w:tc>
        <w:tc>
          <w:tcPr>
            <w:tcW w:w="992" w:type="dxa"/>
            <w:tcBorders>
              <w:top w:val="nil"/>
              <w:bottom w:val="nil"/>
            </w:tcBorders>
          </w:tcPr>
          <w:p w14:paraId="23F8267C"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16.78±1.09</w:t>
            </w:r>
          </w:p>
        </w:tc>
        <w:tc>
          <w:tcPr>
            <w:tcW w:w="992" w:type="dxa"/>
            <w:tcBorders>
              <w:top w:val="nil"/>
              <w:bottom w:val="nil"/>
            </w:tcBorders>
          </w:tcPr>
          <w:p w14:paraId="01E93177"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8.23±0.22</w:t>
            </w:r>
          </w:p>
        </w:tc>
        <w:tc>
          <w:tcPr>
            <w:tcW w:w="851" w:type="dxa"/>
            <w:tcBorders>
              <w:top w:val="nil"/>
              <w:bottom w:val="nil"/>
            </w:tcBorders>
          </w:tcPr>
          <w:p w14:paraId="6A1B45DB"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2.12±0.90</w:t>
            </w:r>
          </w:p>
        </w:tc>
        <w:tc>
          <w:tcPr>
            <w:tcW w:w="992" w:type="dxa"/>
            <w:tcBorders>
              <w:top w:val="nil"/>
              <w:bottom w:val="nil"/>
            </w:tcBorders>
          </w:tcPr>
          <w:p w14:paraId="3353DDC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19.23±1.09</w:t>
            </w:r>
          </w:p>
        </w:tc>
        <w:tc>
          <w:tcPr>
            <w:tcW w:w="894" w:type="dxa"/>
            <w:tcBorders>
              <w:top w:val="nil"/>
              <w:bottom w:val="nil"/>
            </w:tcBorders>
          </w:tcPr>
          <w:p w14:paraId="33701414"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7.21±0.32</w:t>
            </w:r>
          </w:p>
        </w:tc>
      </w:tr>
      <w:tr w:rsidR="000E5E0F" w:rsidRPr="002607C0" w14:paraId="69EA2CB5" w14:textId="77777777" w:rsidTr="00272D55">
        <w:tc>
          <w:tcPr>
            <w:tcW w:w="1701" w:type="dxa"/>
            <w:tcBorders>
              <w:top w:val="nil"/>
              <w:bottom w:val="nil"/>
            </w:tcBorders>
          </w:tcPr>
          <w:p w14:paraId="56ACF369"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Haloperidol</w:t>
            </w:r>
          </w:p>
          <w:p w14:paraId="4402F92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(3mg/kg) + Amphetamine</w:t>
            </w:r>
          </w:p>
        </w:tc>
        <w:tc>
          <w:tcPr>
            <w:tcW w:w="851" w:type="dxa"/>
            <w:tcBorders>
              <w:top w:val="nil"/>
              <w:bottom w:val="nil"/>
            </w:tcBorders>
          </w:tcPr>
          <w:p w14:paraId="411D509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0.98±0.93</w:t>
            </w:r>
          </w:p>
        </w:tc>
        <w:tc>
          <w:tcPr>
            <w:tcW w:w="850" w:type="dxa"/>
            <w:tcBorders>
              <w:top w:val="nil"/>
              <w:bottom w:val="nil"/>
            </w:tcBorders>
          </w:tcPr>
          <w:p w14:paraId="1CA9A1A0"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6.78±1.39</w:t>
            </w:r>
          </w:p>
        </w:tc>
        <w:tc>
          <w:tcPr>
            <w:tcW w:w="709" w:type="dxa"/>
            <w:tcBorders>
              <w:top w:val="nil"/>
              <w:bottom w:val="nil"/>
            </w:tcBorders>
          </w:tcPr>
          <w:p w14:paraId="32AA38C3" w14:textId="77777777" w:rsidR="000E5E0F" w:rsidRPr="002607C0" w:rsidRDefault="000E5E0F" w:rsidP="00272D55">
            <w:pPr>
              <w:pStyle w:val="ListParagraph"/>
              <w:ind w:left="-30"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2.77±0.88</w:t>
            </w:r>
          </w:p>
        </w:tc>
        <w:tc>
          <w:tcPr>
            <w:tcW w:w="851" w:type="dxa"/>
            <w:tcBorders>
              <w:top w:val="nil"/>
              <w:bottom w:val="nil"/>
            </w:tcBorders>
          </w:tcPr>
          <w:p w14:paraId="47506F2D" w14:textId="77777777" w:rsidR="000E5E0F" w:rsidRPr="002607C0" w:rsidRDefault="000E5E0F" w:rsidP="00272D55">
            <w:pPr>
              <w:pStyle w:val="ListParagraph"/>
              <w:ind w:left="-4"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0.12±0.23</w:t>
            </w:r>
          </w:p>
        </w:tc>
        <w:tc>
          <w:tcPr>
            <w:tcW w:w="992" w:type="dxa"/>
            <w:tcBorders>
              <w:top w:val="nil"/>
              <w:bottom w:val="nil"/>
            </w:tcBorders>
          </w:tcPr>
          <w:p w14:paraId="73C5DF1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7.21±0.47</w:t>
            </w:r>
          </w:p>
        </w:tc>
        <w:tc>
          <w:tcPr>
            <w:tcW w:w="992" w:type="dxa"/>
            <w:tcBorders>
              <w:top w:val="nil"/>
              <w:bottom w:val="nil"/>
            </w:tcBorders>
          </w:tcPr>
          <w:p w14:paraId="090D96E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4.20±1.20</w:t>
            </w:r>
          </w:p>
        </w:tc>
        <w:tc>
          <w:tcPr>
            <w:tcW w:w="851" w:type="dxa"/>
            <w:tcBorders>
              <w:top w:val="nil"/>
              <w:bottom w:val="nil"/>
            </w:tcBorders>
          </w:tcPr>
          <w:p w14:paraId="69640D3D"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0.87±0.67</w:t>
            </w:r>
          </w:p>
        </w:tc>
        <w:tc>
          <w:tcPr>
            <w:tcW w:w="992" w:type="dxa"/>
            <w:tcBorders>
              <w:top w:val="nil"/>
              <w:bottom w:val="nil"/>
            </w:tcBorders>
          </w:tcPr>
          <w:p w14:paraId="3E5CC2C3"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12.98±0.74</w:t>
            </w:r>
          </w:p>
        </w:tc>
        <w:tc>
          <w:tcPr>
            <w:tcW w:w="894" w:type="dxa"/>
            <w:tcBorders>
              <w:top w:val="nil"/>
              <w:bottom w:val="nil"/>
            </w:tcBorders>
          </w:tcPr>
          <w:p w14:paraId="07A8985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3.09±0.11</w:t>
            </w:r>
          </w:p>
        </w:tc>
      </w:tr>
      <w:tr w:rsidR="000E5E0F" w:rsidRPr="002607C0" w14:paraId="06B094DA" w14:textId="77777777" w:rsidTr="00272D55">
        <w:tc>
          <w:tcPr>
            <w:tcW w:w="1701" w:type="dxa"/>
            <w:tcBorders>
              <w:top w:val="nil"/>
              <w:bottom w:val="nil"/>
            </w:tcBorders>
          </w:tcPr>
          <w:p w14:paraId="57C1FE6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AETS</w:t>
            </w:r>
          </w:p>
          <w:p w14:paraId="484ACAA1" w14:textId="77777777" w:rsidR="000E5E0F" w:rsidRPr="002607C0" w:rsidRDefault="00524B99" w:rsidP="00272D55">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0E5E0F" w:rsidRPr="002607C0">
              <w:rPr>
                <w:rFonts w:ascii="Times New Roman" w:hAnsi="Times New Roman" w:cs="Times New Roman"/>
                <w:sz w:val="24"/>
                <w:szCs w:val="24"/>
                <w:lang w:val="en-US"/>
              </w:rPr>
              <w:t>00mg/kg) +</w:t>
            </w:r>
          </w:p>
          <w:p w14:paraId="784C6850"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Amphetamine</w:t>
            </w:r>
          </w:p>
        </w:tc>
        <w:tc>
          <w:tcPr>
            <w:tcW w:w="851" w:type="dxa"/>
            <w:tcBorders>
              <w:top w:val="nil"/>
              <w:bottom w:val="nil"/>
            </w:tcBorders>
          </w:tcPr>
          <w:p w14:paraId="264ABF7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2.01±0.13</w:t>
            </w:r>
          </w:p>
        </w:tc>
        <w:tc>
          <w:tcPr>
            <w:tcW w:w="850" w:type="dxa"/>
            <w:tcBorders>
              <w:top w:val="nil"/>
              <w:bottom w:val="nil"/>
            </w:tcBorders>
          </w:tcPr>
          <w:p w14:paraId="1CA13D7C"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5.61±1.08</w:t>
            </w:r>
          </w:p>
        </w:tc>
        <w:tc>
          <w:tcPr>
            <w:tcW w:w="709" w:type="dxa"/>
            <w:tcBorders>
              <w:top w:val="nil"/>
              <w:bottom w:val="nil"/>
            </w:tcBorders>
          </w:tcPr>
          <w:p w14:paraId="70C0896C" w14:textId="77777777" w:rsidR="000E5E0F" w:rsidRPr="002607C0" w:rsidRDefault="000E5E0F" w:rsidP="00272D55">
            <w:pPr>
              <w:pStyle w:val="ListParagraph"/>
              <w:ind w:left="-30"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3.00±0.30*</w:t>
            </w:r>
          </w:p>
        </w:tc>
        <w:tc>
          <w:tcPr>
            <w:tcW w:w="851" w:type="dxa"/>
            <w:tcBorders>
              <w:top w:val="nil"/>
              <w:bottom w:val="nil"/>
            </w:tcBorders>
          </w:tcPr>
          <w:p w14:paraId="2564EA19" w14:textId="77777777" w:rsidR="000E5E0F" w:rsidRPr="002607C0" w:rsidRDefault="000E5E0F" w:rsidP="00272D55">
            <w:pPr>
              <w:pStyle w:val="ListParagraph"/>
              <w:ind w:left="-4"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0.64±0.62**</w:t>
            </w:r>
          </w:p>
        </w:tc>
        <w:tc>
          <w:tcPr>
            <w:tcW w:w="992" w:type="dxa"/>
            <w:tcBorders>
              <w:top w:val="nil"/>
              <w:bottom w:val="nil"/>
            </w:tcBorders>
          </w:tcPr>
          <w:p w14:paraId="2B759048"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3.78±0.85**</w:t>
            </w:r>
          </w:p>
        </w:tc>
        <w:tc>
          <w:tcPr>
            <w:tcW w:w="992" w:type="dxa"/>
            <w:tcBorders>
              <w:top w:val="nil"/>
              <w:bottom w:val="nil"/>
            </w:tcBorders>
          </w:tcPr>
          <w:p w14:paraId="582CF3C5"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2.86±0.45**</w:t>
            </w:r>
          </w:p>
        </w:tc>
        <w:tc>
          <w:tcPr>
            <w:tcW w:w="851" w:type="dxa"/>
            <w:tcBorders>
              <w:top w:val="nil"/>
              <w:bottom w:val="nil"/>
            </w:tcBorders>
          </w:tcPr>
          <w:p w14:paraId="4F90AFB2"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0.71±0.44</w:t>
            </w:r>
          </w:p>
        </w:tc>
        <w:tc>
          <w:tcPr>
            <w:tcW w:w="992" w:type="dxa"/>
            <w:tcBorders>
              <w:top w:val="nil"/>
              <w:bottom w:val="nil"/>
            </w:tcBorders>
          </w:tcPr>
          <w:p w14:paraId="7CB1256A"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8.74±0.32**</w:t>
            </w:r>
          </w:p>
        </w:tc>
        <w:tc>
          <w:tcPr>
            <w:tcW w:w="894" w:type="dxa"/>
            <w:tcBorders>
              <w:top w:val="nil"/>
              <w:bottom w:val="nil"/>
            </w:tcBorders>
          </w:tcPr>
          <w:p w14:paraId="32F546F9"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2.23±0.34***</w:t>
            </w:r>
          </w:p>
        </w:tc>
      </w:tr>
      <w:tr w:rsidR="000E5E0F" w:rsidRPr="002607C0" w14:paraId="2A558E0D" w14:textId="77777777" w:rsidTr="00272D55">
        <w:tc>
          <w:tcPr>
            <w:tcW w:w="1701" w:type="dxa"/>
            <w:tcBorders>
              <w:top w:val="nil"/>
            </w:tcBorders>
          </w:tcPr>
          <w:p w14:paraId="3F4B333B"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AETS</w:t>
            </w:r>
          </w:p>
          <w:p w14:paraId="42F93593" w14:textId="77777777" w:rsidR="000E5E0F" w:rsidRPr="002607C0" w:rsidRDefault="00524B99" w:rsidP="00272D55">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0E5E0F" w:rsidRPr="002607C0">
              <w:rPr>
                <w:rFonts w:ascii="Times New Roman" w:hAnsi="Times New Roman" w:cs="Times New Roman"/>
                <w:sz w:val="24"/>
                <w:szCs w:val="24"/>
                <w:lang w:val="en-US"/>
              </w:rPr>
              <w:t>00mg/kg +</w:t>
            </w:r>
          </w:p>
          <w:p w14:paraId="6D892BC1"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Amphetamine</w:t>
            </w:r>
          </w:p>
        </w:tc>
        <w:tc>
          <w:tcPr>
            <w:tcW w:w="851" w:type="dxa"/>
            <w:tcBorders>
              <w:top w:val="nil"/>
            </w:tcBorders>
          </w:tcPr>
          <w:p w14:paraId="426085C5"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1.20±0.23</w:t>
            </w:r>
          </w:p>
        </w:tc>
        <w:tc>
          <w:tcPr>
            <w:tcW w:w="850" w:type="dxa"/>
            <w:tcBorders>
              <w:top w:val="nil"/>
            </w:tcBorders>
          </w:tcPr>
          <w:p w14:paraId="0BF8BDBF"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3.81±1.09</w:t>
            </w:r>
          </w:p>
        </w:tc>
        <w:tc>
          <w:tcPr>
            <w:tcW w:w="709" w:type="dxa"/>
            <w:tcBorders>
              <w:top w:val="nil"/>
            </w:tcBorders>
          </w:tcPr>
          <w:p w14:paraId="6094006E" w14:textId="77777777" w:rsidR="000E5E0F" w:rsidRPr="002607C0" w:rsidRDefault="000E5E0F" w:rsidP="00272D55">
            <w:pPr>
              <w:pStyle w:val="ListParagraph"/>
              <w:ind w:left="-30"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2.00±0.10</w:t>
            </w:r>
          </w:p>
        </w:tc>
        <w:tc>
          <w:tcPr>
            <w:tcW w:w="851" w:type="dxa"/>
            <w:tcBorders>
              <w:top w:val="nil"/>
            </w:tcBorders>
          </w:tcPr>
          <w:p w14:paraId="28E17712" w14:textId="77777777" w:rsidR="000E5E0F" w:rsidRPr="002607C0" w:rsidRDefault="000E5E0F" w:rsidP="00272D55">
            <w:pPr>
              <w:pStyle w:val="ListParagraph"/>
              <w:ind w:left="-4" w:right="-108"/>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0.54±0.22**</w:t>
            </w:r>
          </w:p>
        </w:tc>
        <w:tc>
          <w:tcPr>
            <w:tcW w:w="992" w:type="dxa"/>
            <w:tcBorders>
              <w:top w:val="nil"/>
            </w:tcBorders>
          </w:tcPr>
          <w:p w14:paraId="6CA1B1B9"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2.98±0.85**</w:t>
            </w:r>
          </w:p>
        </w:tc>
        <w:tc>
          <w:tcPr>
            <w:tcW w:w="992" w:type="dxa"/>
            <w:tcBorders>
              <w:top w:val="nil"/>
            </w:tcBorders>
          </w:tcPr>
          <w:p w14:paraId="122BEB4A"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1.78±0.65**</w:t>
            </w:r>
          </w:p>
        </w:tc>
        <w:tc>
          <w:tcPr>
            <w:tcW w:w="851" w:type="dxa"/>
            <w:tcBorders>
              <w:top w:val="nil"/>
            </w:tcBorders>
          </w:tcPr>
          <w:p w14:paraId="39EE2AB5"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0.61±0.34</w:t>
            </w:r>
          </w:p>
        </w:tc>
        <w:tc>
          <w:tcPr>
            <w:tcW w:w="992" w:type="dxa"/>
            <w:tcBorders>
              <w:top w:val="nil"/>
            </w:tcBorders>
          </w:tcPr>
          <w:p w14:paraId="00E93DC5"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5.14±0.51**</w:t>
            </w:r>
          </w:p>
        </w:tc>
        <w:tc>
          <w:tcPr>
            <w:tcW w:w="894" w:type="dxa"/>
            <w:tcBorders>
              <w:top w:val="nil"/>
            </w:tcBorders>
          </w:tcPr>
          <w:p w14:paraId="0EF36425" w14:textId="77777777" w:rsidR="000E5E0F" w:rsidRPr="002607C0" w:rsidRDefault="000E5E0F" w:rsidP="00272D55">
            <w:pPr>
              <w:pStyle w:val="ListParagraph"/>
              <w:ind w:left="0"/>
              <w:jc w:val="center"/>
              <w:rPr>
                <w:rFonts w:ascii="Times New Roman" w:hAnsi="Times New Roman" w:cs="Times New Roman"/>
                <w:sz w:val="24"/>
                <w:szCs w:val="24"/>
                <w:lang w:val="en-US"/>
              </w:rPr>
            </w:pPr>
            <w:r w:rsidRPr="002607C0">
              <w:rPr>
                <w:rFonts w:ascii="Times New Roman" w:hAnsi="Times New Roman" w:cs="Times New Roman"/>
                <w:sz w:val="24"/>
                <w:szCs w:val="24"/>
                <w:lang w:val="en-US"/>
              </w:rPr>
              <w:t>1.23±0.10***</w:t>
            </w:r>
          </w:p>
        </w:tc>
      </w:tr>
    </w:tbl>
    <w:p w14:paraId="2F3746F4" w14:textId="77777777" w:rsidR="001F4984" w:rsidRPr="000004BE" w:rsidRDefault="00B73552" w:rsidP="000004BE">
      <w:pPr>
        <w:spacing w:before="240" w:after="0" w:line="240" w:lineRule="auto"/>
        <w:jc w:val="center"/>
        <w:rPr>
          <w:rFonts w:ascii="Times New Roman" w:hAnsi="Times New Roman" w:cs="Times New Roman"/>
          <w:bCs/>
          <w:i/>
          <w:sz w:val="24"/>
          <w:szCs w:val="24"/>
          <w:lang w:val="en-US"/>
        </w:rPr>
      </w:pPr>
      <w:r w:rsidRPr="00B73552">
        <w:rPr>
          <w:rFonts w:ascii="Times New Roman" w:hAnsi="Times New Roman" w:cs="Times New Roman"/>
          <w:i/>
          <w:sz w:val="24"/>
          <w:szCs w:val="24"/>
        </w:rPr>
        <w:t xml:space="preserve">Values are expressed as Mean ± SEM (n=6). Statistical comparison with </w:t>
      </w:r>
      <w:r w:rsidR="000004BE">
        <w:rPr>
          <w:rFonts w:ascii="Times New Roman" w:hAnsi="Times New Roman" w:cs="Times New Roman"/>
          <w:i/>
          <w:sz w:val="24"/>
          <w:szCs w:val="24"/>
        </w:rPr>
        <w:t xml:space="preserve">the </w:t>
      </w:r>
      <w:r w:rsidRPr="000004BE">
        <w:rPr>
          <w:rStyle w:val="Strong"/>
          <w:rFonts w:ascii="Times New Roman" w:hAnsi="Times New Roman" w:cs="Times New Roman"/>
          <w:b w:val="0"/>
          <w:i/>
          <w:sz w:val="24"/>
          <w:szCs w:val="24"/>
        </w:rPr>
        <w:t>Amphetamine (2</w:t>
      </w:r>
      <w:r w:rsidRPr="00B73552">
        <w:rPr>
          <w:rStyle w:val="Strong"/>
          <w:rFonts w:ascii="Times New Roman" w:hAnsi="Times New Roman" w:cs="Times New Roman"/>
          <w:i/>
          <w:sz w:val="24"/>
          <w:szCs w:val="24"/>
        </w:rPr>
        <w:t xml:space="preserve"> </w:t>
      </w:r>
      <w:r w:rsidRPr="000004BE">
        <w:rPr>
          <w:rStyle w:val="Strong"/>
          <w:rFonts w:ascii="Times New Roman" w:hAnsi="Times New Roman" w:cs="Times New Roman"/>
          <w:b w:val="0"/>
          <w:i/>
          <w:sz w:val="24"/>
          <w:szCs w:val="24"/>
        </w:rPr>
        <w:t>mg/kg)</w:t>
      </w:r>
      <w:r w:rsidRPr="000004BE">
        <w:rPr>
          <w:rFonts w:ascii="Times New Roman" w:hAnsi="Times New Roman" w:cs="Times New Roman"/>
          <w:i/>
          <w:sz w:val="24"/>
          <w:szCs w:val="24"/>
        </w:rPr>
        <w:t xml:space="preserve"> </w:t>
      </w:r>
      <w:proofErr w:type="gramStart"/>
      <w:r w:rsidRPr="000004BE">
        <w:rPr>
          <w:rFonts w:ascii="Times New Roman" w:hAnsi="Times New Roman" w:cs="Times New Roman"/>
          <w:i/>
          <w:sz w:val="24"/>
          <w:szCs w:val="24"/>
        </w:rPr>
        <w:t>group</w:t>
      </w:r>
      <w:r w:rsidRPr="000004BE">
        <w:rPr>
          <w:rFonts w:ascii="Times New Roman" w:hAnsi="Times New Roman" w:cs="Times New Roman"/>
          <w:sz w:val="24"/>
          <w:szCs w:val="24"/>
        </w:rPr>
        <w:t>.</w:t>
      </w:r>
      <w:r w:rsidR="000004BE">
        <w:rPr>
          <w:rFonts w:ascii="Times New Roman" w:hAnsi="Times New Roman" w:cs="Times New Roman"/>
          <w:i/>
          <w:sz w:val="24"/>
          <w:szCs w:val="24"/>
        </w:rPr>
        <w:t>*</w:t>
      </w:r>
      <w:proofErr w:type="gramEnd"/>
      <w:r w:rsidRPr="000004BE">
        <w:rPr>
          <w:rStyle w:val="Emphasis"/>
          <w:rFonts w:ascii="Times New Roman" w:hAnsi="Times New Roman" w:cs="Times New Roman"/>
          <w:sz w:val="24"/>
          <w:szCs w:val="24"/>
        </w:rPr>
        <w:t>p</w:t>
      </w:r>
      <w:r w:rsidRPr="000004BE">
        <w:rPr>
          <w:rFonts w:ascii="Times New Roman" w:hAnsi="Times New Roman" w:cs="Times New Roman"/>
          <w:sz w:val="24"/>
          <w:szCs w:val="24"/>
        </w:rPr>
        <w:t xml:space="preserve"> </w:t>
      </w:r>
      <w:r w:rsidRPr="000004BE">
        <w:rPr>
          <w:rFonts w:ascii="Times New Roman" w:hAnsi="Times New Roman" w:cs="Times New Roman"/>
          <w:i/>
          <w:sz w:val="24"/>
          <w:szCs w:val="24"/>
        </w:rPr>
        <w:t>&lt; 0.05</w:t>
      </w:r>
      <w:r w:rsidRPr="000004BE">
        <w:rPr>
          <w:rStyle w:val="Emphasis"/>
          <w:rFonts w:ascii="Times New Roman" w:hAnsi="Times New Roman" w:cs="Times New Roman"/>
          <w:sz w:val="24"/>
          <w:szCs w:val="24"/>
        </w:rPr>
        <w:t xml:space="preserve">, </w:t>
      </w:r>
      <w:r w:rsidR="000004BE">
        <w:rPr>
          <w:rStyle w:val="Emphasis"/>
          <w:rFonts w:ascii="Times New Roman" w:hAnsi="Times New Roman" w:cs="Times New Roman"/>
          <w:sz w:val="24"/>
          <w:szCs w:val="24"/>
        </w:rPr>
        <w:t>**</w:t>
      </w:r>
      <w:r w:rsidRPr="000004BE">
        <w:rPr>
          <w:rStyle w:val="Emphasis"/>
          <w:rFonts w:ascii="Times New Roman" w:hAnsi="Times New Roman" w:cs="Times New Roman"/>
          <w:sz w:val="24"/>
          <w:szCs w:val="24"/>
        </w:rPr>
        <w:t>p &lt; 0.01</w:t>
      </w:r>
      <w:r w:rsidRPr="000004BE">
        <w:rPr>
          <w:rStyle w:val="Strong"/>
          <w:rFonts w:ascii="Times New Roman" w:hAnsi="Times New Roman" w:cs="Times New Roman"/>
          <w:iCs/>
          <w:sz w:val="24"/>
          <w:szCs w:val="24"/>
        </w:rPr>
        <w:t xml:space="preserve">, </w:t>
      </w:r>
      <w:r w:rsidR="000004BE">
        <w:rPr>
          <w:rStyle w:val="Strong"/>
          <w:rFonts w:ascii="Times New Roman" w:hAnsi="Times New Roman" w:cs="Times New Roman"/>
          <w:iCs/>
          <w:sz w:val="24"/>
          <w:szCs w:val="24"/>
        </w:rPr>
        <w:t>***</w:t>
      </w:r>
      <w:r w:rsidRPr="000004BE">
        <w:rPr>
          <w:rStyle w:val="Emphasis"/>
          <w:rFonts w:ascii="Times New Roman" w:hAnsi="Times New Roman" w:cs="Times New Roman"/>
          <w:bCs/>
          <w:sz w:val="24"/>
          <w:szCs w:val="24"/>
        </w:rPr>
        <w:t>p</w:t>
      </w:r>
      <w:r w:rsidRPr="000004BE">
        <w:rPr>
          <w:rStyle w:val="Strong"/>
          <w:rFonts w:ascii="Times New Roman" w:hAnsi="Times New Roman" w:cs="Times New Roman"/>
          <w:iCs/>
          <w:sz w:val="24"/>
          <w:szCs w:val="24"/>
        </w:rPr>
        <w:t xml:space="preserve"> </w:t>
      </w:r>
      <w:r w:rsidRPr="000004BE">
        <w:rPr>
          <w:rStyle w:val="Strong"/>
          <w:rFonts w:ascii="Times New Roman" w:hAnsi="Times New Roman" w:cs="Times New Roman"/>
          <w:i/>
          <w:iCs/>
          <w:sz w:val="24"/>
          <w:szCs w:val="24"/>
        </w:rPr>
        <w:t xml:space="preserve">&lt; </w:t>
      </w:r>
      <w:r w:rsidRPr="000004BE">
        <w:rPr>
          <w:rStyle w:val="Strong"/>
          <w:rFonts w:ascii="Times New Roman" w:hAnsi="Times New Roman" w:cs="Times New Roman"/>
          <w:b w:val="0"/>
          <w:i/>
          <w:iCs/>
          <w:sz w:val="24"/>
          <w:szCs w:val="24"/>
        </w:rPr>
        <w:t>0.001</w:t>
      </w:r>
    </w:p>
    <w:p w14:paraId="76A9BFA3" w14:textId="77777777" w:rsidR="000E5E0F" w:rsidRPr="002607C0" w:rsidRDefault="000E5E0F" w:rsidP="00235EA9">
      <w:pPr>
        <w:spacing w:before="240" w:after="0" w:line="240" w:lineRule="auto"/>
        <w:ind w:firstLine="720"/>
        <w:jc w:val="both"/>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 xml:space="preserve"> </w:t>
      </w:r>
      <w:r w:rsidRPr="002607C0">
        <w:rPr>
          <w:rFonts w:ascii="Times New Roman" w:hAnsi="Times New Roman" w:cs="Times New Roman"/>
          <w:noProof/>
          <w:sz w:val="24"/>
          <w:szCs w:val="24"/>
          <w:lang w:eastAsia="en-IN"/>
          <w14:ligatures w14:val="none"/>
        </w:rPr>
        <w:drawing>
          <wp:inline distT="0" distB="0" distL="0" distR="0" wp14:anchorId="09487D00" wp14:editId="3CF00D0B">
            <wp:extent cx="4657725" cy="3581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57725" cy="3581400"/>
                    </a:xfrm>
                    <a:prstGeom prst="rect">
                      <a:avLst/>
                    </a:prstGeom>
                  </pic:spPr>
                </pic:pic>
              </a:graphicData>
            </a:graphic>
          </wp:inline>
        </w:drawing>
      </w:r>
    </w:p>
    <w:p w14:paraId="6929D33A" w14:textId="77777777" w:rsidR="000E5E0F" w:rsidRPr="002607C0" w:rsidRDefault="00272D55" w:rsidP="00235EA9">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 1.</w:t>
      </w:r>
      <w:r w:rsidR="000E5E0F" w:rsidRPr="002607C0">
        <w:rPr>
          <w:rFonts w:ascii="Times New Roman" w:hAnsi="Times New Roman" w:cs="Times New Roman"/>
          <w:b/>
          <w:bCs/>
          <w:sz w:val="24"/>
          <w:szCs w:val="24"/>
          <w:lang w:val="en-US"/>
        </w:rPr>
        <w:t xml:space="preserve"> Rearing tests in mice (min)</w:t>
      </w:r>
    </w:p>
    <w:p w14:paraId="049935CF" w14:textId="77777777" w:rsidR="000E5E0F" w:rsidRPr="002607C0" w:rsidRDefault="000E5E0F" w:rsidP="00235EA9">
      <w:pPr>
        <w:spacing w:before="240" w:after="0" w:line="240" w:lineRule="auto"/>
        <w:jc w:val="center"/>
        <w:rPr>
          <w:rFonts w:ascii="Times New Roman" w:hAnsi="Times New Roman" w:cs="Times New Roman"/>
          <w:b/>
          <w:bCs/>
          <w:sz w:val="24"/>
          <w:szCs w:val="24"/>
          <w:lang w:val="en-US"/>
        </w:rPr>
      </w:pPr>
      <w:r w:rsidRPr="002607C0">
        <w:rPr>
          <w:rFonts w:ascii="Times New Roman" w:hAnsi="Times New Roman" w:cs="Times New Roman"/>
          <w:noProof/>
          <w:sz w:val="24"/>
          <w:szCs w:val="24"/>
          <w:lang w:eastAsia="en-IN"/>
          <w14:ligatures w14:val="none"/>
        </w:rPr>
        <w:lastRenderedPageBreak/>
        <w:drawing>
          <wp:inline distT="0" distB="0" distL="0" distR="0" wp14:anchorId="603120A2" wp14:editId="57BDC52F">
            <wp:extent cx="4657725" cy="3590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7725" cy="3590925"/>
                    </a:xfrm>
                    <a:prstGeom prst="rect">
                      <a:avLst/>
                    </a:prstGeom>
                  </pic:spPr>
                </pic:pic>
              </a:graphicData>
            </a:graphic>
          </wp:inline>
        </w:drawing>
      </w:r>
    </w:p>
    <w:p w14:paraId="04B20298" w14:textId="77777777" w:rsidR="000E5E0F" w:rsidRPr="002607C0" w:rsidRDefault="00272D55" w:rsidP="00235EA9">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 2.</w:t>
      </w:r>
      <w:r w:rsidR="000E5E0F" w:rsidRPr="002607C0">
        <w:rPr>
          <w:rFonts w:ascii="Times New Roman" w:hAnsi="Times New Roman" w:cs="Times New Roman"/>
          <w:b/>
          <w:bCs/>
          <w:sz w:val="24"/>
          <w:szCs w:val="24"/>
          <w:lang w:val="en-US"/>
        </w:rPr>
        <w:t xml:space="preserve"> Sniffing tests in mice (min)</w:t>
      </w:r>
    </w:p>
    <w:p w14:paraId="3C1A4421" w14:textId="77777777" w:rsidR="000E5E0F" w:rsidRPr="002607C0" w:rsidRDefault="000E5E0F" w:rsidP="00235EA9">
      <w:pPr>
        <w:spacing w:before="240" w:after="0" w:line="240" w:lineRule="auto"/>
        <w:jc w:val="center"/>
        <w:rPr>
          <w:rFonts w:ascii="Times New Roman" w:hAnsi="Times New Roman" w:cs="Times New Roman"/>
          <w:b/>
          <w:bCs/>
          <w:sz w:val="24"/>
          <w:szCs w:val="24"/>
          <w:lang w:val="en-US"/>
        </w:rPr>
      </w:pPr>
      <w:r w:rsidRPr="002607C0">
        <w:rPr>
          <w:rFonts w:ascii="Times New Roman" w:hAnsi="Times New Roman" w:cs="Times New Roman"/>
          <w:noProof/>
          <w:sz w:val="24"/>
          <w:szCs w:val="24"/>
          <w:lang w:eastAsia="en-IN"/>
          <w14:ligatures w14:val="none"/>
        </w:rPr>
        <w:drawing>
          <wp:inline distT="0" distB="0" distL="0" distR="0" wp14:anchorId="26429037" wp14:editId="62A35649">
            <wp:extent cx="4562475" cy="3181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2475" cy="3181350"/>
                    </a:xfrm>
                    <a:prstGeom prst="rect">
                      <a:avLst/>
                    </a:prstGeom>
                  </pic:spPr>
                </pic:pic>
              </a:graphicData>
            </a:graphic>
          </wp:inline>
        </w:drawing>
      </w:r>
    </w:p>
    <w:p w14:paraId="56B487B2" w14:textId="77777777" w:rsidR="000E5E0F" w:rsidRPr="002607C0" w:rsidRDefault="00272D55" w:rsidP="00235EA9">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 3.</w:t>
      </w:r>
      <w:r w:rsidR="000E5E0F" w:rsidRPr="002607C0">
        <w:rPr>
          <w:rFonts w:ascii="Times New Roman" w:hAnsi="Times New Roman" w:cs="Times New Roman"/>
          <w:b/>
          <w:bCs/>
          <w:sz w:val="24"/>
          <w:szCs w:val="24"/>
          <w:lang w:val="en-US"/>
        </w:rPr>
        <w:t xml:space="preserve"> Licking test in mice (min)</w:t>
      </w:r>
    </w:p>
    <w:p w14:paraId="66C68C1B" w14:textId="77777777" w:rsidR="000E5E0F" w:rsidRPr="002607C0" w:rsidRDefault="001F4984" w:rsidP="00235EA9">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4.4 </w:t>
      </w:r>
      <w:r w:rsidR="000E5E0F" w:rsidRPr="002607C0">
        <w:rPr>
          <w:rFonts w:ascii="Times New Roman" w:hAnsi="Times New Roman" w:cs="Times New Roman"/>
          <w:b/>
          <w:bCs/>
          <w:sz w:val="24"/>
          <w:szCs w:val="24"/>
          <w:lang w:val="en-US"/>
        </w:rPr>
        <w:t>Effect of Aqueous extract of Tecoma stans on pentobarbitone</w:t>
      </w:r>
      <w:r w:rsidR="00DC6379">
        <w:rPr>
          <w:rFonts w:ascii="Times New Roman" w:hAnsi="Times New Roman" w:cs="Times New Roman"/>
          <w:b/>
          <w:bCs/>
          <w:sz w:val="24"/>
          <w:szCs w:val="24"/>
          <w:lang w:val="en-US"/>
        </w:rPr>
        <w:t xml:space="preserve"> induced sleeping time</w:t>
      </w:r>
    </w:p>
    <w:p w14:paraId="69F9DCD8" w14:textId="77777777" w:rsidR="000E5E0F" w:rsidRDefault="002607C0" w:rsidP="00235EA9">
      <w:pPr>
        <w:spacing w:before="240" w:after="0" w:line="240" w:lineRule="auto"/>
        <w:jc w:val="both"/>
        <w:rPr>
          <w:rFonts w:ascii="Times New Roman" w:hAnsi="Times New Roman" w:cs="Times New Roman"/>
          <w:sz w:val="24"/>
          <w:szCs w:val="24"/>
        </w:rPr>
      </w:pPr>
      <w:r w:rsidRPr="002607C0">
        <w:rPr>
          <w:rFonts w:ascii="Times New Roman" w:hAnsi="Times New Roman" w:cs="Times New Roman"/>
          <w:sz w:val="24"/>
          <w:szCs w:val="24"/>
        </w:rPr>
        <w:t>In the control group, where no drug was administered, neither onset nor duration of sleep was observed. The standard group (pentobarbitone only) exhibited a sleep onset of 25 ± 1.721 minutes and a sleep duration of 35 ± 1.628 minutes</w:t>
      </w:r>
      <w:r w:rsidR="00524B99">
        <w:rPr>
          <w:rFonts w:ascii="Times New Roman" w:hAnsi="Times New Roman" w:cs="Times New Roman"/>
          <w:sz w:val="24"/>
          <w:szCs w:val="24"/>
        </w:rPr>
        <w:t>. Co-administration of AETS at 2</w:t>
      </w:r>
      <w:r w:rsidRPr="002607C0">
        <w:rPr>
          <w:rFonts w:ascii="Times New Roman" w:hAnsi="Times New Roman" w:cs="Times New Roman"/>
          <w:sz w:val="24"/>
          <w:szCs w:val="24"/>
        </w:rPr>
        <w:t>00 mg/kg with pentobarbitone significantly reduced the onset of sleep to 19 ± 3.373 minutes (</w:t>
      </w:r>
      <w:r w:rsidRPr="002607C0">
        <w:rPr>
          <w:rStyle w:val="Emphasis"/>
          <w:rFonts w:ascii="Times New Roman" w:hAnsi="Times New Roman" w:cs="Times New Roman"/>
          <w:sz w:val="24"/>
          <w:szCs w:val="24"/>
        </w:rPr>
        <w:t>p</w:t>
      </w:r>
      <w:r w:rsidRPr="002607C0">
        <w:rPr>
          <w:rFonts w:ascii="Times New Roman" w:hAnsi="Times New Roman" w:cs="Times New Roman"/>
          <w:sz w:val="24"/>
          <w:szCs w:val="24"/>
        </w:rPr>
        <w:t xml:space="preserve"> &lt; 0.05) </w:t>
      </w:r>
      <w:r w:rsidRPr="002607C0">
        <w:rPr>
          <w:rFonts w:ascii="Times New Roman" w:hAnsi="Times New Roman" w:cs="Times New Roman"/>
          <w:sz w:val="24"/>
          <w:szCs w:val="24"/>
        </w:rPr>
        <w:lastRenderedPageBreak/>
        <w:t>and increased sleep duration to 50 ± 1.358 minutes (</w:t>
      </w:r>
      <w:r w:rsidRPr="002607C0">
        <w:rPr>
          <w:rStyle w:val="Emphasis"/>
          <w:rFonts w:ascii="Times New Roman" w:hAnsi="Times New Roman" w:cs="Times New Roman"/>
          <w:sz w:val="24"/>
          <w:szCs w:val="24"/>
        </w:rPr>
        <w:t>p</w:t>
      </w:r>
      <w:r w:rsidRPr="002607C0">
        <w:rPr>
          <w:rFonts w:ascii="Times New Roman" w:hAnsi="Times New Roman" w:cs="Times New Roman"/>
          <w:sz w:val="24"/>
          <w:szCs w:val="24"/>
        </w:rPr>
        <w:t xml:space="preserve"> &lt; 0.01) compared </w:t>
      </w:r>
      <w:r w:rsidR="00524B99">
        <w:rPr>
          <w:rFonts w:ascii="Times New Roman" w:hAnsi="Times New Roman" w:cs="Times New Roman"/>
          <w:sz w:val="24"/>
          <w:szCs w:val="24"/>
        </w:rPr>
        <w:t>to the standard group. AETS at 4</w:t>
      </w:r>
      <w:r w:rsidRPr="002607C0">
        <w:rPr>
          <w:rFonts w:ascii="Times New Roman" w:hAnsi="Times New Roman" w:cs="Times New Roman"/>
          <w:sz w:val="24"/>
          <w:szCs w:val="24"/>
        </w:rPr>
        <w:t>00 mg/kg further enhanced this effect, producing a significantly shorter onset time of 13 ± 1.628 minutes (</w:t>
      </w:r>
      <w:r w:rsidRPr="002607C0">
        <w:rPr>
          <w:rStyle w:val="Emphasis"/>
          <w:rFonts w:ascii="Times New Roman" w:hAnsi="Times New Roman" w:cs="Times New Roman"/>
          <w:sz w:val="24"/>
          <w:szCs w:val="24"/>
        </w:rPr>
        <w:t>p</w:t>
      </w:r>
      <w:r w:rsidRPr="002607C0">
        <w:rPr>
          <w:rFonts w:ascii="Times New Roman" w:hAnsi="Times New Roman" w:cs="Times New Roman"/>
          <w:sz w:val="24"/>
          <w:szCs w:val="24"/>
        </w:rPr>
        <w:t> &lt; 0.01) and a markedly prolonged sleep duration of 69 ± 4.380 minutes (</w:t>
      </w:r>
      <w:r w:rsidRPr="002607C0">
        <w:rPr>
          <w:rStyle w:val="Emphasis"/>
          <w:rFonts w:ascii="Times New Roman" w:hAnsi="Times New Roman" w:cs="Times New Roman"/>
          <w:sz w:val="24"/>
          <w:szCs w:val="24"/>
        </w:rPr>
        <w:t>p</w:t>
      </w:r>
      <w:r w:rsidRPr="002607C0">
        <w:rPr>
          <w:rFonts w:ascii="Times New Roman" w:hAnsi="Times New Roman" w:cs="Times New Roman"/>
          <w:sz w:val="24"/>
          <w:szCs w:val="24"/>
        </w:rPr>
        <w:t xml:space="preserve"> &lt; 0.001). These findings indicate a dose-dependent enhancement of pentobarbitone-induced sedation by </w:t>
      </w:r>
      <w:r w:rsidRPr="002607C0">
        <w:rPr>
          <w:rStyle w:val="Emphasis"/>
          <w:rFonts w:ascii="Times New Roman" w:hAnsi="Times New Roman" w:cs="Times New Roman"/>
          <w:sz w:val="24"/>
          <w:szCs w:val="24"/>
        </w:rPr>
        <w:t>Tecoma stans</w:t>
      </w:r>
      <w:r w:rsidRPr="002607C0">
        <w:rPr>
          <w:rFonts w:ascii="Times New Roman" w:hAnsi="Times New Roman" w:cs="Times New Roman"/>
          <w:sz w:val="24"/>
          <w:szCs w:val="24"/>
        </w:rPr>
        <w:t>, suggesting its potent CNS depressant activity.</w:t>
      </w:r>
    </w:p>
    <w:p w14:paraId="319A4008" w14:textId="77777777" w:rsidR="000E5E0F" w:rsidRPr="000849EB" w:rsidRDefault="00272D55" w:rsidP="00DC6379">
      <w:pPr>
        <w:spacing w:before="240" w:line="240" w:lineRule="auto"/>
        <w:jc w:val="center"/>
        <w:rPr>
          <w:rFonts w:ascii="Times New Roman" w:eastAsia="Times New Roman" w:hAnsi="Times New Roman" w:cs="Times New Roman"/>
          <w:kern w:val="0"/>
          <w:sz w:val="24"/>
          <w:szCs w:val="24"/>
          <w:lang w:eastAsia="en-IN"/>
          <w14:ligatures w14:val="none"/>
        </w:rPr>
      </w:pPr>
      <w:r>
        <w:rPr>
          <w:rFonts w:ascii="Times New Roman" w:hAnsi="Times New Roman" w:cs="Times New Roman"/>
          <w:b/>
          <w:bCs/>
          <w:sz w:val="24"/>
          <w:szCs w:val="24"/>
          <w:lang w:val="en-US"/>
        </w:rPr>
        <w:t xml:space="preserve">Table </w:t>
      </w:r>
      <w:r w:rsidR="000E5E0F" w:rsidRPr="002607C0">
        <w:rPr>
          <w:rFonts w:ascii="Times New Roman" w:hAnsi="Times New Roman" w:cs="Times New Roman"/>
          <w:b/>
          <w:bCs/>
          <w:sz w:val="24"/>
          <w:szCs w:val="24"/>
          <w:lang w:val="en-US"/>
        </w:rPr>
        <w:t>3</w:t>
      </w:r>
      <w:r>
        <w:rPr>
          <w:rFonts w:ascii="Times New Roman" w:hAnsi="Times New Roman" w:cs="Times New Roman"/>
          <w:b/>
          <w:bCs/>
          <w:sz w:val="24"/>
          <w:szCs w:val="24"/>
          <w:lang w:val="en-US"/>
        </w:rPr>
        <w:t>.</w:t>
      </w:r>
      <w:r w:rsidR="000E5E0F" w:rsidRPr="002607C0">
        <w:rPr>
          <w:rFonts w:ascii="Times New Roman" w:hAnsi="Times New Roman" w:cs="Times New Roman"/>
          <w:b/>
          <w:bCs/>
          <w:sz w:val="24"/>
          <w:szCs w:val="24"/>
          <w:lang w:val="en-US"/>
        </w:rPr>
        <w:t xml:space="preserve"> </w:t>
      </w:r>
      <w:r w:rsidR="000E5E0F" w:rsidRPr="00DC6379">
        <w:rPr>
          <w:rFonts w:ascii="Times New Roman" w:eastAsia="Times New Roman" w:hAnsi="Times New Roman" w:cs="Times New Roman"/>
          <w:b/>
          <w:kern w:val="0"/>
          <w:sz w:val="24"/>
          <w:szCs w:val="24"/>
          <w:lang w:eastAsia="en-IN"/>
          <w14:ligatures w14:val="none"/>
        </w:rPr>
        <w:t>Tecoma stan aqueous extract's impact on pentobarbitone-induced sleep duration</w:t>
      </w:r>
      <w:r w:rsidR="000849EB" w:rsidRPr="00DC6379">
        <w:rPr>
          <w:rFonts w:ascii="Times New Roman" w:eastAsia="Times New Roman" w:hAnsi="Times New Roman" w:cs="Times New Roman"/>
          <w:b/>
          <w:kern w:val="0"/>
          <w:sz w:val="24"/>
          <w:szCs w:val="24"/>
          <w:lang w:eastAsia="en-IN"/>
          <w14:ligatures w14:val="none"/>
        </w:rPr>
        <w:t>.</w:t>
      </w:r>
    </w:p>
    <w:tbl>
      <w:tblPr>
        <w:tblStyle w:val="TableGrid"/>
        <w:tblW w:w="0" w:type="auto"/>
        <w:tblInd w:w="540" w:type="dxa"/>
        <w:tblBorders>
          <w:left w:val="none" w:sz="0" w:space="0" w:color="auto"/>
          <w:right w:val="none" w:sz="0" w:space="0" w:color="auto"/>
        </w:tblBorders>
        <w:tblLook w:val="04A0" w:firstRow="1" w:lastRow="0" w:firstColumn="1" w:lastColumn="0" w:noHBand="0" w:noVBand="1"/>
      </w:tblPr>
      <w:tblGrid>
        <w:gridCol w:w="1042"/>
        <w:gridCol w:w="2877"/>
        <w:gridCol w:w="1983"/>
        <w:gridCol w:w="2034"/>
      </w:tblGrid>
      <w:tr w:rsidR="000E5E0F" w:rsidRPr="002607C0" w14:paraId="5C384986" w14:textId="77777777" w:rsidTr="00272D55">
        <w:tc>
          <w:tcPr>
            <w:tcW w:w="1042" w:type="dxa"/>
            <w:tcBorders>
              <w:bottom w:val="single" w:sz="4" w:space="0" w:color="auto"/>
              <w:right w:val="nil"/>
            </w:tcBorders>
          </w:tcPr>
          <w:p w14:paraId="05974C86" w14:textId="77777777" w:rsidR="000E5E0F" w:rsidRPr="002607C0" w:rsidRDefault="000E5E0F" w:rsidP="00272D55">
            <w:pPr>
              <w:pStyle w:val="ListParagraph"/>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SL No.</w:t>
            </w:r>
          </w:p>
        </w:tc>
        <w:tc>
          <w:tcPr>
            <w:tcW w:w="2877" w:type="dxa"/>
            <w:tcBorders>
              <w:left w:val="nil"/>
              <w:bottom w:val="single" w:sz="4" w:space="0" w:color="auto"/>
              <w:right w:val="nil"/>
            </w:tcBorders>
          </w:tcPr>
          <w:p w14:paraId="185F6D73" w14:textId="77777777" w:rsidR="000E5E0F" w:rsidRPr="002607C0" w:rsidRDefault="000E5E0F" w:rsidP="00272D55">
            <w:pPr>
              <w:pStyle w:val="ListParagraph"/>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Groups</w:t>
            </w:r>
          </w:p>
        </w:tc>
        <w:tc>
          <w:tcPr>
            <w:tcW w:w="1983" w:type="dxa"/>
            <w:tcBorders>
              <w:left w:val="nil"/>
              <w:bottom w:val="single" w:sz="4" w:space="0" w:color="auto"/>
              <w:right w:val="nil"/>
            </w:tcBorders>
          </w:tcPr>
          <w:p w14:paraId="1FF6942B" w14:textId="77777777" w:rsidR="000E5E0F" w:rsidRPr="002607C0" w:rsidRDefault="000E5E0F" w:rsidP="00272D55">
            <w:pPr>
              <w:pStyle w:val="ListParagraph"/>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Onset of Action Min</w:t>
            </w:r>
          </w:p>
        </w:tc>
        <w:tc>
          <w:tcPr>
            <w:tcW w:w="2034" w:type="dxa"/>
            <w:tcBorders>
              <w:left w:val="nil"/>
              <w:bottom w:val="single" w:sz="4" w:space="0" w:color="auto"/>
            </w:tcBorders>
          </w:tcPr>
          <w:p w14:paraId="519F02B9" w14:textId="77777777" w:rsidR="000E5E0F" w:rsidRPr="002607C0" w:rsidRDefault="000E5E0F" w:rsidP="00272D55">
            <w:pPr>
              <w:pStyle w:val="ListParagraph"/>
              <w:ind w:left="0"/>
              <w:jc w:val="center"/>
              <w:rPr>
                <w:rFonts w:ascii="Times New Roman" w:hAnsi="Times New Roman" w:cs="Times New Roman"/>
                <w:b/>
                <w:bCs/>
                <w:sz w:val="24"/>
                <w:szCs w:val="24"/>
                <w:lang w:val="en-US"/>
              </w:rPr>
            </w:pPr>
            <w:r w:rsidRPr="002607C0">
              <w:rPr>
                <w:rFonts w:ascii="Times New Roman" w:hAnsi="Times New Roman" w:cs="Times New Roman"/>
                <w:b/>
                <w:bCs/>
                <w:sz w:val="24"/>
                <w:szCs w:val="24"/>
                <w:lang w:val="en-US"/>
              </w:rPr>
              <w:t>Duration of Action Min</w:t>
            </w:r>
          </w:p>
        </w:tc>
      </w:tr>
      <w:tr w:rsidR="000E5E0F" w:rsidRPr="002607C0" w14:paraId="11FEA44C" w14:textId="77777777" w:rsidTr="00272D55">
        <w:tc>
          <w:tcPr>
            <w:tcW w:w="1042" w:type="dxa"/>
            <w:tcBorders>
              <w:bottom w:val="nil"/>
              <w:right w:val="nil"/>
            </w:tcBorders>
          </w:tcPr>
          <w:p w14:paraId="76697D1B"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1</w:t>
            </w:r>
          </w:p>
        </w:tc>
        <w:tc>
          <w:tcPr>
            <w:tcW w:w="2877" w:type="dxa"/>
            <w:tcBorders>
              <w:left w:val="nil"/>
              <w:bottom w:val="nil"/>
              <w:right w:val="nil"/>
            </w:tcBorders>
          </w:tcPr>
          <w:p w14:paraId="47F1766F"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Control</w:t>
            </w:r>
          </w:p>
        </w:tc>
        <w:tc>
          <w:tcPr>
            <w:tcW w:w="1983" w:type="dxa"/>
            <w:tcBorders>
              <w:left w:val="nil"/>
              <w:bottom w:val="nil"/>
              <w:right w:val="nil"/>
            </w:tcBorders>
          </w:tcPr>
          <w:p w14:paraId="15596375"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0</w:t>
            </w:r>
          </w:p>
        </w:tc>
        <w:tc>
          <w:tcPr>
            <w:tcW w:w="2034" w:type="dxa"/>
            <w:tcBorders>
              <w:left w:val="nil"/>
              <w:bottom w:val="nil"/>
            </w:tcBorders>
          </w:tcPr>
          <w:p w14:paraId="21493EE5"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0</w:t>
            </w:r>
          </w:p>
        </w:tc>
      </w:tr>
      <w:tr w:rsidR="000E5E0F" w:rsidRPr="002607C0" w14:paraId="45F5CC36" w14:textId="77777777" w:rsidTr="00272D55">
        <w:tc>
          <w:tcPr>
            <w:tcW w:w="1042" w:type="dxa"/>
            <w:tcBorders>
              <w:top w:val="nil"/>
              <w:bottom w:val="nil"/>
              <w:right w:val="nil"/>
            </w:tcBorders>
          </w:tcPr>
          <w:p w14:paraId="70F1A790"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2</w:t>
            </w:r>
          </w:p>
        </w:tc>
        <w:tc>
          <w:tcPr>
            <w:tcW w:w="2877" w:type="dxa"/>
            <w:tcBorders>
              <w:top w:val="nil"/>
              <w:left w:val="nil"/>
              <w:bottom w:val="nil"/>
              <w:right w:val="nil"/>
            </w:tcBorders>
          </w:tcPr>
          <w:p w14:paraId="01B622BF"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Standard</w:t>
            </w:r>
          </w:p>
        </w:tc>
        <w:tc>
          <w:tcPr>
            <w:tcW w:w="1983" w:type="dxa"/>
            <w:tcBorders>
              <w:top w:val="nil"/>
              <w:left w:val="nil"/>
              <w:bottom w:val="nil"/>
              <w:right w:val="nil"/>
            </w:tcBorders>
          </w:tcPr>
          <w:p w14:paraId="435FAE5C"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25</w:t>
            </w:r>
            <w:r w:rsidRPr="000004BE">
              <w:rPr>
                <w:rFonts w:ascii="Times New Roman" w:hAnsi="Times New Roman" w:cs="Times New Roman"/>
                <w:sz w:val="24"/>
                <w:szCs w:val="24"/>
                <w:lang w:val="en-US"/>
              </w:rPr>
              <w:t>±1.721</w:t>
            </w:r>
          </w:p>
        </w:tc>
        <w:tc>
          <w:tcPr>
            <w:tcW w:w="2034" w:type="dxa"/>
            <w:tcBorders>
              <w:top w:val="nil"/>
              <w:left w:val="nil"/>
              <w:bottom w:val="nil"/>
            </w:tcBorders>
          </w:tcPr>
          <w:p w14:paraId="48B0E95F"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35</w:t>
            </w:r>
            <w:r w:rsidRPr="000004BE">
              <w:rPr>
                <w:rFonts w:ascii="Times New Roman" w:hAnsi="Times New Roman" w:cs="Times New Roman"/>
                <w:sz w:val="24"/>
                <w:szCs w:val="24"/>
                <w:lang w:val="en-US"/>
              </w:rPr>
              <w:t>±1.628</w:t>
            </w:r>
          </w:p>
        </w:tc>
      </w:tr>
      <w:tr w:rsidR="000E5E0F" w:rsidRPr="002607C0" w14:paraId="6C368962" w14:textId="77777777" w:rsidTr="00272D55">
        <w:tc>
          <w:tcPr>
            <w:tcW w:w="1042" w:type="dxa"/>
            <w:tcBorders>
              <w:top w:val="nil"/>
              <w:bottom w:val="nil"/>
              <w:right w:val="nil"/>
            </w:tcBorders>
          </w:tcPr>
          <w:p w14:paraId="01A80046"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3</w:t>
            </w:r>
          </w:p>
        </w:tc>
        <w:tc>
          <w:tcPr>
            <w:tcW w:w="2877" w:type="dxa"/>
            <w:tcBorders>
              <w:top w:val="nil"/>
              <w:left w:val="nil"/>
              <w:bottom w:val="nil"/>
              <w:right w:val="nil"/>
            </w:tcBorders>
          </w:tcPr>
          <w:p w14:paraId="251F29F0" w14:textId="77777777" w:rsidR="000E5E0F" w:rsidRPr="000004BE" w:rsidRDefault="00D3315D" w:rsidP="00272D55">
            <w:pPr>
              <w:pStyle w:val="ListParagraph"/>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AETS 2</w:t>
            </w:r>
            <w:r w:rsidR="000E5E0F" w:rsidRPr="000004BE">
              <w:rPr>
                <w:rFonts w:ascii="Times New Roman" w:hAnsi="Times New Roman" w:cs="Times New Roman"/>
                <w:bCs/>
                <w:sz w:val="24"/>
                <w:szCs w:val="24"/>
                <w:lang w:val="en-US"/>
              </w:rPr>
              <w:t>00 + Pentobarbitone</w:t>
            </w:r>
          </w:p>
        </w:tc>
        <w:tc>
          <w:tcPr>
            <w:tcW w:w="1983" w:type="dxa"/>
            <w:tcBorders>
              <w:top w:val="nil"/>
              <w:left w:val="nil"/>
              <w:bottom w:val="nil"/>
              <w:right w:val="nil"/>
            </w:tcBorders>
          </w:tcPr>
          <w:p w14:paraId="3798B1FB"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19</w:t>
            </w:r>
            <w:r w:rsidRPr="000004BE">
              <w:rPr>
                <w:rFonts w:ascii="Times New Roman" w:hAnsi="Times New Roman" w:cs="Times New Roman"/>
                <w:sz w:val="24"/>
                <w:szCs w:val="24"/>
                <w:lang w:val="en-US"/>
              </w:rPr>
              <w:t>±3.373</w:t>
            </w:r>
            <w:r w:rsidR="000004BE">
              <w:rPr>
                <w:rFonts w:ascii="Times New Roman" w:hAnsi="Times New Roman" w:cs="Times New Roman"/>
                <w:sz w:val="24"/>
                <w:szCs w:val="24"/>
                <w:lang w:val="en-US"/>
              </w:rPr>
              <w:t>*</w:t>
            </w:r>
          </w:p>
        </w:tc>
        <w:tc>
          <w:tcPr>
            <w:tcW w:w="2034" w:type="dxa"/>
            <w:tcBorders>
              <w:top w:val="nil"/>
              <w:left w:val="nil"/>
              <w:bottom w:val="nil"/>
            </w:tcBorders>
          </w:tcPr>
          <w:p w14:paraId="77F0CEB2"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50</w:t>
            </w:r>
            <w:r w:rsidRPr="000004BE">
              <w:rPr>
                <w:rFonts w:ascii="Times New Roman" w:hAnsi="Times New Roman" w:cs="Times New Roman"/>
                <w:sz w:val="24"/>
                <w:szCs w:val="24"/>
                <w:lang w:val="en-US"/>
              </w:rPr>
              <w:t>±1.358</w:t>
            </w:r>
            <w:r w:rsidR="000004BE">
              <w:rPr>
                <w:rFonts w:ascii="Times New Roman" w:hAnsi="Times New Roman" w:cs="Times New Roman"/>
                <w:sz w:val="24"/>
                <w:szCs w:val="24"/>
                <w:lang w:val="en-US"/>
              </w:rPr>
              <w:t>**</w:t>
            </w:r>
          </w:p>
        </w:tc>
      </w:tr>
      <w:tr w:rsidR="000E5E0F" w:rsidRPr="002607C0" w14:paraId="13963880" w14:textId="77777777" w:rsidTr="00272D55">
        <w:tc>
          <w:tcPr>
            <w:tcW w:w="1042" w:type="dxa"/>
            <w:tcBorders>
              <w:top w:val="nil"/>
              <w:right w:val="nil"/>
            </w:tcBorders>
          </w:tcPr>
          <w:p w14:paraId="03416539"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4</w:t>
            </w:r>
          </w:p>
        </w:tc>
        <w:tc>
          <w:tcPr>
            <w:tcW w:w="2877" w:type="dxa"/>
            <w:tcBorders>
              <w:top w:val="nil"/>
              <w:left w:val="nil"/>
              <w:right w:val="nil"/>
            </w:tcBorders>
          </w:tcPr>
          <w:p w14:paraId="7ED4EF7B" w14:textId="77777777" w:rsidR="000E5E0F" w:rsidRPr="000004BE" w:rsidRDefault="00D3315D" w:rsidP="00272D55">
            <w:pPr>
              <w:pStyle w:val="ListParagraph"/>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AETS 4</w:t>
            </w:r>
            <w:r w:rsidR="000E5E0F" w:rsidRPr="000004BE">
              <w:rPr>
                <w:rFonts w:ascii="Times New Roman" w:hAnsi="Times New Roman" w:cs="Times New Roman"/>
                <w:bCs/>
                <w:sz w:val="24"/>
                <w:szCs w:val="24"/>
                <w:lang w:val="en-US"/>
              </w:rPr>
              <w:t>00 + Pentobarbitone</w:t>
            </w:r>
          </w:p>
        </w:tc>
        <w:tc>
          <w:tcPr>
            <w:tcW w:w="1983" w:type="dxa"/>
            <w:tcBorders>
              <w:top w:val="nil"/>
              <w:left w:val="nil"/>
              <w:right w:val="nil"/>
            </w:tcBorders>
          </w:tcPr>
          <w:p w14:paraId="49F42F3B"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13</w:t>
            </w:r>
            <w:r w:rsidRPr="000004BE">
              <w:rPr>
                <w:rFonts w:ascii="Times New Roman" w:hAnsi="Times New Roman" w:cs="Times New Roman"/>
                <w:sz w:val="24"/>
                <w:szCs w:val="24"/>
                <w:lang w:val="en-US"/>
              </w:rPr>
              <w:t>±1.628</w:t>
            </w:r>
            <w:r w:rsidR="000004BE">
              <w:rPr>
                <w:rFonts w:ascii="Times New Roman" w:hAnsi="Times New Roman" w:cs="Times New Roman"/>
                <w:sz w:val="24"/>
                <w:szCs w:val="24"/>
                <w:lang w:val="en-US"/>
              </w:rPr>
              <w:t>**</w:t>
            </w:r>
          </w:p>
        </w:tc>
        <w:tc>
          <w:tcPr>
            <w:tcW w:w="2034" w:type="dxa"/>
            <w:tcBorders>
              <w:top w:val="nil"/>
              <w:left w:val="nil"/>
            </w:tcBorders>
          </w:tcPr>
          <w:p w14:paraId="37C4CA6B" w14:textId="77777777" w:rsidR="000E5E0F" w:rsidRPr="000004BE" w:rsidRDefault="000E5E0F" w:rsidP="00272D55">
            <w:pPr>
              <w:pStyle w:val="ListParagraph"/>
              <w:ind w:left="0"/>
              <w:jc w:val="center"/>
              <w:rPr>
                <w:rFonts w:ascii="Times New Roman" w:hAnsi="Times New Roman" w:cs="Times New Roman"/>
                <w:bCs/>
                <w:sz w:val="24"/>
                <w:szCs w:val="24"/>
                <w:lang w:val="en-US"/>
              </w:rPr>
            </w:pPr>
            <w:r w:rsidRPr="000004BE">
              <w:rPr>
                <w:rFonts w:ascii="Times New Roman" w:hAnsi="Times New Roman" w:cs="Times New Roman"/>
                <w:bCs/>
                <w:sz w:val="24"/>
                <w:szCs w:val="24"/>
                <w:lang w:val="en-US"/>
              </w:rPr>
              <w:t>69</w:t>
            </w:r>
            <w:r w:rsidRPr="000004BE">
              <w:rPr>
                <w:rFonts w:ascii="Times New Roman" w:hAnsi="Times New Roman" w:cs="Times New Roman"/>
                <w:sz w:val="24"/>
                <w:szCs w:val="24"/>
                <w:lang w:val="en-US"/>
              </w:rPr>
              <w:t>±4.380</w:t>
            </w:r>
            <w:r w:rsidR="000004BE">
              <w:rPr>
                <w:rFonts w:ascii="Times New Roman" w:hAnsi="Times New Roman" w:cs="Times New Roman"/>
                <w:sz w:val="24"/>
                <w:szCs w:val="24"/>
                <w:lang w:val="en-US"/>
              </w:rPr>
              <w:t>***</w:t>
            </w:r>
          </w:p>
        </w:tc>
      </w:tr>
    </w:tbl>
    <w:p w14:paraId="050240E0" w14:textId="77777777" w:rsidR="000004BE" w:rsidRPr="000004BE" w:rsidRDefault="00524B99" w:rsidP="000004BE">
      <w:pPr>
        <w:spacing w:before="100" w:beforeAutospacing="1" w:after="100" w:afterAutospacing="1" w:line="240" w:lineRule="auto"/>
        <w:jc w:val="center"/>
        <w:rPr>
          <w:rFonts w:ascii="Times New Roman" w:eastAsia="Times New Roman" w:hAnsi="Times New Roman" w:cs="Times New Roman"/>
          <w:i/>
          <w:kern w:val="0"/>
          <w:sz w:val="24"/>
          <w:szCs w:val="24"/>
          <w:lang w:eastAsia="en-IN"/>
          <w14:ligatures w14:val="none"/>
        </w:rPr>
      </w:pPr>
      <w:r w:rsidRPr="00524B99">
        <w:rPr>
          <w:rFonts w:ascii="Times New Roman" w:hAnsi="Times New Roman" w:cs="Times New Roman"/>
          <w:i/>
          <w:sz w:val="24"/>
          <w:szCs w:val="24"/>
        </w:rPr>
        <w:t xml:space="preserve">Mean ± SEM, </w:t>
      </w:r>
      <w:r>
        <w:rPr>
          <w:rFonts w:ascii="Times New Roman" w:hAnsi="Times New Roman" w:cs="Times New Roman"/>
          <w:i/>
          <w:sz w:val="24"/>
          <w:szCs w:val="24"/>
        </w:rPr>
        <w:t>(</w:t>
      </w:r>
      <w:r w:rsidRPr="00524B99">
        <w:rPr>
          <w:rFonts w:ascii="Times New Roman" w:hAnsi="Times New Roman" w:cs="Times New Roman"/>
          <w:i/>
          <w:sz w:val="24"/>
          <w:szCs w:val="24"/>
        </w:rPr>
        <w:t>n = 5</w:t>
      </w:r>
      <w:r>
        <w:rPr>
          <w:rFonts w:ascii="Times New Roman" w:hAnsi="Times New Roman" w:cs="Times New Roman"/>
          <w:i/>
          <w:sz w:val="24"/>
          <w:szCs w:val="24"/>
        </w:rPr>
        <w:t xml:space="preserve">). </w:t>
      </w:r>
      <w:r w:rsidR="000004BE" w:rsidRPr="000004BE">
        <w:rPr>
          <w:rFonts w:ascii="Times New Roman" w:eastAsia="Times New Roman" w:hAnsi="Times New Roman" w:cs="Times New Roman"/>
          <w:i/>
          <w:kern w:val="0"/>
          <w:sz w:val="24"/>
          <w:szCs w:val="24"/>
          <w:lang w:eastAsia="en-IN"/>
          <w14:ligatures w14:val="none"/>
        </w:rPr>
        <w:t>* p &lt; 0.05, ** p &lt; 0.01, *** p &lt; 0.001 compared to standard (pentobarbitone-only) group.</w:t>
      </w:r>
    </w:p>
    <w:p w14:paraId="427F7198" w14:textId="77777777" w:rsidR="00524B99" w:rsidRDefault="00524B99" w:rsidP="00235EA9">
      <w:pPr>
        <w:spacing w:before="240" w:line="240" w:lineRule="auto"/>
        <w:ind w:firstLine="720"/>
        <w:jc w:val="both"/>
        <w:rPr>
          <w:rFonts w:ascii="Times New Roman" w:hAnsi="Times New Roman" w:cs="Times New Roman"/>
          <w:sz w:val="24"/>
          <w:szCs w:val="24"/>
        </w:rPr>
      </w:pPr>
    </w:p>
    <w:p w14:paraId="2E35B21B" w14:textId="77777777" w:rsidR="000E5E0F" w:rsidRPr="002607C0" w:rsidRDefault="000E5E0F" w:rsidP="00235EA9">
      <w:pPr>
        <w:spacing w:before="240" w:line="240" w:lineRule="auto"/>
        <w:ind w:firstLine="720"/>
        <w:jc w:val="both"/>
        <w:rPr>
          <w:rFonts w:ascii="Times New Roman" w:hAnsi="Times New Roman" w:cs="Times New Roman"/>
          <w:sz w:val="24"/>
          <w:szCs w:val="24"/>
        </w:rPr>
      </w:pPr>
      <w:r w:rsidRPr="002607C0">
        <w:rPr>
          <w:rFonts w:ascii="Times New Roman" w:hAnsi="Times New Roman" w:cs="Times New Roman"/>
          <w:noProof/>
          <w:sz w:val="24"/>
          <w:szCs w:val="24"/>
          <w:lang w:eastAsia="en-IN"/>
          <w14:ligatures w14:val="none"/>
        </w:rPr>
        <w:drawing>
          <wp:inline distT="0" distB="0" distL="0" distR="0" wp14:anchorId="2F321339" wp14:editId="2F185058">
            <wp:extent cx="4886325" cy="3286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6325" cy="3286125"/>
                    </a:xfrm>
                    <a:prstGeom prst="rect">
                      <a:avLst/>
                    </a:prstGeom>
                  </pic:spPr>
                </pic:pic>
              </a:graphicData>
            </a:graphic>
          </wp:inline>
        </w:drawing>
      </w:r>
    </w:p>
    <w:p w14:paraId="5CFE8023" w14:textId="77777777" w:rsidR="000E5E0F" w:rsidRPr="002607C0" w:rsidRDefault="00272D55" w:rsidP="00235EA9">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 4.</w:t>
      </w:r>
      <w:r w:rsidR="000E5E0F" w:rsidRPr="002607C0">
        <w:rPr>
          <w:rFonts w:ascii="Times New Roman" w:hAnsi="Times New Roman" w:cs="Times New Roman"/>
          <w:b/>
          <w:bCs/>
          <w:sz w:val="24"/>
          <w:szCs w:val="24"/>
          <w:lang w:val="en-US"/>
        </w:rPr>
        <w:t xml:space="preserve"> Pentobarbitone induce sleeping time (min)</w:t>
      </w:r>
    </w:p>
    <w:p w14:paraId="2A869FC0" w14:textId="77777777" w:rsidR="000849EB" w:rsidRDefault="00327771" w:rsidP="00235EA9">
      <w:pPr>
        <w:spacing w:before="240"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2607C0">
        <w:rPr>
          <w:rFonts w:ascii="Times New Roman" w:eastAsia="Times New Roman" w:hAnsi="Times New Roman" w:cs="Times New Roman"/>
          <w:b/>
          <w:bCs/>
          <w:kern w:val="0"/>
          <w:sz w:val="24"/>
          <w:szCs w:val="24"/>
          <w:lang w:eastAsia="en-IN"/>
          <w14:ligatures w14:val="none"/>
        </w:rPr>
        <w:t>DISCUSSION</w:t>
      </w:r>
    </w:p>
    <w:p w14:paraId="09AB44D9" w14:textId="77777777" w:rsidR="0052136E" w:rsidRPr="00244893" w:rsidRDefault="0052136E" w:rsidP="00235EA9">
      <w:pPr>
        <w:spacing w:before="240" w:after="100" w:afterAutospacing="1" w:line="240" w:lineRule="auto"/>
        <w:jc w:val="both"/>
        <w:outlineLvl w:val="2"/>
        <w:rPr>
          <w:rFonts w:ascii="Times New Roman" w:eastAsia="Times New Roman" w:hAnsi="Times New Roman" w:cs="Times New Roman"/>
          <w:sz w:val="24"/>
          <w:szCs w:val="24"/>
          <w:lang w:eastAsia="en-IN"/>
        </w:rPr>
      </w:pPr>
      <w:r w:rsidRPr="00244893">
        <w:rPr>
          <w:rFonts w:ascii="Times New Roman" w:eastAsia="Times New Roman" w:hAnsi="Times New Roman" w:cs="Times New Roman"/>
          <w:sz w:val="24"/>
          <w:szCs w:val="24"/>
          <w:lang w:eastAsia="en-IN"/>
        </w:rPr>
        <w:t xml:space="preserve">The present study explored the neuropharmacological properties of the aqueous extract of </w:t>
      </w:r>
      <w:r w:rsidRPr="002607C0">
        <w:rPr>
          <w:rFonts w:ascii="Times New Roman" w:eastAsia="Times New Roman" w:hAnsi="Times New Roman" w:cs="Times New Roman"/>
          <w:i/>
          <w:iCs/>
          <w:sz w:val="24"/>
          <w:szCs w:val="24"/>
          <w:lang w:eastAsia="en-IN"/>
        </w:rPr>
        <w:t>Tecoma stans</w:t>
      </w:r>
      <w:r w:rsidRPr="00244893">
        <w:rPr>
          <w:rFonts w:ascii="Times New Roman" w:eastAsia="Times New Roman" w:hAnsi="Times New Roman" w:cs="Times New Roman"/>
          <w:sz w:val="24"/>
          <w:szCs w:val="24"/>
          <w:lang w:eastAsia="en-IN"/>
        </w:rPr>
        <w:t xml:space="preserve"> (AETS) flowers in Swiss albino mice, focusing particularly on its potential antipsychotic and CNS depressant effects. The extract was evaluated through two key models: </w:t>
      </w:r>
      <w:r w:rsidRPr="00244893">
        <w:rPr>
          <w:rFonts w:ascii="Times New Roman" w:eastAsia="Times New Roman" w:hAnsi="Times New Roman" w:cs="Times New Roman"/>
          <w:sz w:val="24"/>
          <w:szCs w:val="24"/>
          <w:lang w:eastAsia="en-IN"/>
        </w:rPr>
        <w:lastRenderedPageBreak/>
        <w:t xml:space="preserve">the compulsive </w:t>
      </w:r>
      <w:proofErr w:type="spellStart"/>
      <w:r w:rsidRPr="00244893">
        <w:rPr>
          <w:rFonts w:ascii="Times New Roman" w:eastAsia="Times New Roman" w:hAnsi="Times New Roman" w:cs="Times New Roman"/>
          <w:sz w:val="24"/>
          <w:szCs w:val="24"/>
          <w:lang w:eastAsia="en-IN"/>
        </w:rPr>
        <w:t>behavior</w:t>
      </w:r>
      <w:proofErr w:type="spellEnd"/>
      <w:r w:rsidRPr="00244893">
        <w:rPr>
          <w:rFonts w:ascii="Times New Roman" w:eastAsia="Times New Roman" w:hAnsi="Times New Roman" w:cs="Times New Roman"/>
          <w:sz w:val="24"/>
          <w:szCs w:val="24"/>
          <w:lang w:eastAsia="en-IN"/>
        </w:rPr>
        <w:t xml:space="preserve"> test induced by amphetamine and the pentobarbitone-induced sleeping time assay.</w:t>
      </w:r>
    </w:p>
    <w:p w14:paraId="0A7CDFE0" w14:textId="77777777"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 xml:space="preserve">Amphetamine, a known central stimulant, produced significant increases in stereotypical </w:t>
      </w:r>
      <w:proofErr w:type="spellStart"/>
      <w:r w:rsidRPr="00244893">
        <w:rPr>
          <w:rFonts w:ascii="Times New Roman" w:eastAsia="Times New Roman" w:hAnsi="Times New Roman" w:cs="Times New Roman"/>
          <w:sz w:val="24"/>
          <w:szCs w:val="24"/>
          <w:lang w:eastAsia="en-IN"/>
        </w:rPr>
        <w:t>behaviors</w:t>
      </w:r>
      <w:proofErr w:type="spellEnd"/>
      <w:r w:rsidRPr="00244893">
        <w:rPr>
          <w:rFonts w:ascii="Times New Roman" w:eastAsia="Times New Roman" w:hAnsi="Times New Roman" w:cs="Times New Roman"/>
          <w:sz w:val="24"/>
          <w:szCs w:val="24"/>
          <w:lang w:eastAsia="en-IN"/>
        </w:rPr>
        <w:t xml:space="preserve"> such as rearing, sniffing, and licking, particularly evident at the 15-minute interval post-injection. This is consistent with its dopaminergic stimulant profile, which mimics psychotic-like states </w:t>
      </w:r>
      <w:r w:rsidRPr="002607C0">
        <w:rPr>
          <w:rFonts w:ascii="Times New Roman" w:eastAsia="Times New Roman" w:hAnsi="Times New Roman" w:cs="Times New Roman"/>
          <w:sz w:val="24"/>
          <w:szCs w:val="24"/>
          <w:lang w:eastAsia="en-IN"/>
        </w:rPr>
        <w:t>in animal models</w:t>
      </w:r>
      <w:r w:rsidR="00114E28">
        <w:rPr>
          <w:rFonts w:ascii="Times New Roman" w:eastAsia="Times New Roman" w:hAnsi="Times New Roman" w:cs="Times New Roman"/>
          <w:sz w:val="24"/>
          <w:szCs w:val="24"/>
          <w:lang w:eastAsia="en-IN"/>
        </w:rPr>
        <w:t xml:space="preserve"> [9</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 xml:space="preserve">. Haloperidol, a typical antipsychotic and dopamine D2 receptor antagonist, significantly attenuated these amphetamine-induced </w:t>
      </w:r>
      <w:proofErr w:type="spellStart"/>
      <w:r w:rsidRPr="00244893">
        <w:rPr>
          <w:rFonts w:ascii="Times New Roman" w:eastAsia="Times New Roman" w:hAnsi="Times New Roman" w:cs="Times New Roman"/>
          <w:sz w:val="24"/>
          <w:szCs w:val="24"/>
          <w:lang w:eastAsia="en-IN"/>
        </w:rPr>
        <w:t>behaviors</w:t>
      </w:r>
      <w:proofErr w:type="spellEnd"/>
      <w:r w:rsidRPr="002607C0">
        <w:rPr>
          <w:rFonts w:ascii="Times New Roman" w:eastAsia="Times New Roman" w:hAnsi="Times New Roman" w:cs="Times New Roman"/>
          <w:sz w:val="24"/>
          <w:szCs w:val="24"/>
          <w:lang w:eastAsia="en-IN"/>
        </w:rPr>
        <w:t>, validating the test system</w:t>
      </w:r>
      <w:r w:rsidR="00114E28">
        <w:rPr>
          <w:rFonts w:ascii="Times New Roman" w:eastAsia="Times New Roman" w:hAnsi="Times New Roman" w:cs="Times New Roman"/>
          <w:sz w:val="24"/>
          <w:szCs w:val="24"/>
          <w:lang w:eastAsia="en-IN"/>
        </w:rPr>
        <w:t xml:space="preserve"> [10</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w:t>
      </w:r>
    </w:p>
    <w:p w14:paraId="73A539D6" w14:textId="77777777"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lang w:eastAsia="en-IN"/>
        </w:rPr>
      </w:pPr>
      <w:r w:rsidRPr="00244893">
        <w:rPr>
          <w:rFonts w:ascii="Times New Roman" w:eastAsia="Times New Roman" w:hAnsi="Times New Roman" w:cs="Times New Roman"/>
          <w:sz w:val="24"/>
          <w:szCs w:val="24"/>
          <w:lang w:eastAsia="en-IN"/>
        </w:rPr>
        <w:t>I</w:t>
      </w:r>
      <w:r w:rsidR="00524B99">
        <w:rPr>
          <w:rFonts w:ascii="Times New Roman" w:eastAsia="Times New Roman" w:hAnsi="Times New Roman" w:cs="Times New Roman"/>
          <w:sz w:val="24"/>
          <w:szCs w:val="24"/>
          <w:lang w:eastAsia="en-IN"/>
        </w:rPr>
        <w:t>nterestingly, the AETS at both 200 mg/kg and 4</w:t>
      </w:r>
      <w:r w:rsidRPr="00244893">
        <w:rPr>
          <w:rFonts w:ascii="Times New Roman" w:eastAsia="Times New Roman" w:hAnsi="Times New Roman" w:cs="Times New Roman"/>
          <w:sz w:val="24"/>
          <w:szCs w:val="24"/>
          <w:lang w:eastAsia="en-IN"/>
        </w:rPr>
        <w:t>00 mg/kg doses demonstrated a dose-</w:t>
      </w:r>
      <w:r w:rsidRPr="00534445">
        <w:rPr>
          <w:rFonts w:ascii="Times New Roman" w:eastAsia="Times New Roman" w:hAnsi="Times New Roman" w:cs="Times New Roman"/>
          <w:sz w:val="24"/>
          <w:szCs w:val="24"/>
          <w:lang w:eastAsia="en-IN"/>
        </w:rPr>
        <w:t xml:space="preserve">dependent attenuation of these compulsive </w:t>
      </w:r>
      <w:proofErr w:type="spellStart"/>
      <w:r w:rsidR="00524B99" w:rsidRPr="00534445">
        <w:rPr>
          <w:rFonts w:ascii="Times New Roman" w:eastAsia="Times New Roman" w:hAnsi="Times New Roman" w:cs="Times New Roman"/>
          <w:sz w:val="24"/>
          <w:szCs w:val="24"/>
          <w:lang w:eastAsia="en-IN"/>
        </w:rPr>
        <w:t>behaviors</w:t>
      </w:r>
      <w:proofErr w:type="spellEnd"/>
      <w:r w:rsidR="00524B99" w:rsidRPr="00534445">
        <w:rPr>
          <w:rFonts w:ascii="Times New Roman" w:eastAsia="Times New Roman" w:hAnsi="Times New Roman" w:cs="Times New Roman"/>
          <w:sz w:val="24"/>
          <w:szCs w:val="24"/>
          <w:lang w:eastAsia="en-IN"/>
        </w:rPr>
        <w:t>. At the higher dose (4</w:t>
      </w:r>
      <w:r w:rsidRPr="00534445">
        <w:rPr>
          <w:rFonts w:ascii="Times New Roman" w:eastAsia="Times New Roman" w:hAnsi="Times New Roman" w:cs="Times New Roman"/>
          <w:sz w:val="24"/>
          <w:szCs w:val="24"/>
          <w:lang w:eastAsia="en-IN"/>
        </w:rPr>
        <w:t>00 mg/kg), a statistically significant reduction in rearing (</w:t>
      </w:r>
      <w:r w:rsidR="00534445" w:rsidRPr="00534445">
        <w:rPr>
          <w:rFonts w:ascii="Times New Roman" w:hAnsi="Times New Roman" w:cs="Times New Roman"/>
          <w:sz w:val="24"/>
          <w:szCs w:val="24"/>
        </w:rPr>
        <w:t>2.00 ± 0.10</w:t>
      </w:r>
      <w:r w:rsidRPr="00534445">
        <w:rPr>
          <w:rFonts w:ascii="Times New Roman" w:eastAsia="Times New Roman" w:hAnsi="Times New Roman" w:cs="Times New Roman"/>
          <w:sz w:val="24"/>
          <w:szCs w:val="24"/>
          <w:lang w:eastAsia="en-IN"/>
        </w:rPr>
        <w:t>), sniffing (</w:t>
      </w:r>
      <w:r w:rsidR="00534445" w:rsidRPr="00534445">
        <w:rPr>
          <w:rFonts w:ascii="Times New Roman" w:hAnsi="Times New Roman" w:cs="Times New Roman"/>
          <w:sz w:val="24"/>
          <w:szCs w:val="24"/>
        </w:rPr>
        <w:t>1.78 ± 0.65</w:t>
      </w:r>
      <w:r w:rsidRPr="00534445">
        <w:rPr>
          <w:rFonts w:ascii="Times New Roman" w:eastAsia="Times New Roman" w:hAnsi="Times New Roman" w:cs="Times New Roman"/>
          <w:sz w:val="24"/>
          <w:szCs w:val="24"/>
          <w:lang w:eastAsia="en-IN"/>
        </w:rPr>
        <w:t>), and licking (</w:t>
      </w:r>
      <w:r w:rsidR="00534445" w:rsidRPr="00534445">
        <w:rPr>
          <w:rFonts w:ascii="Times New Roman" w:hAnsi="Times New Roman" w:cs="Times New Roman"/>
          <w:sz w:val="24"/>
          <w:szCs w:val="24"/>
        </w:rPr>
        <w:t>1.23 ± 0.10</w:t>
      </w:r>
      <w:r w:rsidRPr="00534445">
        <w:rPr>
          <w:rFonts w:ascii="Times New Roman" w:eastAsia="Times New Roman" w:hAnsi="Times New Roman" w:cs="Times New Roman"/>
          <w:sz w:val="24"/>
          <w:szCs w:val="24"/>
          <w:lang w:eastAsia="en-IN"/>
        </w:rPr>
        <w:t xml:space="preserve">) </w:t>
      </w:r>
      <w:r w:rsidRPr="00244893">
        <w:rPr>
          <w:rFonts w:ascii="Times New Roman" w:eastAsia="Times New Roman" w:hAnsi="Times New Roman" w:cs="Times New Roman"/>
          <w:sz w:val="24"/>
          <w:szCs w:val="24"/>
          <w:lang w:eastAsia="en-IN"/>
        </w:rPr>
        <w:t>was observed at the 30-minute mark (</w:t>
      </w:r>
      <w:r w:rsidRPr="002607C0">
        <w:rPr>
          <w:rFonts w:ascii="Times New Roman" w:eastAsia="Times New Roman" w:hAnsi="Times New Roman" w:cs="Times New Roman"/>
          <w:i/>
          <w:iCs/>
          <w:sz w:val="24"/>
          <w:szCs w:val="24"/>
          <w:lang w:eastAsia="en-IN"/>
        </w:rPr>
        <w:t>p</w:t>
      </w:r>
      <w:r w:rsidRPr="00244893">
        <w:rPr>
          <w:rFonts w:ascii="Times New Roman" w:eastAsia="Times New Roman" w:hAnsi="Times New Roman" w:cs="Times New Roman"/>
          <w:sz w:val="24"/>
          <w:szCs w:val="24"/>
          <w:lang w:eastAsia="en-IN"/>
        </w:rPr>
        <w:t xml:space="preserve">&lt;0.01 to </w:t>
      </w:r>
      <w:r w:rsidRPr="002607C0">
        <w:rPr>
          <w:rFonts w:ascii="Times New Roman" w:eastAsia="Times New Roman" w:hAnsi="Times New Roman" w:cs="Times New Roman"/>
          <w:i/>
          <w:iCs/>
          <w:sz w:val="24"/>
          <w:szCs w:val="24"/>
          <w:lang w:eastAsia="en-IN"/>
        </w:rPr>
        <w:t>p</w:t>
      </w:r>
      <w:r w:rsidRPr="00244893">
        <w:rPr>
          <w:rFonts w:ascii="Times New Roman" w:eastAsia="Times New Roman" w:hAnsi="Times New Roman" w:cs="Times New Roman"/>
          <w:sz w:val="24"/>
          <w:szCs w:val="24"/>
          <w:lang w:eastAsia="en-IN"/>
        </w:rPr>
        <w:t>&lt;0.001). These findings suggest that the extract has potent inhibitory effects on stimulant-induced hyperactivity, comparable to haloperidol.</w:t>
      </w:r>
    </w:p>
    <w:p w14:paraId="24A8C00E" w14:textId="77777777"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 xml:space="preserve">The antipsychotic-like effect may be attributed to the presence of bioactive constituents such as flavonoids and saponins identified </w:t>
      </w:r>
      <w:r w:rsidR="00952DCD" w:rsidRPr="002607C0">
        <w:rPr>
          <w:rFonts w:ascii="Times New Roman" w:eastAsia="Times New Roman" w:hAnsi="Times New Roman" w:cs="Times New Roman"/>
          <w:sz w:val="24"/>
          <w:szCs w:val="24"/>
          <w:lang w:eastAsia="en-IN"/>
        </w:rPr>
        <w:t>in the phytochemical screening</w:t>
      </w:r>
      <w:r w:rsidR="00114E28">
        <w:rPr>
          <w:rFonts w:ascii="Times New Roman" w:eastAsia="Times New Roman" w:hAnsi="Times New Roman" w:cs="Times New Roman"/>
          <w:sz w:val="24"/>
          <w:szCs w:val="24"/>
          <w:lang w:eastAsia="en-IN"/>
        </w:rPr>
        <w:t xml:space="preserve"> [11</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 xml:space="preserve">. These phytoconstituents are known to interact with central dopaminergic and serotonergic pathways and may account for the neuroleptic-like activity </w:t>
      </w:r>
      <w:r w:rsidR="00952DCD" w:rsidRPr="002607C0">
        <w:rPr>
          <w:rFonts w:ascii="Times New Roman" w:eastAsia="Times New Roman" w:hAnsi="Times New Roman" w:cs="Times New Roman"/>
          <w:sz w:val="24"/>
          <w:szCs w:val="24"/>
          <w:lang w:eastAsia="en-IN"/>
        </w:rPr>
        <w:t>observed</w:t>
      </w:r>
      <w:r w:rsidR="00114E28">
        <w:rPr>
          <w:rFonts w:ascii="Times New Roman" w:eastAsia="Times New Roman" w:hAnsi="Times New Roman" w:cs="Times New Roman"/>
          <w:sz w:val="24"/>
          <w:szCs w:val="24"/>
          <w:lang w:eastAsia="en-IN"/>
        </w:rPr>
        <w:t xml:space="preserve"> [12</w:t>
      </w:r>
      <w:r w:rsidR="002E7626">
        <w:rPr>
          <w:rFonts w:ascii="Times New Roman" w:eastAsia="Times New Roman" w:hAnsi="Times New Roman" w:cs="Times New Roman"/>
          <w:sz w:val="24"/>
          <w:szCs w:val="24"/>
          <w:lang w:eastAsia="en-IN"/>
        </w:rPr>
        <w:t>].</w:t>
      </w:r>
    </w:p>
    <w:p w14:paraId="78DC8F8E" w14:textId="77777777"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 xml:space="preserve">The pentobarbitone-induced sleeping time test further supports the CNS-depressant action of </w:t>
      </w:r>
      <w:r w:rsidRPr="002607C0">
        <w:rPr>
          <w:rFonts w:ascii="Times New Roman" w:eastAsia="Times New Roman" w:hAnsi="Times New Roman" w:cs="Times New Roman"/>
          <w:i/>
          <w:iCs/>
          <w:sz w:val="24"/>
          <w:szCs w:val="24"/>
          <w:lang w:eastAsia="en-IN"/>
        </w:rPr>
        <w:t>Tecoma stans</w:t>
      </w:r>
      <w:r w:rsidRPr="00244893">
        <w:rPr>
          <w:rFonts w:ascii="Times New Roman" w:eastAsia="Times New Roman" w:hAnsi="Times New Roman" w:cs="Times New Roman"/>
          <w:sz w:val="24"/>
          <w:szCs w:val="24"/>
          <w:lang w:eastAsia="en-IN"/>
        </w:rPr>
        <w:t xml:space="preserve"> extract. The extract significantly prolonged the duration of pentobarbitone-induced sleep (from 35 </w:t>
      </w:r>
      <w:r w:rsidR="00524B99">
        <w:rPr>
          <w:rFonts w:ascii="Times New Roman" w:eastAsia="Times New Roman" w:hAnsi="Times New Roman" w:cs="Times New Roman"/>
          <w:sz w:val="24"/>
          <w:szCs w:val="24"/>
          <w:lang w:eastAsia="en-IN"/>
        </w:rPr>
        <w:t>± 1.62 to 69 ± 4.38 minutes at 4</w:t>
      </w:r>
      <w:r w:rsidRPr="00244893">
        <w:rPr>
          <w:rFonts w:ascii="Times New Roman" w:eastAsia="Times New Roman" w:hAnsi="Times New Roman" w:cs="Times New Roman"/>
          <w:sz w:val="24"/>
          <w:szCs w:val="24"/>
          <w:lang w:eastAsia="en-IN"/>
        </w:rPr>
        <w:t xml:space="preserve">00 mg/kg, </w:t>
      </w:r>
      <w:r w:rsidRPr="002607C0">
        <w:rPr>
          <w:rFonts w:ascii="Times New Roman" w:eastAsia="Times New Roman" w:hAnsi="Times New Roman" w:cs="Times New Roman"/>
          <w:i/>
          <w:iCs/>
          <w:sz w:val="24"/>
          <w:szCs w:val="24"/>
          <w:lang w:eastAsia="en-IN"/>
        </w:rPr>
        <w:t>p</w:t>
      </w:r>
      <w:r w:rsidRPr="00244893">
        <w:rPr>
          <w:rFonts w:ascii="Times New Roman" w:eastAsia="Times New Roman" w:hAnsi="Times New Roman" w:cs="Times New Roman"/>
          <w:sz w:val="24"/>
          <w:szCs w:val="24"/>
          <w:lang w:eastAsia="en-IN"/>
        </w:rPr>
        <w:t>&lt;0.001) and also decreased the latency to sleep onset (from 25 ± 1.72 to 13 ± 1.62 minutes). These results indicate a potential sedative-hypnoti</w:t>
      </w:r>
      <w:r w:rsidR="00952DCD" w:rsidRPr="002607C0">
        <w:rPr>
          <w:rFonts w:ascii="Times New Roman" w:eastAsia="Times New Roman" w:hAnsi="Times New Roman" w:cs="Times New Roman"/>
          <w:sz w:val="24"/>
          <w:szCs w:val="24"/>
          <w:lang w:eastAsia="en-IN"/>
        </w:rPr>
        <w:t>c property of the extract</w:t>
      </w:r>
      <w:r w:rsidR="00114E28">
        <w:rPr>
          <w:rFonts w:ascii="Times New Roman" w:eastAsia="Times New Roman" w:hAnsi="Times New Roman" w:cs="Times New Roman"/>
          <w:sz w:val="24"/>
          <w:szCs w:val="24"/>
          <w:lang w:eastAsia="en-IN"/>
        </w:rPr>
        <w:t xml:space="preserve"> [13</w:t>
      </w:r>
      <w:r w:rsidR="002E7626">
        <w:rPr>
          <w:rFonts w:ascii="Times New Roman" w:eastAsia="Times New Roman" w:hAnsi="Times New Roman" w:cs="Times New Roman"/>
          <w:sz w:val="24"/>
          <w:szCs w:val="24"/>
          <w:lang w:eastAsia="en-IN"/>
        </w:rPr>
        <w:t>]</w:t>
      </w:r>
      <w:r w:rsidR="00952DCD" w:rsidRPr="002607C0">
        <w:rPr>
          <w:rFonts w:ascii="Times New Roman" w:eastAsia="Times New Roman" w:hAnsi="Times New Roman" w:cs="Times New Roman"/>
          <w:sz w:val="24"/>
          <w:szCs w:val="24"/>
          <w:lang w:eastAsia="en-IN"/>
        </w:rPr>
        <w:t>.</w:t>
      </w:r>
    </w:p>
    <w:p w14:paraId="407C3CD0" w14:textId="77777777"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The increase in sleeping time and reduction in sleep onset latency are suggestive of CNS depressant activity, possibly mediated by GABAergic facilitation or modulation of related inhibitory ne</w:t>
      </w:r>
      <w:r w:rsidR="00952DCD" w:rsidRPr="002607C0">
        <w:rPr>
          <w:rFonts w:ascii="Times New Roman" w:eastAsia="Times New Roman" w:hAnsi="Times New Roman" w:cs="Times New Roman"/>
          <w:sz w:val="24"/>
          <w:szCs w:val="24"/>
          <w:lang w:eastAsia="en-IN"/>
        </w:rPr>
        <w:t>urotransmitters</w:t>
      </w:r>
      <w:r w:rsidR="00114E28">
        <w:rPr>
          <w:rFonts w:ascii="Times New Roman" w:eastAsia="Times New Roman" w:hAnsi="Times New Roman" w:cs="Times New Roman"/>
          <w:sz w:val="24"/>
          <w:szCs w:val="24"/>
          <w:lang w:eastAsia="en-IN"/>
        </w:rPr>
        <w:t xml:space="preserve"> [14</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 xml:space="preserve">. Such activity may have clinical relevance in treating anxiety or insomnia, offering </w:t>
      </w:r>
      <w:proofErr w:type="gramStart"/>
      <w:r w:rsidRPr="00244893">
        <w:rPr>
          <w:rFonts w:ascii="Times New Roman" w:eastAsia="Times New Roman" w:hAnsi="Times New Roman" w:cs="Times New Roman"/>
          <w:sz w:val="24"/>
          <w:szCs w:val="24"/>
          <w:lang w:eastAsia="en-IN"/>
        </w:rPr>
        <w:t>a</w:t>
      </w:r>
      <w:proofErr w:type="gramEnd"/>
      <w:r w:rsidRPr="00244893">
        <w:rPr>
          <w:rFonts w:ascii="Times New Roman" w:eastAsia="Times New Roman" w:hAnsi="Times New Roman" w:cs="Times New Roman"/>
          <w:sz w:val="24"/>
          <w:szCs w:val="24"/>
          <w:lang w:eastAsia="en-IN"/>
        </w:rPr>
        <w:t xml:space="preserve"> herbal alternative with fewer side effects compared to synthetic agents like benzodiazep</w:t>
      </w:r>
      <w:r w:rsidR="00952DCD" w:rsidRPr="002607C0">
        <w:rPr>
          <w:rFonts w:ascii="Times New Roman" w:eastAsia="Times New Roman" w:hAnsi="Times New Roman" w:cs="Times New Roman"/>
          <w:sz w:val="24"/>
          <w:szCs w:val="24"/>
          <w:lang w:eastAsia="en-IN"/>
        </w:rPr>
        <w:t>ines</w:t>
      </w:r>
      <w:r w:rsidR="00114E28">
        <w:rPr>
          <w:rFonts w:ascii="Times New Roman" w:eastAsia="Times New Roman" w:hAnsi="Times New Roman" w:cs="Times New Roman"/>
          <w:sz w:val="24"/>
          <w:szCs w:val="24"/>
          <w:lang w:eastAsia="en-IN"/>
        </w:rPr>
        <w:t xml:space="preserve"> [15</w:t>
      </w:r>
      <w:r w:rsidR="002E7626">
        <w:rPr>
          <w:rFonts w:ascii="Times New Roman" w:eastAsia="Times New Roman" w:hAnsi="Times New Roman" w:cs="Times New Roman"/>
          <w:sz w:val="24"/>
          <w:szCs w:val="24"/>
          <w:lang w:eastAsia="en-IN"/>
        </w:rPr>
        <w:t>].</w:t>
      </w:r>
    </w:p>
    <w:p w14:paraId="7935C5B6" w14:textId="77777777"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 xml:space="preserve">The acute toxicity testing showed that AETS was safe up to 2000 mg/kg orally, with no observed lethal effects. This supports its potential therapeutic use and aligns with the traditional applications of </w:t>
      </w:r>
      <w:r w:rsidRPr="002607C0">
        <w:rPr>
          <w:rFonts w:ascii="Times New Roman" w:eastAsia="Times New Roman" w:hAnsi="Times New Roman" w:cs="Times New Roman"/>
          <w:i/>
          <w:iCs/>
          <w:sz w:val="24"/>
          <w:szCs w:val="24"/>
          <w:lang w:eastAsia="en-IN"/>
        </w:rPr>
        <w:t>Tecoma stans</w:t>
      </w:r>
      <w:r w:rsidRPr="00244893">
        <w:rPr>
          <w:rFonts w:ascii="Times New Roman" w:eastAsia="Times New Roman" w:hAnsi="Times New Roman" w:cs="Times New Roman"/>
          <w:sz w:val="24"/>
          <w:szCs w:val="24"/>
          <w:lang w:eastAsia="en-IN"/>
        </w:rPr>
        <w:t xml:space="preserve"> in herbal </w:t>
      </w:r>
      <w:r w:rsidR="00952DCD" w:rsidRPr="002607C0">
        <w:rPr>
          <w:rFonts w:ascii="Times New Roman" w:eastAsia="Times New Roman" w:hAnsi="Times New Roman" w:cs="Times New Roman"/>
          <w:sz w:val="24"/>
          <w:szCs w:val="24"/>
          <w:lang w:eastAsia="en-IN"/>
        </w:rPr>
        <w:t>medicine</w:t>
      </w:r>
      <w:r w:rsidR="00114E28">
        <w:rPr>
          <w:rFonts w:ascii="Times New Roman" w:eastAsia="Times New Roman" w:hAnsi="Times New Roman" w:cs="Times New Roman"/>
          <w:sz w:val="24"/>
          <w:szCs w:val="24"/>
          <w:lang w:eastAsia="en-IN"/>
        </w:rPr>
        <w:t xml:space="preserve"> [16</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w:t>
      </w:r>
    </w:p>
    <w:p w14:paraId="1EEEC244" w14:textId="77777777"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 xml:space="preserve">This study provides scientific validation for the traditional use of </w:t>
      </w:r>
      <w:r w:rsidRPr="002607C0">
        <w:rPr>
          <w:rFonts w:ascii="Times New Roman" w:eastAsia="Times New Roman" w:hAnsi="Times New Roman" w:cs="Times New Roman"/>
          <w:i/>
          <w:iCs/>
          <w:sz w:val="24"/>
          <w:szCs w:val="24"/>
          <w:lang w:eastAsia="en-IN"/>
        </w:rPr>
        <w:t>Tecoma stans</w:t>
      </w:r>
      <w:r w:rsidRPr="00244893">
        <w:rPr>
          <w:rFonts w:ascii="Times New Roman" w:eastAsia="Times New Roman" w:hAnsi="Times New Roman" w:cs="Times New Roman"/>
          <w:sz w:val="24"/>
          <w:szCs w:val="24"/>
          <w:lang w:eastAsia="en-IN"/>
        </w:rPr>
        <w:t xml:space="preserve"> in managing mental health conditions. The observed neuropharmacological activities can be attributed to the presence of active phytochemicals such as flavonoids and saponins. Previous literature reports that these compounds possess neuroprotective, anxiolytic, and antipsychoti</w:t>
      </w:r>
      <w:r w:rsidR="00952DCD" w:rsidRPr="002607C0">
        <w:rPr>
          <w:rFonts w:ascii="Times New Roman" w:eastAsia="Times New Roman" w:hAnsi="Times New Roman" w:cs="Times New Roman"/>
          <w:sz w:val="24"/>
          <w:szCs w:val="24"/>
          <w:lang w:eastAsia="en-IN"/>
        </w:rPr>
        <w:t>c effects</w:t>
      </w:r>
      <w:r w:rsidR="00114E28">
        <w:rPr>
          <w:rFonts w:ascii="Times New Roman" w:eastAsia="Times New Roman" w:hAnsi="Times New Roman" w:cs="Times New Roman"/>
          <w:sz w:val="24"/>
          <w:szCs w:val="24"/>
          <w:lang w:eastAsia="en-IN"/>
        </w:rPr>
        <w:t xml:space="preserve"> [17</w:t>
      </w:r>
      <w:r w:rsidR="002E7626">
        <w:rPr>
          <w:rFonts w:ascii="Times New Roman" w:eastAsia="Times New Roman" w:hAnsi="Times New Roman" w:cs="Times New Roman"/>
          <w:sz w:val="24"/>
          <w:szCs w:val="24"/>
          <w:lang w:eastAsia="en-IN"/>
        </w:rPr>
        <w:t>]</w:t>
      </w:r>
      <w:r w:rsidRPr="00244893">
        <w:rPr>
          <w:rFonts w:ascii="Times New Roman" w:eastAsia="Times New Roman" w:hAnsi="Times New Roman" w:cs="Times New Roman"/>
          <w:sz w:val="24"/>
          <w:szCs w:val="24"/>
          <w:lang w:eastAsia="en-IN"/>
        </w:rPr>
        <w:t>.</w:t>
      </w:r>
    </w:p>
    <w:p w14:paraId="489F7AF3" w14:textId="77777777" w:rsidR="0052136E" w:rsidRPr="00244893" w:rsidRDefault="0052136E" w:rsidP="00235EA9">
      <w:pPr>
        <w:spacing w:before="240" w:after="100" w:afterAutospacing="1" w:line="240" w:lineRule="auto"/>
        <w:jc w:val="both"/>
        <w:rPr>
          <w:rFonts w:ascii="Times New Roman" w:eastAsia="Times New Roman" w:hAnsi="Times New Roman" w:cs="Times New Roman"/>
          <w:sz w:val="24"/>
          <w:szCs w:val="24"/>
          <w:vertAlign w:val="superscript"/>
          <w:lang w:eastAsia="en-IN"/>
        </w:rPr>
      </w:pPr>
      <w:r w:rsidRPr="00244893">
        <w:rPr>
          <w:rFonts w:ascii="Times New Roman" w:eastAsia="Times New Roman" w:hAnsi="Times New Roman" w:cs="Times New Roman"/>
          <w:sz w:val="24"/>
          <w:szCs w:val="24"/>
          <w:lang w:eastAsia="en-IN"/>
        </w:rPr>
        <w:t xml:space="preserve">Given the increasing interest in plant-based neurotherapeutics, </w:t>
      </w:r>
      <w:r w:rsidRPr="002607C0">
        <w:rPr>
          <w:rFonts w:ascii="Times New Roman" w:eastAsia="Times New Roman" w:hAnsi="Times New Roman" w:cs="Times New Roman"/>
          <w:i/>
          <w:iCs/>
          <w:sz w:val="24"/>
          <w:szCs w:val="24"/>
          <w:lang w:eastAsia="en-IN"/>
        </w:rPr>
        <w:t>Tecoma stans</w:t>
      </w:r>
      <w:r w:rsidRPr="00244893">
        <w:rPr>
          <w:rFonts w:ascii="Times New Roman" w:eastAsia="Times New Roman" w:hAnsi="Times New Roman" w:cs="Times New Roman"/>
          <w:sz w:val="24"/>
          <w:szCs w:val="24"/>
          <w:lang w:eastAsia="en-IN"/>
        </w:rPr>
        <w:t xml:space="preserve"> emerges as a promising candidate for further development, particularly in neuropsychiatric disorders where side effects and dependency potential often limit </w:t>
      </w:r>
      <w:r w:rsidR="00952DCD" w:rsidRPr="002607C0">
        <w:rPr>
          <w:rFonts w:ascii="Times New Roman" w:eastAsia="Times New Roman" w:hAnsi="Times New Roman" w:cs="Times New Roman"/>
          <w:sz w:val="24"/>
          <w:szCs w:val="24"/>
          <w:lang w:eastAsia="en-IN"/>
        </w:rPr>
        <w:t>synthetic drugs</w:t>
      </w:r>
      <w:r w:rsidRPr="00244893">
        <w:rPr>
          <w:rFonts w:ascii="Times New Roman" w:eastAsia="Times New Roman" w:hAnsi="Times New Roman" w:cs="Times New Roman"/>
          <w:sz w:val="24"/>
          <w:szCs w:val="24"/>
          <w:lang w:eastAsia="en-IN"/>
        </w:rPr>
        <w:t>.</w:t>
      </w:r>
    </w:p>
    <w:p w14:paraId="293CAAB9" w14:textId="77777777" w:rsidR="000849EB" w:rsidRDefault="00327771" w:rsidP="00235EA9">
      <w:pPr>
        <w:spacing w:before="240"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2607C0">
        <w:rPr>
          <w:rFonts w:ascii="Times New Roman" w:eastAsia="Times New Roman" w:hAnsi="Times New Roman" w:cs="Times New Roman"/>
          <w:b/>
          <w:bCs/>
          <w:kern w:val="0"/>
          <w:sz w:val="24"/>
          <w:szCs w:val="24"/>
          <w:lang w:eastAsia="en-IN"/>
          <w14:ligatures w14:val="none"/>
        </w:rPr>
        <w:t>CONCLUSION</w:t>
      </w:r>
    </w:p>
    <w:p w14:paraId="176E4B02" w14:textId="77777777" w:rsidR="000E5E0F" w:rsidRPr="002607C0" w:rsidRDefault="000E5E0F" w:rsidP="00235EA9">
      <w:pPr>
        <w:spacing w:before="240" w:after="100" w:afterAutospacing="1" w:line="240" w:lineRule="auto"/>
        <w:jc w:val="both"/>
        <w:outlineLvl w:val="2"/>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lastRenderedPageBreak/>
        <w:t xml:space="preserve">The aqueous extract of </w:t>
      </w:r>
      <w:r w:rsidRPr="002607C0">
        <w:rPr>
          <w:rFonts w:ascii="Times New Roman" w:eastAsia="Times New Roman" w:hAnsi="Times New Roman" w:cs="Times New Roman"/>
          <w:i/>
          <w:iCs/>
          <w:kern w:val="0"/>
          <w:sz w:val="24"/>
          <w:szCs w:val="24"/>
          <w:lang w:eastAsia="en-IN"/>
          <w14:ligatures w14:val="none"/>
        </w:rPr>
        <w:t>Tecoma stans</w:t>
      </w:r>
      <w:r w:rsidRPr="002607C0">
        <w:rPr>
          <w:rFonts w:ascii="Times New Roman" w:eastAsia="Times New Roman" w:hAnsi="Times New Roman" w:cs="Times New Roman"/>
          <w:kern w:val="0"/>
          <w:sz w:val="24"/>
          <w:szCs w:val="24"/>
          <w:lang w:eastAsia="en-IN"/>
          <w14:ligatures w14:val="none"/>
        </w:rPr>
        <w:t xml:space="preserve"> flowers exhibits significant neuropharmacological activity, demonstrating both antipsychotic and CNS depressant effects in validated animal models. These findings support the traditional use of the plant in neuropsychiatric conditions and warrant further investigation into its active constituents, mechanisms of action, and potential clinical application.</w:t>
      </w:r>
    </w:p>
    <w:p w14:paraId="7D40505C" w14:textId="77777777" w:rsidR="00EF45CA" w:rsidRDefault="00EF45CA" w:rsidP="00235EA9">
      <w:pPr>
        <w:spacing w:before="240" w:after="240" w:line="240" w:lineRule="auto"/>
        <w:jc w:val="both"/>
        <w:rPr>
          <w:rFonts w:ascii="Times New Roman" w:eastAsia="Times New Roman" w:hAnsi="Times New Roman" w:cs="Times New Roman"/>
          <w:kern w:val="0"/>
          <w:sz w:val="24"/>
          <w:szCs w:val="24"/>
          <w:lang w:eastAsia="en-IN"/>
          <w14:ligatures w14:val="none"/>
        </w:rPr>
      </w:pPr>
      <w:r w:rsidRPr="002607C0">
        <w:rPr>
          <w:rFonts w:ascii="Times New Roman" w:eastAsia="Times New Roman" w:hAnsi="Times New Roman" w:cs="Times New Roman"/>
          <w:kern w:val="0"/>
          <w:sz w:val="24"/>
          <w:szCs w:val="24"/>
          <w:lang w:eastAsia="en-IN"/>
          <w14:ligatures w14:val="none"/>
        </w:rPr>
        <w:t xml:space="preserve">According to the current study, additional research is necessary to determine the precise mechanism of action underlying the neuropharmacological effects of Tecoma stans flowers, as well as to isolate and characterize the active chemicals causing these effects. </w:t>
      </w:r>
    </w:p>
    <w:p w14:paraId="2757C1F3" w14:textId="77777777" w:rsidR="009034B2" w:rsidRPr="009034B2" w:rsidRDefault="009034B2" w:rsidP="009034B2">
      <w:pPr>
        <w:spacing w:before="240" w:after="240" w:line="240" w:lineRule="auto"/>
        <w:jc w:val="both"/>
        <w:rPr>
          <w:rFonts w:ascii="Times New Roman" w:eastAsia="Times New Roman" w:hAnsi="Times New Roman" w:cs="Times New Roman"/>
          <w:b/>
          <w:kern w:val="0"/>
          <w:sz w:val="24"/>
          <w:szCs w:val="24"/>
          <w:lang w:eastAsia="en-IN"/>
          <w14:ligatures w14:val="none"/>
        </w:rPr>
      </w:pPr>
      <w:r w:rsidRPr="009034B2">
        <w:rPr>
          <w:rFonts w:ascii="Times New Roman" w:eastAsia="Times New Roman" w:hAnsi="Times New Roman" w:cs="Times New Roman"/>
          <w:b/>
          <w:kern w:val="0"/>
          <w:sz w:val="24"/>
          <w:szCs w:val="24"/>
          <w:lang w:eastAsia="en-IN"/>
          <w14:ligatures w14:val="none"/>
        </w:rPr>
        <w:t>DISCLAIMER (ARTIFICIAL INTELLIGENCE)</w:t>
      </w:r>
    </w:p>
    <w:p w14:paraId="6CB849BD" w14:textId="77777777" w:rsidR="009034B2" w:rsidRDefault="009034B2" w:rsidP="009034B2">
      <w:pPr>
        <w:spacing w:before="240" w:after="240" w:line="240" w:lineRule="auto"/>
        <w:jc w:val="both"/>
        <w:rPr>
          <w:rFonts w:ascii="Times New Roman" w:eastAsia="Times New Roman" w:hAnsi="Times New Roman" w:cs="Times New Roman"/>
          <w:kern w:val="0"/>
          <w:sz w:val="24"/>
          <w:szCs w:val="24"/>
          <w:lang w:eastAsia="en-IN"/>
          <w14:ligatures w14:val="none"/>
        </w:rPr>
      </w:pPr>
      <w:r w:rsidRPr="009034B2">
        <w:rPr>
          <w:rFonts w:ascii="Times New Roman" w:eastAsia="Times New Roman" w:hAnsi="Times New Roman" w:cs="Times New Roman"/>
          <w:kern w:val="0"/>
          <w:sz w:val="24"/>
          <w:szCs w:val="24"/>
          <w:lang w:eastAsia="en-IN"/>
          <w14:ligatures w14:val="none"/>
        </w:rPr>
        <w:t>Author(s) hereby declare that NO generative AI</w:t>
      </w:r>
      <w:r>
        <w:rPr>
          <w:rFonts w:ascii="Times New Roman" w:eastAsia="Times New Roman" w:hAnsi="Times New Roman" w:cs="Times New Roman"/>
          <w:kern w:val="0"/>
          <w:sz w:val="24"/>
          <w:szCs w:val="24"/>
          <w:lang w:eastAsia="en-IN"/>
          <w14:ligatures w14:val="none"/>
        </w:rPr>
        <w:t xml:space="preserve"> </w:t>
      </w:r>
      <w:r w:rsidRPr="009034B2">
        <w:rPr>
          <w:rFonts w:ascii="Times New Roman" w:eastAsia="Times New Roman" w:hAnsi="Times New Roman" w:cs="Times New Roman"/>
          <w:kern w:val="0"/>
          <w:sz w:val="24"/>
          <w:szCs w:val="24"/>
          <w:lang w:eastAsia="en-IN"/>
          <w14:ligatures w14:val="none"/>
        </w:rPr>
        <w:t>technologie</w:t>
      </w:r>
      <w:r>
        <w:rPr>
          <w:rFonts w:ascii="Times New Roman" w:eastAsia="Times New Roman" w:hAnsi="Times New Roman" w:cs="Times New Roman"/>
          <w:kern w:val="0"/>
          <w:sz w:val="24"/>
          <w:szCs w:val="24"/>
          <w:lang w:eastAsia="en-IN"/>
          <w14:ligatures w14:val="none"/>
        </w:rPr>
        <w:t xml:space="preserve">s such as Large Language Models </w:t>
      </w:r>
      <w:r w:rsidRPr="009034B2">
        <w:rPr>
          <w:rFonts w:ascii="Times New Roman" w:eastAsia="Times New Roman" w:hAnsi="Times New Roman" w:cs="Times New Roman"/>
          <w:kern w:val="0"/>
          <w:sz w:val="24"/>
          <w:szCs w:val="24"/>
          <w:lang w:eastAsia="en-IN"/>
          <w14:ligatures w14:val="none"/>
        </w:rPr>
        <w:t>(ChatGPT, COPILOT, etc) and text-to-image</w:t>
      </w:r>
      <w:r>
        <w:rPr>
          <w:rFonts w:ascii="Times New Roman" w:eastAsia="Times New Roman" w:hAnsi="Times New Roman" w:cs="Times New Roman"/>
          <w:kern w:val="0"/>
          <w:sz w:val="24"/>
          <w:szCs w:val="24"/>
          <w:lang w:eastAsia="en-IN"/>
          <w14:ligatures w14:val="none"/>
        </w:rPr>
        <w:t xml:space="preserve"> </w:t>
      </w:r>
      <w:r w:rsidRPr="009034B2">
        <w:rPr>
          <w:rFonts w:ascii="Times New Roman" w:eastAsia="Times New Roman" w:hAnsi="Times New Roman" w:cs="Times New Roman"/>
          <w:kern w:val="0"/>
          <w:sz w:val="24"/>
          <w:szCs w:val="24"/>
          <w:lang w:eastAsia="en-IN"/>
          <w14:ligatures w14:val="none"/>
        </w:rPr>
        <w:t xml:space="preserve">generators have </w:t>
      </w:r>
      <w:r>
        <w:rPr>
          <w:rFonts w:ascii="Times New Roman" w:eastAsia="Times New Roman" w:hAnsi="Times New Roman" w:cs="Times New Roman"/>
          <w:kern w:val="0"/>
          <w:sz w:val="24"/>
          <w:szCs w:val="24"/>
          <w:lang w:eastAsia="en-IN"/>
          <w14:ligatures w14:val="none"/>
        </w:rPr>
        <w:t xml:space="preserve">been used during the writing or </w:t>
      </w:r>
      <w:r w:rsidRPr="009034B2">
        <w:rPr>
          <w:rFonts w:ascii="Times New Roman" w:eastAsia="Times New Roman" w:hAnsi="Times New Roman" w:cs="Times New Roman"/>
          <w:kern w:val="0"/>
          <w:sz w:val="24"/>
          <w:szCs w:val="24"/>
          <w:lang w:eastAsia="en-IN"/>
          <w14:ligatures w14:val="none"/>
        </w:rPr>
        <w:t>editing of manuscripts</w:t>
      </w:r>
      <w:r>
        <w:rPr>
          <w:rFonts w:ascii="Times New Roman" w:eastAsia="Times New Roman" w:hAnsi="Times New Roman" w:cs="Times New Roman"/>
          <w:kern w:val="0"/>
          <w:sz w:val="24"/>
          <w:szCs w:val="24"/>
          <w:lang w:eastAsia="en-IN"/>
          <w14:ligatures w14:val="none"/>
        </w:rPr>
        <w:t>.</w:t>
      </w:r>
    </w:p>
    <w:p w14:paraId="74F1B5EB" w14:textId="77777777" w:rsidR="009034B2" w:rsidRPr="009034B2" w:rsidRDefault="009034B2" w:rsidP="009034B2">
      <w:pPr>
        <w:spacing w:before="240" w:after="240" w:line="240" w:lineRule="auto"/>
        <w:jc w:val="both"/>
        <w:rPr>
          <w:rFonts w:ascii="Times New Roman" w:eastAsia="Times New Roman" w:hAnsi="Times New Roman" w:cs="Times New Roman"/>
          <w:b/>
          <w:kern w:val="0"/>
          <w:sz w:val="24"/>
          <w:szCs w:val="24"/>
          <w:lang w:eastAsia="en-IN"/>
          <w14:ligatures w14:val="none"/>
        </w:rPr>
      </w:pPr>
      <w:r w:rsidRPr="009034B2">
        <w:rPr>
          <w:rFonts w:ascii="Times New Roman" w:eastAsia="Times New Roman" w:hAnsi="Times New Roman" w:cs="Times New Roman"/>
          <w:b/>
          <w:kern w:val="0"/>
          <w:sz w:val="24"/>
          <w:szCs w:val="24"/>
          <w:lang w:eastAsia="en-IN"/>
          <w14:ligatures w14:val="none"/>
        </w:rPr>
        <w:t>ETHICAL APPROVAL</w:t>
      </w:r>
    </w:p>
    <w:p w14:paraId="77DCE5B0" w14:textId="77777777" w:rsidR="009034B2" w:rsidRDefault="009034B2" w:rsidP="009034B2">
      <w:pPr>
        <w:spacing w:before="240" w:after="240" w:line="240" w:lineRule="auto"/>
        <w:jc w:val="both"/>
        <w:rPr>
          <w:rFonts w:ascii="Times New Roman" w:eastAsia="Times New Roman" w:hAnsi="Times New Roman" w:cs="Times New Roman"/>
          <w:kern w:val="0"/>
          <w:sz w:val="24"/>
          <w:szCs w:val="24"/>
          <w:lang w:eastAsia="en-IN"/>
          <w14:ligatures w14:val="none"/>
        </w:rPr>
      </w:pPr>
      <w:r w:rsidRPr="009034B2">
        <w:rPr>
          <w:rFonts w:ascii="Times New Roman" w:eastAsia="Times New Roman" w:hAnsi="Times New Roman" w:cs="Times New Roman"/>
          <w:kern w:val="0"/>
          <w:sz w:val="24"/>
          <w:szCs w:val="24"/>
          <w:lang w:eastAsia="en-IN"/>
          <w14:ligatures w14:val="none"/>
        </w:rPr>
        <w:t>The Institution Animal Ethics Committee (IAEC)</w:t>
      </w:r>
      <w:r>
        <w:rPr>
          <w:rFonts w:ascii="Times New Roman" w:eastAsia="Times New Roman" w:hAnsi="Times New Roman" w:cs="Times New Roman"/>
          <w:kern w:val="0"/>
          <w:sz w:val="24"/>
          <w:szCs w:val="24"/>
          <w:lang w:eastAsia="en-IN"/>
          <w14:ligatures w14:val="none"/>
        </w:rPr>
        <w:t xml:space="preserve"> </w:t>
      </w:r>
      <w:r w:rsidRPr="009034B2">
        <w:rPr>
          <w:rFonts w:ascii="Times New Roman" w:eastAsia="Times New Roman" w:hAnsi="Times New Roman" w:cs="Times New Roman"/>
          <w:kern w:val="0"/>
          <w:sz w:val="24"/>
          <w:szCs w:val="24"/>
          <w:lang w:eastAsia="en-IN"/>
          <w14:ligatures w14:val="none"/>
        </w:rPr>
        <w:t>has approved</w:t>
      </w:r>
      <w:r>
        <w:rPr>
          <w:rFonts w:ascii="Times New Roman" w:eastAsia="Times New Roman" w:hAnsi="Times New Roman" w:cs="Times New Roman"/>
          <w:kern w:val="0"/>
          <w:sz w:val="24"/>
          <w:szCs w:val="24"/>
          <w:lang w:eastAsia="en-IN"/>
          <w14:ligatures w14:val="none"/>
        </w:rPr>
        <w:t xml:space="preserve"> the research protocol with the </w:t>
      </w:r>
      <w:r w:rsidR="001B73B6">
        <w:rPr>
          <w:rFonts w:ascii="Times New Roman" w:eastAsia="Times New Roman" w:hAnsi="Times New Roman" w:cs="Times New Roman"/>
          <w:kern w:val="0"/>
          <w:sz w:val="24"/>
          <w:szCs w:val="24"/>
          <w:lang w:eastAsia="en-IN"/>
          <w14:ligatures w14:val="none"/>
        </w:rPr>
        <w:t>number ARACOP/IAEC0/24/16</w:t>
      </w:r>
      <w:r w:rsidRPr="009034B2">
        <w:rPr>
          <w:rFonts w:ascii="Times New Roman" w:eastAsia="Times New Roman" w:hAnsi="Times New Roman" w:cs="Times New Roman"/>
          <w:kern w:val="0"/>
          <w:sz w:val="24"/>
          <w:szCs w:val="24"/>
          <w:lang w:eastAsia="en-IN"/>
          <w14:ligatures w14:val="none"/>
        </w:rPr>
        <w:t xml:space="preserve"> following the</w:t>
      </w:r>
      <w:r>
        <w:rPr>
          <w:rFonts w:ascii="Times New Roman" w:eastAsia="Times New Roman" w:hAnsi="Times New Roman" w:cs="Times New Roman"/>
          <w:kern w:val="0"/>
          <w:sz w:val="24"/>
          <w:szCs w:val="24"/>
          <w:lang w:eastAsia="en-IN"/>
          <w14:ligatures w14:val="none"/>
        </w:rPr>
        <w:t xml:space="preserve"> </w:t>
      </w:r>
      <w:r w:rsidRPr="009034B2">
        <w:rPr>
          <w:rFonts w:ascii="Times New Roman" w:eastAsia="Times New Roman" w:hAnsi="Times New Roman" w:cs="Times New Roman"/>
          <w:kern w:val="0"/>
          <w:sz w:val="24"/>
          <w:szCs w:val="24"/>
          <w:lang w:eastAsia="en-IN"/>
          <w14:ligatures w14:val="none"/>
        </w:rPr>
        <w:t>CPCSEA's current regulations during its session.</w:t>
      </w:r>
    </w:p>
    <w:p w14:paraId="55E26BF4" w14:textId="77777777" w:rsidR="009710AB" w:rsidRDefault="009710AB" w:rsidP="009034B2">
      <w:pPr>
        <w:spacing w:before="240" w:after="240" w:line="240" w:lineRule="auto"/>
        <w:jc w:val="both"/>
        <w:rPr>
          <w:rFonts w:ascii="Times New Roman" w:eastAsia="Times New Roman" w:hAnsi="Times New Roman" w:cs="Times New Roman"/>
          <w:kern w:val="0"/>
          <w:sz w:val="24"/>
          <w:szCs w:val="24"/>
          <w:lang w:eastAsia="en-IN"/>
          <w14:ligatures w14:val="none"/>
        </w:rPr>
      </w:pPr>
      <w:bookmarkStart w:id="0" w:name="_GoBack"/>
      <w:bookmarkEnd w:id="0"/>
    </w:p>
    <w:p w14:paraId="1A3DA256" w14:textId="77777777" w:rsidR="009710AB" w:rsidRPr="003A29C6" w:rsidRDefault="009710AB" w:rsidP="009710AB">
      <w:pPr>
        <w:jc w:val="both"/>
        <w:outlineLvl w:val="0"/>
        <w:rPr>
          <w:rFonts w:ascii="Arial" w:hAnsi="Arial" w:cs="Arial"/>
        </w:rPr>
      </w:pPr>
      <w:r w:rsidRPr="003A29C6">
        <w:rPr>
          <w:rFonts w:ascii="Arial" w:hAnsi="Arial" w:cs="Arial"/>
          <w:b/>
          <w:bCs/>
        </w:rPr>
        <w:t>COMPETING INTERESTS DISCLAIMER:</w:t>
      </w:r>
    </w:p>
    <w:p w14:paraId="4989754A" w14:textId="77777777" w:rsidR="009710AB" w:rsidRDefault="009710AB" w:rsidP="009710AB">
      <w:r w:rsidRPr="00A10EDE">
        <w:t>Authors have declared that they have no known competing financial interests OR non-financial interests OR personal relationships that could have appeared to influence the work reported in this paper.</w:t>
      </w:r>
    </w:p>
    <w:p w14:paraId="415CA548" w14:textId="77777777" w:rsidR="009710AB" w:rsidRDefault="009710AB" w:rsidP="009034B2">
      <w:pPr>
        <w:spacing w:before="240" w:after="240" w:line="240" w:lineRule="auto"/>
        <w:jc w:val="both"/>
        <w:rPr>
          <w:rFonts w:ascii="Times New Roman" w:eastAsia="Times New Roman" w:hAnsi="Times New Roman" w:cs="Times New Roman"/>
          <w:kern w:val="0"/>
          <w:sz w:val="24"/>
          <w:szCs w:val="24"/>
          <w:lang w:eastAsia="en-IN"/>
          <w14:ligatures w14:val="none"/>
        </w:rPr>
      </w:pPr>
    </w:p>
    <w:p w14:paraId="15EDBE23" w14:textId="77777777" w:rsidR="0052136E" w:rsidRPr="002607C0" w:rsidRDefault="009034B2" w:rsidP="00235EA9">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5CA4023B" w14:textId="77777777" w:rsidR="0052136E" w:rsidRPr="00114E28" w:rsidRDefault="00530121" w:rsidP="00235EA9">
      <w:pPr>
        <w:pStyle w:val="ListParagraph"/>
        <w:numPr>
          <w:ilvl w:val="0"/>
          <w:numId w:val="4"/>
        </w:numPr>
        <w:spacing w:before="240" w:after="0" w:line="240" w:lineRule="auto"/>
        <w:ind w:left="426"/>
        <w:jc w:val="both"/>
        <w:rPr>
          <w:rStyle w:val="Hyperlink"/>
          <w:rFonts w:ascii="Times New Roman" w:hAnsi="Times New Roman" w:cs="Times New Roman"/>
          <w:bCs/>
          <w:sz w:val="24"/>
          <w:szCs w:val="24"/>
          <w:lang w:val="en-US"/>
        </w:rPr>
      </w:pPr>
      <w:r w:rsidRPr="00114E28">
        <w:rPr>
          <w:rFonts w:ascii="Times New Roman" w:hAnsi="Times New Roman" w:cs="Times New Roman"/>
          <w:color w:val="222222"/>
          <w:sz w:val="24"/>
          <w:szCs w:val="24"/>
          <w:shd w:val="clear" w:color="auto" w:fill="FFFFFF"/>
        </w:rPr>
        <w:t>Everitt, B. J., &amp; Robbins, T. W. (2005). Neural systems of reinforcement for drug addiction: from actions to habits to compulsion. </w:t>
      </w:r>
      <w:r w:rsidRPr="00114E28">
        <w:rPr>
          <w:rFonts w:ascii="Times New Roman" w:hAnsi="Times New Roman" w:cs="Times New Roman"/>
          <w:i/>
          <w:iCs/>
          <w:color w:val="222222"/>
          <w:sz w:val="24"/>
          <w:szCs w:val="24"/>
          <w:shd w:val="clear" w:color="auto" w:fill="FFFFFF"/>
        </w:rPr>
        <w:t>Nature neuroscience</w:t>
      </w:r>
      <w:r w:rsidRPr="00114E28">
        <w:rPr>
          <w:rFonts w:ascii="Times New Roman" w:hAnsi="Times New Roman" w:cs="Times New Roman"/>
          <w:color w:val="222222"/>
          <w:sz w:val="24"/>
          <w:szCs w:val="24"/>
          <w:shd w:val="clear" w:color="auto" w:fill="FFFFFF"/>
        </w:rPr>
        <w:t>, </w:t>
      </w:r>
      <w:r w:rsidRPr="00114E28">
        <w:rPr>
          <w:rFonts w:ascii="Times New Roman" w:hAnsi="Times New Roman" w:cs="Times New Roman"/>
          <w:i/>
          <w:iCs/>
          <w:color w:val="222222"/>
          <w:sz w:val="24"/>
          <w:szCs w:val="24"/>
          <w:shd w:val="clear" w:color="auto" w:fill="FFFFFF"/>
        </w:rPr>
        <w:t>8</w:t>
      </w:r>
      <w:r w:rsidRPr="00114E28">
        <w:rPr>
          <w:rFonts w:ascii="Times New Roman" w:hAnsi="Times New Roman" w:cs="Times New Roman"/>
          <w:color w:val="222222"/>
          <w:sz w:val="24"/>
          <w:szCs w:val="24"/>
          <w:shd w:val="clear" w:color="auto" w:fill="FFFFFF"/>
        </w:rPr>
        <w:t>(11), 1481-1489.</w:t>
      </w:r>
      <w:r w:rsidR="0052136E" w:rsidRPr="00114E28">
        <w:rPr>
          <w:rFonts w:ascii="Times New Roman" w:hAnsi="Times New Roman" w:cs="Times New Roman"/>
          <w:sz w:val="24"/>
          <w:szCs w:val="24"/>
          <w:shd w:val="clear" w:color="auto" w:fill="FFFFFF"/>
        </w:rPr>
        <w:t xml:space="preserve"> </w:t>
      </w:r>
    </w:p>
    <w:p w14:paraId="1AF67025" w14:textId="77777777" w:rsidR="0052136E" w:rsidRPr="00114E28" w:rsidRDefault="00530121" w:rsidP="00235EA9">
      <w:pPr>
        <w:pStyle w:val="ListParagraph"/>
        <w:numPr>
          <w:ilvl w:val="0"/>
          <w:numId w:val="4"/>
        </w:numPr>
        <w:spacing w:before="240" w:after="0" w:line="240" w:lineRule="auto"/>
        <w:ind w:left="426"/>
        <w:jc w:val="both"/>
        <w:rPr>
          <w:rStyle w:val="title-text"/>
          <w:rFonts w:ascii="Times New Roman" w:hAnsi="Times New Roman" w:cs="Times New Roman"/>
          <w:bCs/>
          <w:sz w:val="24"/>
          <w:szCs w:val="24"/>
          <w:lang w:val="en-US"/>
        </w:rPr>
      </w:pPr>
      <w:r w:rsidRPr="00114E28">
        <w:rPr>
          <w:rFonts w:ascii="Times New Roman" w:hAnsi="Times New Roman" w:cs="Times New Roman"/>
          <w:color w:val="222222"/>
          <w:sz w:val="24"/>
          <w:szCs w:val="24"/>
          <w:shd w:val="clear" w:color="auto" w:fill="FFFFFF"/>
        </w:rPr>
        <w:t>File, S. E. (1987). The contribution of behavioural studies to the neuropharmacology of anxiety. </w:t>
      </w:r>
      <w:r w:rsidRPr="00114E28">
        <w:rPr>
          <w:rFonts w:ascii="Times New Roman" w:hAnsi="Times New Roman" w:cs="Times New Roman"/>
          <w:i/>
          <w:iCs/>
          <w:color w:val="222222"/>
          <w:sz w:val="24"/>
          <w:szCs w:val="24"/>
          <w:shd w:val="clear" w:color="auto" w:fill="FFFFFF"/>
        </w:rPr>
        <w:t>Neuropharmacology</w:t>
      </w:r>
      <w:r w:rsidRPr="00114E28">
        <w:rPr>
          <w:rFonts w:ascii="Times New Roman" w:hAnsi="Times New Roman" w:cs="Times New Roman"/>
          <w:color w:val="222222"/>
          <w:sz w:val="24"/>
          <w:szCs w:val="24"/>
          <w:shd w:val="clear" w:color="auto" w:fill="FFFFFF"/>
        </w:rPr>
        <w:t>, </w:t>
      </w:r>
      <w:r w:rsidRPr="00114E28">
        <w:rPr>
          <w:rFonts w:ascii="Times New Roman" w:hAnsi="Times New Roman" w:cs="Times New Roman"/>
          <w:i/>
          <w:iCs/>
          <w:color w:val="222222"/>
          <w:sz w:val="24"/>
          <w:szCs w:val="24"/>
          <w:shd w:val="clear" w:color="auto" w:fill="FFFFFF"/>
        </w:rPr>
        <w:t>26</w:t>
      </w:r>
      <w:r w:rsidRPr="00114E28">
        <w:rPr>
          <w:rFonts w:ascii="Times New Roman" w:hAnsi="Times New Roman" w:cs="Times New Roman"/>
          <w:color w:val="222222"/>
          <w:sz w:val="24"/>
          <w:szCs w:val="24"/>
          <w:shd w:val="clear" w:color="auto" w:fill="FFFFFF"/>
        </w:rPr>
        <w:t>(7), 877-886.</w:t>
      </w:r>
    </w:p>
    <w:p w14:paraId="7B3905B1" w14:textId="77777777" w:rsidR="0052136E" w:rsidRPr="00114E28" w:rsidRDefault="00530121" w:rsidP="00235EA9">
      <w:pPr>
        <w:pStyle w:val="ListParagraph"/>
        <w:numPr>
          <w:ilvl w:val="0"/>
          <w:numId w:val="4"/>
        </w:numPr>
        <w:spacing w:before="240" w:after="0" w:line="240" w:lineRule="auto"/>
        <w:ind w:left="426"/>
        <w:jc w:val="both"/>
        <w:rPr>
          <w:rStyle w:val="given-name"/>
          <w:rFonts w:ascii="Times New Roman" w:hAnsi="Times New Roman" w:cs="Times New Roman"/>
          <w:bCs/>
          <w:sz w:val="24"/>
          <w:szCs w:val="24"/>
          <w:lang w:val="en-US"/>
        </w:rPr>
      </w:pPr>
      <w:r w:rsidRPr="00114E28">
        <w:rPr>
          <w:rFonts w:ascii="Times New Roman" w:hAnsi="Times New Roman" w:cs="Times New Roman"/>
          <w:sz w:val="24"/>
          <w:szCs w:val="24"/>
        </w:rPr>
        <w:t xml:space="preserve">Gilman, A. G. (2001). </w:t>
      </w:r>
      <w:r w:rsidRPr="00114E28">
        <w:rPr>
          <w:rStyle w:val="Emphasis"/>
          <w:rFonts w:ascii="Times New Roman" w:hAnsi="Times New Roman" w:cs="Times New Roman"/>
          <w:sz w:val="24"/>
          <w:szCs w:val="24"/>
        </w:rPr>
        <w:t>The pharmacological basis of therapeutics</w:t>
      </w:r>
      <w:r w:rsidRPr="00114E28">
        <w:rPr>
          <w:rFonts w:ascii="Times New Roman" w:hAnsi="Times New Roman" w:cs="Times New Roman"/>
          <w:sz w:val="24"/>
          <w:szCs w:val="24"/>
        </w:rPr>
        <w:t xml:space="preserve"> (10th ed., p. 293). McGraw-Hill Medical Publishing Division.</w:t>
      </w:r>
    </w:p>
    <w:p w14:paraId="559C57BA" w14:textId="77777777" w:rsidR="00530121" w:rsidRPr="00114E28" w:rsidRDefault="00530121" w:rsidP="00235EA9">
      <w:pPr>
        <w:pStyle w:val="ListParagraph"/>
        <w:numPr>
          <w:ilvl w:val="0"/>
          <w:numId w:val="4"/>
        </w:numPr>
        <w:spacing w:before="240" w:after="0" w:line="240" w:lineRule="auto"/>
        <w:ind w:left="426"/>
        <w:jc w:val="both"/>
        <w:rPr>
          <w:rFonts w:ascii="Times New Roman" w:hAnsi="Times New Roman" w:cs="Times New Roman"/>
          <w:bCs/>
          <w:sz w:val="24"/>
          <w:szCs w:val="24"/>
          <w:lang w:val="en-US"/>
        </w:rPr>
      </w:pPr>
      <w:proofErr w:type="spellStart"/>
      <w:r w:rsidRPr="00114E28">
        <w:rPr>
          <w:rFonts w:ascii="Times New Roman" w:hAnsi="Times New Roman" w:cs="Times New Roman"/>
          <w:color w:val="222222"/>
          <w:sz w:val="24"/>
          <w:szCs w:val="24"/>
          <w:shd w:val="clear" w:color="auto" w:fill="FFFFFF"/>
        </w:rPr>
        <w:t>Karunamoorthi</w:t>
      </w:r>
      <w:proofErr w:type="spellEnd"/>
      <w:r w:rsidRPr="00114E28">
        <w:rPr>
          <w:rFonts w:ascii="Times New Roman" w:hAnsi="Times New Roman" w:cs="Times New Roman"/>
          <w:color w:val="222222"/>
          <w:sz w:val="24"/>
          <w:szCs w:val="24"/>
          <w:shd w:val="clear" w:color="auto" w:fill="FFFFFF"/>
        </w:rPr>
        <w:t xml:space="preserve">, K., </w:t>
      </w:r>
      <w:proofErr w:type="spellStart"/>
      <w:r w:rsidRPr="00114E28">
        <w:rPr>
          <w:rFonts w:ascii="Times New Roman" w:hAnsi="Times New Roman" w:cs="Times New Roman"/>
          <w:color w:val="222222"/>
          <w:sz w:val="24"/>
          <w:szCs w:val="24"/>
          <w:shd w:val="clear" w:color="auto" w:fill="FFFFFF"/>
        </w:rPr>
        <w:t>Jegajeevanram</w:t>
      </w:r>
      <w:proofErr w:type="spellEnd"/>
      <w:r w:rsidRPr="00114E28">
        <w:rPr>
          <w:rFonts w:ascii="Times New Roman" w:hAnsi="Times New Roman" w:cs="Times New Roman"/>
          <w:color w:val="222222"/>
          <w:sz w:val="24"/>
          <w:szCs w:val="24"/>
          <w:shd w:val="clear" w:color="auto" w:fill="FFFFFF"/>
        </w:rPr>
        <w:t xml:space="preserve">, K., Vijayalakshmi, J., &amp; </w:t>
      </w:r>
      <w:proofErr w:type="spellStart"/>
      <w:r w:rsidRPr="00114E28">
        <w:rPr>
          <w:rFonts w:ascii="Times New Roman" w:hAnsi="Times New Roman" w:cs="Times New Roman"/>
          <w:color w:val="222222"/>
          <w:sz w:val="24"/>
          <w:szCs w:val="24"/>
          <w:shd w:val="clear" w:color="auto" w:fill="FFFFFF"/>
        </w:rPr>
        <w:t>Mengistie</w:t>
      </w:r>
      <w:proofErr w:type="spellEnd"/>
      <w:r w:rsidRPr="00114E28">
        <w:rPr>
          <w:rFonts w:ascii="Times New Roman" w:hAnsi="Times New Roman" w:cs="Times New Roman"/>
          <w:color w:val="222222"/>
          <w:sz w:val="24"/>
          <w:szCs w:val="24"/>
          <w:shd w:val="clear" w:color="auto" w:fill="FFFFFF"/>
        </w:rPr>
        <w:t xml:space="preserve">, E. (2013). Traditional medicinal plants: a source of </w:t>
      </w:r>
      <w:proofErr w:type="spellStart"/>
      <w:r w:rsidRPr="00114E28">
        <w:rPr>
          <w:rFonts w:ascii="Times New Roman" w:hAnsi="Times New Roman" w:cs="Times New Roman"/>
          <w:color w:val="222222"/>
          <w:sz w:val="24"/>
          <w:szCs w:val="24"/>
          <w:shd w:val="clear" w:color="auto" w:fill="FFFFFF"/>
        </w:rPr>
        <w:t>phytotherapeutic</w:t>
      </w:r>
      <w:proofErr w:type="spellEnd"/>
      <w:r w:rsidRPr="00114E28">
        <w:rPr>
          <w:rFonts w:ascii="Times New Roman" w:hAnsi="Times New Roman" w:cs="Times New Roman"/>
          <w:color w:val="222222"/>
          <w:sz w:val="24"/>
          <w:szCs w:val="24"/>
          <w:shd w:val="clear" w:color="auto" w:fill="FFFFFF"/>
        </w:rPr>
        <w:t xml:space="preserve"> modality in resource-constrained health care settings. </w:t>
      </w:r>
      <w:r w:rsidRPr="00114E28">
        <w:rPr>
          <w:rFonts w:ascii="Times New Roman" w:hAnsi="Times New Roman" w:cs="Times New Roman"/>
          <w:i/>
          <w:iCs/>
          <w:color w:val="222222"/>
          <w:sz w:val="24"/>
          <w:szCs w:val="24"/>
          <w:shd w:val="clear" w:color="auto" w:fill="FFFFFF"/>
        </w:rPr>
        <w:t>Journal of Evidence-Based Complementary &amp; Alternative Medicine</w:t>
      </w:r>
      <w:r w:rsidRPr="00114E28">
        <w:rPr>
          <w:rFonts w:ascii="Times New Roman" w:hAnsi="Times New Roman" w:cs="Times New Roman"/>
          <w:color w:val="222222"/>
          <w:sz w:val="24"/>
          <w:szCs w:val="24"/>
          <w:shd w:val="clear" w:color="auto" w:fill="FFFFFF"/>
        </w:rPr>
        <w:t>, </w:t>
      </w:r>
      <w:r w:rsidRPr="00114E28">
        <w:rPr>
          <w:rFonts w:ascii="Times New Roman" w:hAnsi="Times New Roman" w:cs="Times New Roman"/>
          <w:i/>
          <w:iCs/>
          <w:color w:val="222222"/>
          <w:sz w:val="24"/>
          <w:szCs w:val="24"/>
          <w:shd w:val="clear" w:color="auto" w:fill="FFFFFF"/>
        </w:rPr>
        <w:t>18</w:t>
      </w:r>
      <w:r w:rsidRPr="00114E28">
        <w:rPr>
          <w:rFonts w:ascii="Times New Roman" w:hAnsi="Times New Roman" w:cs="Times New Roman"/>
          <w:color w:val="222222"/>
          <w:sz w:val="24"/>
          <w:szCs w:val="24"/>
          <w:shd w:val="clear" w:color="auto" w:fill="FFFFFF"/>
        </w:rPr>
        <w:t>(1), 67-74.</w:t>
      </w:r>
    </w:p>
    <w:p w14:paraId="69DE614B" w14:textId="77777777" w:rsidR="0052136E" w:rsidRPr="00114E28" w:rsidRDefault="00530121" w:rsidP="00235EA9">
      <w:pPr>
        <w:pStyle w:val="ListParagraph"/>
        <w:numPr>
          <w:ilvl w:val="0"/>
          <w:numId w:val="4"/>
        </w:numPr>
        <w:spacing w:before="240" w:after="0" w:line="240" w:lineRule="auto"/>
        <w:ind w:left="426"/>
        <w:jc w:val="both"/>
        <w:rPr>
          <w:rFonts w:ascii="Times New Roman" w:hAnsi="Times New Roman" w:cs="Times New Roman"/>
          <w:bCs/>
          <w:sz w:val="24"/>
          <w:szCs w:val="24"/>
          <w:lang w:val="en-US"/>
        </w:rPr>
      </w:pPr>
      <w:r w:rsidRPr="00114E28">
        <w:rPr>
          <w:rFonts w:ascii="Times New Roman" w:hAnsi="Times New Roman" w:cs="Times New Roman"/>
          <w:color w:val="222222"/>
          <w:sz w:val="24"/>
          <w:szCs w:val="24"/>
          <w:shd w:val="clear" w:color="auto" w:fill="FFFFFF"/>
        </w:rPr>
        <w:t xml:space="preserve">Stéphane, F. F. Y., Jules, B. K. J., </w:t>
      </w:r>
      <w:proofErr w:type="spellStart"/>
      <w:r w:rsidRPr="00114E28">
        <w:rPr>
          <w:rFonts w:ascii="Times New Roman" w:hAnsi="Times New Roman" w:cs="Times New Roman"/>
          <w:color w:val="222222"/>
          <w:sz w:val="24"/>
          <w:szCs w:val="24"/>
          <w:shd w:val="clear" w:color="auto" w:fill="FFFFFF"/>
        </w:rPr>
        <w:t>Batiha</w:t>
      </w:r>
      <w:proofErr w:type="spellEnd"/>
      <w:r w:rsidRPr="00114E28">
        <w:rPr>
          <w:rFonts w:ascii="Times New Roman" w:hAnsi="Times New Roman" w:cs="Times New Roman"/>
          <w:color w:val="222222"/>
          <w:sz w:val="24"/>
          <w:szCs w:val="24"/>
          <w:shd w:val="clear" w:color="auto" w:fill="FFFFFF"/>
        </w:rPr>
        <w:t>, G. E. S., Ali, I., &amp; Bruno, L. N. (2022). Compounds from Medicinal Plants. </w:t>
      </w:r>
      <w:r w:rsidRPr="00114E28">
        <w:rPr>
          <w:rFonts w:ascii="Times New Roman" w:hAnsi="Times New Roman" w:cs="Times New Roman"/>
          <w:i/>
          <w:iCs/>
          <w:color w:val="222222"/>
          <w:sz w:val="24"/>
          <w:szCs w:val="24"/>
          <w:shd w:val="clear" w:color="auto" w:fill="FFFFFF"/>
        </w:rPr>
        <w:t>Natural medicinal plants</w:t>
      </w:r>
      <w:r w:rsidRPr="00114E28">
        <w:rPr>
          <w:rFonts w:ascii="Times New Roman" w:hAnsi="Times New Roman" w:cs="Times New Roman"/>
          <w:color w:val="222222"/>
          <w:sz w:val="24"/>
          <w:szCs w:val="24"/>
          <w:shd w:val="clear" w:color="auto" w:fill="FFFFFF"/>
        </w:rPr>
        <w:t>, 147.</w:t>
      </w:r>
    </w:p>
    <w:p w14:paraId="13477B93" w14:textId="77777777" w:rsidR="0052136E" w:rsidRPr="00114E28" w:rsidRDefault="00530121" w:rsidP="00235EA9">
      <w:pPr>
        <w:pStyle w:val="ListParagraph"/>
        <w:numPr>
          <w:ilvl w:val="0"/>
          <w:numId w:val="4"/>
        </w:numPr>
        <w:spacing w:before="240" w:after="0" w:line="240" w:lineRule="auto"/>
        <w:ind w:left="426"/>
        <w:jc w:val="both"/>
        <w:rPr>
          <w:rFonts w:ascii="Times New Roman" w:hAnsi="Times New Roman" w:cs="Times New Roman"/>
          <w:bCs/>
          <w:sz w:val="24"/>
          <w:szCs w:val="24"/>
          <w:lang w:val="en-US"/>
        </w:rPr>
      </w:pPr>
      <w:r w:rsidRPr="00114E28">
        <w:rPr>
          <w:rFonts w:ascii="Times New Roman" w:hAnsi="Times New Roman" w:cs="Times New Roman"/>
          <w:sz w:val="24"/>
          <w:szCs w:val="24"/>
        </w:rPr>
        <w:t>Organisation for Economic Co</w:t>
      </w:r>
      <w:r w:rsidRPr="00114E28">
        <w:rPr>
          <w:rFonts w:ascii="Times New Roman" w:hAnsi="Times New Roman" w:cs="Times New Roman"/>
          <w:sz w:val="24"/>
          <w:szCs w:val="24"/>
        </w:rPr>
        <w:noBreakHyphen/>
        <w:t xml:space="preserve">operation and Development. (n.d.). </w:t>
      </w:r>
      <w:r w:rsidRPr="00114E28">
        <w:rPr>
          <w:rStyle w:val="Emphasis"/>
          <w:rFonts w:ascii="Times New Roman" w:hAnsi="Times New Roman" w:cs="Times New Roman"/>
          <w:sz w:val="24"/>
          <w:szCs w:val="24"/>
        </w:rPr>
        <w:t>OECD</w:t>
      </w:r>
      <w:r w:rsidRPr="00114E28">
        <w:rPr>
          <w:rFonts w:ascii="Times New Roman" w:hAnsi="Times New Roman" w:cs="Times New Roman"/>
          <w:sz w:val="24"/>
          <w:szCs w:val="24"/>
        </w:rPr>
        <w:t xml:space="preserve">. Retrieved July 11, 2025, from </w:t>
      </w:r>
      <w:hyperlink r:id="rId11" w:tgtFrame="_new" w:history="1">
        <w:r w:rsidRPr="00114E28">
          <w:rPr>
            <w:rStyle w:val="Hyperlink"/>
            <w:rFonts w:ascii="Times New Roman" w:hAnsi="Times New Roman" w:cs="Times New Roman"/>
            <w:sz w:val="24"/>
            <w:szCs w:val="24"/>
          </w:rPr>
          <w:t>https://www.oecd.org/</w:t>
        </w:r>
      </w:hyperlink>
    </w:p>
    <w:p w14:paraId="385C7D83" w14:textId="77777777" w:rsidR="0052136E" w:rsidRPr="00114E28" w:rsidRDefault="003145C3" w:rsidP="00235EA9">
      <w:pPr>
        <w:pStyle w:val="ListParagraph"/>
        <w:numPr>
          <w:ilvl w:val="0"/>
          <w:numId w:val="4"/>
        </w:numPr>
        <w:spacing w:before="240" w:after="0" w:line="240" w:lineRule="auto"/>
        <w:ind w:left="426"/>
        <w:jc w:val="both"/>
        <w:rPr>
          <w:rFonts w:ascii="Times New Roman" w:hAnsi="Times New Roman" w:cs="Times New Roman"/>
          <w:bCs/>
          <w:sz w:val="24"/>
          <w:szCs w:val="24"/>
          <w:lang w:val="en-US"/>
        </w:rPr>
      </w:pPr>
      <w:r w:rsidRPr="00114E28">
        <w:rPr>
          <w:rStyle w:val="Strong"/>
          <w:rFonts w:ascii="Times New Roman" w:hAnsi="Times New Roman" w:cs="Times New Roman"/>
          <w:b w:val="0"/>
          <w:sz w:val="24"/>
          <w:szCs w:val="24"/>
        </w:rPr>
        <w:t>Kamble, R. A., Oswal, R. J., Antre, R. V., Adkar, P. P., Bayas, J. P., &amp; Bagul, Y.</w:t>
      </w:r>
      <w:r w:rsidRPr="00114E28">
        <w:rPr>
          <w:rFonts w:ascii="Times New Roman" w:hAnsi="Times New Roman" w:cs="Times New Roman"/>
          <w:sz w:val="24"/>
          <w:szCs w:val="24"/>
        </w:rPr>
        <w:t xml:space="preserve"> (2011). Antipsychotic activity of </w:t>
      </w:r>
      <w:proofErr w:type="spellStart"/>
      <w:r w:rsidRPr="00114E28">
        <w:rPr>
          <w:rStyle w:val="Emphasis"/>
          <w:rFonts w:ascii="Times New Roman" w:hAnsi="Times New Roman" w:cs="Times New Roman"/>
          <w:sz w:val="24"/>
          <w:szCs w:val="24"/>
        </w:rPr>
        <w:t>Catunargaom</w:t>
      </w:r>
      <w:proofErr w:type="spellEnd"/>
      <w:r w:rsidRPr="00114E28">
        <w:rPr>
          <w:rStyle w:val="Emphasis"/>
          <w:rFonts w:ascii="Times New Roman" w:hAnsi="Times New Roman" w:cs="Times New Roman"/>
          <w:sz w:val="24"/>
          <w:szCs w:val="24"/>
        </w:rPr>
        <w:t xml:space="preserve"> spinosa</w:t>
      </w:r>
      <w:r w:rsidRPr="00114E28">
        <w:rPr>
          <w:rFonts w:ascii="Times New Roman" w:hAnsi="Times New Roman" w:cs="Times New Roman"/>
          <w:sz w:val="24"/>
          <w:szCs w:val="24"/>
        </w:rPr>
        <w:t xml:space="preserve"> (Thumb.). </w:t>
      </w:r>
      <w:r w:rsidRPr="00114E28">
        <w:rPr>
          <w:rStyle w:val="Emphasis"/>
          <w:rFonts w:ascii="Times New Roman" w:hAnsi="Times New Roman" w:cs="Times New Roman"/>
          <w:sz w:val="24"/>
          <w:szCs w:val="24"/>
        </w:rPr>
        <w:t>Research Journal of Pharmaceutical, Biological and Chemical Sciences</w:t>
      </w:r>
      <w:r w:rsidRPr="00114E28">
        <w:rPr>
          <w:rFonts w:ascii="Times New Roman" w:hAnsi="Times New Roman" w:cs="Times New Roman"/>
          <w:sz w:val="24"/>
          <w:szCs w:val="24"/>
        </w:rPr>
        <w:t xml:space="preserve">, </w:t>
      </w:r>
      <w:r w:rsidRPr="00114E28">
        <w:rPr>
          <w:rStyle w:val="Strong"/>
          <w:rFonts w:ascii="Times New Roman" w:hAnsi="Times New Roman" w:cs="Times New Roman"/>
          <w:sz w:val="24"/>
          <w:szCs w:val="24"/>
        </w:rPr>
        <w:t>2</w:t>
      </w:r>
      <w:r w:rsidRPr="00114E28">
        <w:rPr>
          <w:rFonts w:ascii="Times New Roman" w:hAnsi="Times New Roman" w:cs="Times New Roman"/>
          <w:sz w:val="24"/>
          <w:szCs w:val="24"/>
        </w:rPr>
        <w:t>(1), 664–668.</w:t>
      </w:r>
    </w:p>
    <w:p w14:paraId="4F47CC87" w14:textId="77777777" w:rsidR="0052136E" w:rsidRPr="00114E28" w:rsidRDefault="003145C3"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114E28">
        <w:rPr>
          <w:rFonts w:ascii="Times New Roman" w:hAnsi="Times New Roman" w:cs="Times New Roman"/>
          <w:color w:val="222222"/>
          <w:sz w:val="24"/>
          <w:szCs w:val="24"/>
          <w:shd w:val="clear" w:color="auto" w:fill="FFFFFF"/>
        </w:rPr>
        <w:lastRenderedPageBreak/>
        <w:t>Perez G, R. M., Perez L, J. A., Garcia D, L. M., &amp; Sossa M, H. (1998). Neuropharmacological activity of Solanum nigrum fruit. </w:t>
      </w:r>
      <w:r w:rsidRPr="00114E28">
        <w:rPr>
          <w:rFonts w:ascii="Times New Roman" w:hAnsi="Times New Roman" w:cs="Times New Roman"/>
          <w:i/>
          <w:iCs/>
          <w:color w:val="222222"/>
          <w:sz w:val="24"/>
          <w:szCs w:val="24"/>
          <w:shd w:val="clear" w:color="auto" w:fill="FFFFFF"/>
        </w:rPr>
        <w:t>Journal of ethnopharmacology</w:t>
      </w:r>
      <w:r w:rsidRPr="00114E28">
        <w:rPr>
          <w:rFonts w:ascii="Times New Roman" w:hAnsi="Times New Roman" w:cs="Times New Roman"/>
          <w:color w:val="222222"/>
          <w:sz w:val="24"/>
          <w:szCs w:val="24"/>
          <w:shd w:val="clear" w:color="auto" w:fill="FFFFFF"/>
        </w:rPr>
        <w:t>, </w:t>
      </w:r>
      <w:r w:rsidRPr="00114E28">
        <w:rPr>
          <w:rFonts w:ascii="Times New Roman" w:hAnsi="Times New Roman" w:cs="Times New Roman"/>
          <w:i/>
          <w:iCs/>
          <w:color w:val="222222"/>
          <w:sz w:val="24"/>
          <w:szCs w:val="24"/>
          <w:shd w:val="clear" w:color="auto" w:fill="FFFFFF"/>
        </w:rPr>
        <w:t>62</w:t>
      </w:r>
      <w:r w:rsidRPr="00114E28">
        <w:rPr>
          <w:rFonts w:ascii="Times New Roman" w:hAnsi="Times New Roman" w:cs="Times New Roman"/>
          <w:color w:val="222222"/>
          <w:sz w:val="24"/>
          <w:szCs w:val="24"/>
          <w:shd w:val="clear" w:color="auto" w:fill="FFFFFF"/>
        </w:rPr>
        <w:t>(1), 43-48.</w:t>
      </w:r>
    </w:p>
    <w:p w14:paraId="107E2AE4" w14:textId="77777777" w:rsidR="003145C3" w:rsidRPr="003000C7" w:rsidRDefault="003145C3"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3000C7">
        <w:rPr>
          <w:rFonts w:ascii="Times New Roman" w:hAnsi="Times New Roman" w:cs="Times New Roman"/>
          <w:color w:val="222222"/>
          <w:sz w:val="24"/>
          <w:szCs w:val="24"/>
          <w:shd w:val="clear" w:color="auto" w:fill="FFFFFF"/>
        </w:rPr>
        <w:t>Willner, P. (1997). Validity, reliability and utility of the chronic mild stress model of depression: a 10-year review and evaluation. </w:t>
      </w:r>
      <w:r w:rsidRPr="003000C7">
        <w:rPr>
          <w:rFonts w:ascii="Times New Roman" w:hAnsi="Times New Roman" w:cs="Times New Roman"/>
          <w:i/>
          <w:iCs/>
          <w:color w:val="222222"/>
          <w:sz w:val="24"/>
          <w:szCs w:val="24"/>
          <w:shd w:val="clear" w:color="auto" w:fill="FFFFFF"/>
        </w:rPr>
        <w:t>Psychopharmacology</w:t>
      </w:r>
      <w:r w:rsidRPr="003000C7">
        <w:rPr>
          <w:rFonts w:ascii="Times New Roman" w:hAnsi="Times New Roman" w:cs="Times New Roman"/>
          <w:color w:val="222222"/>
          <w:sz w:val="24"/>
          <w:szCs w:val="24"/>
          <w:shd w:val="clear" w:color="auto" w:fill="FFFFFF"/>
        </w:rPr>
        <w:t>, </w:t>
      </w:r>
      <w:r w:rsidRPr="003000C7">
        <w:rPr>
          <w:rFonts w:ascii="Times New Roman" w:hAnsi="Times New Roman" w:cs="Times New Roman"/>
          <w:i/>
          <w:iCs/>
          <w:color w:val="222222"/>
          <w:sz w:val="24"/>
          <w:szCs w:val="24"/>
          <w:shd w:val="clear" w:color="auto" w:fill="FFFFFF"/>
        </w:rPr>
        <w:t>134</w:t>
      </w:r>
      <w:r w:rsidRPr="003000C7">
        <w:rPr>
          <w:rFonts w:ascii="Times New Roman" w:hAnsi="Times New Roman" w:cs="Times New Roman"/>
          <w:color w:val="222222"/>
          <w:sz w:val="24"/>
          <w:szCs w:val="24"/>
          <w:shd w:val="clear" w:color="auto" w:fill="FFFFFF"/>
        </w:rPr>
        <w:t>, 319-329.</w:t>
      </w:r>
    </w:p>
    <w:p w14:paraId="53402A1E" w14:textId="77777777" w:rsidR="00952DCD" w:rsidRPr="003000C7" w:rsidRDefault="003145C3"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3000C7">
        <w:rPr>
          <w:rFonts w:ascii="Times New Roman" w:hAnsi="Times New Roman" w:cs="Times New Roman"/>
          <w:color w:val="222222"/>
          <w:sz w:val="24"/>
          <w:szCs w:val="24"/>
          <w:shd w:val="clear" w:color="auto" w:fill="FFFFFF"/>
        </w:rPr>
        <w:t>Seeman, P. (2002). Atypical antipsychotics: mechanism of action. </w:t>
      </w:r>
      <w:r w:rsidRPr="003000C7">
        <w:rPr>
          <w:rFonts w:ascii="Times New Roman" w:hAnsi="Times New Roman" w:cs="Times New Roman"/>
          <w:i/>
          <w:iCs/>
          <w:color w:val="222222"/>
          <w:sz w:val="24"/>
          <w:szCs w:val="24"/>
          <w:shd w:val="clear" w:color="auto" w:fill="FFFFFF"/>
        </w:rPr>
        <w:t>The Canadian Journal of Psychiatry</w:t>
      </w:r>
      <w:r w:rsidRPr="003000C7">
        <w:rPr>
          <w:rFonts w:ascii="Times New Roman" w:hAnsi="Times New Roman" w:cs="Times New Roman"/>
          <w:color w:val="222222"/>
          <w:sz w:val="24"/>
          <w:szCs w:val="24"/>
          <w:shd w:val="clear" w:color="auto" w:fill="FFFFFF"/>
        </w:rPr>
        <w:t>, </w:t>
      </w:r>
      <w:r w:rsidRPr="003000C7">
        <w:rPr>
          <w:rFonts w:ascii="Times New Roman" w:hAnsi="Times New Roman" w:cs="Times New Roman"/>
          <w:i/>
          <w:iCs/>
          <w:color w:val="222222"/>
          <w:sz w:val="24"/>
          <w:szCs w:val="24"/>
          <w:shd w:val="clear" w:color="auto" w:fill="FFFFFF"/>
        </w:rPr>
        <w:t>47</w:t>
      </w:r>
      <w:r w:rsidRPr="003000C7">
        <w:rPr>
          <w:rFonts w:ascii="Times New Roman" w:hAnsi="Times New Roman" w:cs="Times New Roman"/>
          <w:color w:val="222222"/>
          <w:sz w:val="24"/>
          <w:szCs w:val="24"/>
          <w:shd w:val="clear" w:color="auto" w:fill="FFFFFF"/>
        </w:rPr>
        <w:t>(1), 27-38.</w:t>
      </w:r>
    </w:p>
    <w:p w14:paraId="5F9CB111" w14:textId="77777777" w:rsidR="00952DCD" w:rsidRPr="003000C7" w:rsidRDefault="003145C3"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3000C7">
        <w:rPr>
          <w:rFonts w:ascii="Times New Roman" w:hAnsi="Times New Roman" w:cs="Times New Roman"/>
          <w:color w:val="222222"/>
          <w:sz w:val="24"/>
          <w:szCs w:val="24"/>
          <w:shd w:val="clear" w:color="auto" w:fill="FFFFFF"/>
        </w:rPr>
        <w:t xml:space="preserve">Middleton Jr, E., </w:t>
      </w:r>
      <w:proofErr w:type="spellStart"/>
      <w:r w:rsidRPr="003000C7">
        <w:rPr>
          <w:rFonts w:ascii="Times New Roman" w:hAnsi="Times New Roman" w:cs="Times New Roman"/>
          <w:color w:val="222222"/>
          <w:sz w:val="24"/>
          <w:szCs w:val="24"/>
          <w:shd w:val="clear" w:color="auto" w:fill="FFFFFF"/>
        </w:rPr>
        <w:t>Kandaswami</w:t>
      </w:r>
      <w:proofErr w:type="spellEnd"/>
      <w:r w:rsidRPr="003000C7">
        <w:rPr>
          <w:rFonts w:ascii="Times New Roman" w:hAnsi="Times New Roman" w:cs="Times New Roman"/>
          <w:color w:val="222222"/>
          <w:sz w:val="24"/>
          <w:szCs w:val="24"/>
          <w:shd w:val="clear" w:color="auto" w:fill="FFFFFF"/>
        </w:rPr>
        <w:t xml:space="preserve">, C., &amp; </w:t>
      </w:r>
      <w:proofErr w:type="spellStart"/>
      <w:r w:rsidRPr="003000C7">
        <w:rPr>
          <w:rFonts w:ascii="Times New Roman" w:hAnsi="Times New Roman" w:cs="Times New Roman"/>
          <w:color w:val="222222"/>
          <w:sz w:val="24"/>
          <w:szCs w:val="24"/>
          <w:shd w:val="clear" w:color="auto" w:fill="FFFFFF"/>
        </w:rPr>
        <w:t>Theoharides</w:t>
      </w:r>
      <w:proofErr w:type="spellEnd"/>
      <w:r w:rsidRPr="003000C7">
        <w:rPr>
          <w:rFonts w:ascii="Times New Roman" w:hAnsi="Times New Roman" w:cs="Times New Roman"/>
          <w:color w:val="222222"/>
          <w:sz w:val="24"/>
          <w:szCs w:val="24"/>
          <w:shd w:val="clear" w:color="auto" w:fill="FFFFFF"/>
        </w:rPr>
        <w:t>, T. C. (2000). The effects of plant flavonoids on mammalian cells: implications for inflammation, heart disease, and cancer. </w:t>
      </w:r>
      <w:r w:rsidRPr="003000C7">
        <w:rPr>
          <w:rFonts w:ascii="Times New Roman" w:hAnsi="Times New Roman" w:cs="Times New Roman"/>
          <w:i/>
          <w:iCs/>
          <w:color w:val="222222"/>
          <w:sz w:val="24"/>
          <w:szCs w:val="24"/>
          <w:shd w:val="clear" w:color="auto" w:fill="FFFFFF"/>
        </w:rPr>
        <w:t>Pharmacological reviews</w:t>
      </w:r>
      <w:r w:rsidRPr="003000C7">
        <w:rPr>
          <w:rFonts w:ascii="Times New Roman" w:hAnsi="Times New Roman" w:cs="Times New Roman"/>
          <w:color w:val="222222"/>
          <w:sz w:val="24"/>
          <w:szCs w:val="24"/>
          <w:shd w:val="clear" w:color="auto" w:fill="FFFFFF"/>
        </w:rPr>
        <w:t>, </w:t>
      </w:r>
      <w:r w:rsidRPr="003000C7">
        <w:rPr>
          <w:rFonts w:ascii="Times New Roman" w:hAnsi="Times New Roman" w:cs="Times New Roman"/>
          <w:i/>
          <w:iCs/>
          <w:color w:val="222222"/>
          <w:sz w:val="24"/>
          <w:szCs w:val="24"/>
          <w:shd w:val="clear" w:color="auto" w:fill="FFFFFF"/>
        </w:rPr>
        <w:t>52</w:t>
      </w:r>
      <w:r w:rsidRPr="003000C7">
        <w:rPr>
          <w:rFonts w:ascii="Times New Roman" w:hAnsi="Times New Roman" w:cs="Times New Roman"/>
          <w:color w:val="222222"/>
          <w:sz w:val="24"/>
          <w:szCs w:val="24"/>
          <w:shd w:val="clear" w:color="auto" w:fill="FFFFFF"/>
        </w:rPr>
        <w:t>(4), 673-751.</w:t>
      </w:r>
    </w:p>
    <w:p w14:paraId="1941AFCC" w14:textId="77777777" w:rsidR="00952DCD" w:rsidRPr="003000C7" w:rsidRDefault="003145C3"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proofErr w:type="spellStart"/>
      <w:r w:rsidRPr="003000C7">
        <w:rPr>
          <w:rStyle w:val="Strong"/>
          <w:rFonts w:ascii="Times New Roman" w:hAnsi="Times New Roman" w:cs="Times New Roman"/>
          <w:b w:val="0"/>
          <w:sz w:val="24"/>
          <w:szCs w:val="24"/>
        </w:rPr>
        <w:t>Calapai</w:t>
      </w:r>
      <w:proofErr w:type="spellEnd"/>
      <w:r w:rsidRPr="003000C7">
        <w:rPr>
          <w:rStyle w:val="Strong"/>
          <w:rFonts w:ascii="Times New Roman" w:hAnsi="Times New Roman" w:cs="Times New Roman"/>
          <w:b w:val="0"/>
          <w:sz w:val="24"/>
          <w:szCs w:val="24"/>
        </w:rPr>
        <w:t xml:space="preserve">, G., Crupi, A., </w:t>
      </w:r>
      <w:proofErr w:type="spellStart"/>
      <w:r w:rsidRPr="003000C7">
        <w:rPr>
          <w:rStyle w:val="Strong"/>
          <w:rFonts w:ascii="Times New Roman" w:hAnsi="Times New Roman" w:cs="Times New Roman"/>
          <w:b w:val="0"/>
          <w:sz w:val="24"/>
          <w:szCs w:val="24"/>
        </w:rPr>
        <w:t>Firenzuoli</w:t>
      </w:r>
      <w:proofErr w:type="spellEnd"/>
      <w:r w:rsidRPr="003000C7">
        <w:rPr>
          <w:rStyle w:val="Strong"/>
          <w:rFonts w:ascii="Times New Roman" w:hAnsi="Times New Roman" w:cs="Times New Roman"/>
          <w:b w:val="0"/>
          <w:sz w:val="24"/>
          <w:szCs w:val="24"/>
        </w:rPr>
        <w:t>, F., Inferrera, G., Squadrito, F., &amp; Parisi, A. (1999).</w:t>
      </w:r>
      <w:r w:rsidRPr="003000C7">
        <w:rPr>
          <w:rFonts w:ascii="Times New Roman" w:hAnsi="Times New Roman" w:cs="Times New Roman"/>
          <w:sz w:val="24"/>
          <w:szCs w:val="24"/>
        </w:rPr>
        <w:t xml:space="preserve"> Effects of flavonoids on TNBS-induced colitis in rats: Role of serotonin and nitric oxide. </w:t>
      </w:r>
      <w:r w:rsidRPr="003000C7">
        <w:rPr>
          <w:rStyle w:val="Emphasis"/>
          <w:rFonts w:ascii="Times New Roman" w:hAnsi="Times New Roman" w:cs="Times New Roman"/>
          <w:sz w:val="24"/>
          <w:szCs w:val="24"/>
        </w:rPr>
        <w:t>Pharmacological Research, 40</w:t>
      </w:r>
      <w:r w:rsidRPr="003000C7">
        <w:rPr>
          <w:rFonts w:ascii="Times New Roman" w:hAnsi="Times New Roman" w:cs="Times New Roman"/>
          <w:sz w:val="24"/>
          <w:szCs w:val="24"/>
        </w:rPr>
        <w:t>(6), 597–602.</w:t>
      </w:r>
    </w:p>
    <w:p w14:paraId="0801D7B1" w14:textId="77777777" w:rsidR="00952DCD" w:rsidRPr="003000C7" w:rsidRDefault="003145C3"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3000C7">
        <w:rPr>
          <w:rStyle w:val="Strong"/>
          <w:rFonts w:ascii="Times New Roman" w:hAnsi="Times New Roman" w:cs="Times New Roman"/>
          <w:b w:val="0"/>
          <w:sz w:val="24"/>
          <w:szCs w:val="24"/>
        </w:rPr>
        <w:t>Müller, W. E., Eckert, G. P., &amp; Eckert, A. (2002).</w:t>
      </w:r>
      <w:r w:rsidRPr="003000C7">
        <w:rPr>
          <w:rFonts w:ascii="Times New Roman" w:hAnsi="Times New Roman" w:cs="Times New Roman"/>
          <w:sz w:val="24"/>
          <w:szCs w:val="24"/>
        </w:rPr>
        <w:t xml:space="preserve"> GABAergic dysfunction in Alzheimer’s disease: A therapeutic target? </w:t>
      </w:r>
      <w:r w:rsidRPr="003000C7">
        <w:rPr>
          <w:rStyle w:val="Emphasis"/>
          <w:rFonts w:ascii="Times New Roman" w:hAnsi="Times New Roman" w:cs="Times New Roman"/>
          <w:sz w:val="24"/>
          <w:szCs w:val="24"/>
        </w:rPr>
        <w:t>Trends in Neurosciences, 25</w:t>
      </w:r>
      <w:r w:rsidRPr="003000C7">
        <w:rPr>
          <w:rFonts w:ascii="Times New Roman" w:hAnsi="Times New Roman" w:cs="Times New Roman"/>
          <w:sz w:val="24"/>
          <w:szCs w:val="24"/>
        </w:rPr>
        <w:t>(8), 384–389.</w:t>
      </w:r>
    </w:p>
    <w:p w14:paraId="49BC45B7" w14:textId="77777777" w:rsidR="00952DCD" w:rsidRPr="003000C7" w:rsidRDefault="003000C7"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3000C7">
        <w:rPr>
          <w:rFonts w:ascii="Times New Roman" w:hAnsi="Times New Roman" w:cs="Times New Roman"/>
          <w:color w:val="222222"/>
          <w:sz w:val="24"/>
          <w:szCs w:val="24"/>
          <w:shd w:val="clear" w:color="auto" w:fill="FFFFFF"/>
        </w:rPr>
        <w:t>Johnston, G. A. (2005). GABAA receptor channel pharmacology. </w:t>
      </w:r>
      <w:r w:rsidRPr="003000C7">
        <w:rPr>
          <w:rFonts w:ascii="Times New Roman" w:hAnsi="Times New Roman" w:cs="Times New Roman"/>
          <w:i/>
          <w:iCs/>
          <w:color w:val="222222"/>
          <w:sz w:val="24"/>
          <w:szCs w:val="24"/>
          <w:shd w:val="clear" w:color="auto" w:fill="FFFFFF"/>
        </w:rPr>
        <w:t>Current pharmaceutical design</w:t>
      </w:r>
      <w:r w:rsidRPr="003000C7">
        <w:rPr>
          <w:rFonts w:ascii="Times New Roman" w:hAnsi="Times New Roman" w:cs="Times New Roman"/>
          <w:color w:val="222222"/>
          <w:sz w:val="24"/>
          <w:szCs w:val="24"/>
          <w:shd w:val="clear" w:color="auto" w:fill="FFFFFF"/>
        </w:rPr>
        <w:t>, </w:t>
      </w:r>
      <w:r w:rsidRPr="003000C7">
        <w:rPr>
          <w:rFonts w:ascii="Times New Roman" w:hAnsi="Times New Roman" w:cs="Times New Roman"/>
          <w:i/>
          <w:iCs/>
          <w:color w:val="222222"/>
          <w:sz w:val="24"/>
          <w:szCs w:val="24"/>
          <w:shd w:val="clear" w:color="auto" w:fill="FFFFFF"/>
        </w:rPr>
        <w:t>11</w:t>
      </w:r>
      <w:r w:rsidRPr="003000C7">
        <w:rPr>
          <w:rFonts w:ascii="Times New Roman" w:hAnsi="Times New Roman" w:cs="Times New Roman"/>
          <w:color w:val="222222"/>
          <w:sz w:val="24"/>
          <w:szCs w:val="24"/>
          <w:shd w:val="clear" w:color="auto" w:fill="FFFFFF"/>
        </w:rPr>
        <w:t>(15), 1867-1885.</w:t>
      </w:r>
    </w:p>
    <w:p w14:paraId="56CB61F5" w14:textId="77777777" w:rsidR="00952DCD" w:rsidRPr="003000C7" w:rsidRDefault="003000C7"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r w:rsidRPr="003000C7">
        <w:rPr>
          <w:rFonts w:ascii="Times New Roman" w:hAnsi="Times New Roman" w:cs="Times New Roman"/>
          <w:color w:val="222222"/>
          <w:sz w:val="24"/>
          <w:szCs w:val="24"/>
          <w:shd w:val="clear" w:color="auto" w:fill="FFFFFF"/>
        </w:rPr>
        <w:t xml:space="preserve">Bhattacharya, S. K., Bhattacharya, A., Sairam, K., &amp; Ghosal, S. (2000). Anxiolytic-antidepressant activity of </w:t>
      </w:r>
      <w:proofErr w:type="spellStart"/>
      <w:r w:rsidRPr="003000C7">
        <w:rPr>
          <w:rFonts w:ascii="Times New Roman" w:hAnsi="Times New Roman" w:cs="Times New Roman"/>
          <w:color w:val="222222"/>
          <w:sz w:val="24"/>
          <w:szCs w:val="24"/>
          <w:shd w:val="clear" w:color="auto" w:fill="FFFFFF"/>
        </w:rPr>
        <w:t>Withania</w:t>
      </w:r>
      <w:proofErr w:type="spellEnd"/>
      <w:r w:rsidRPr="003000C7">
        <w:rPr>
          <w:rFonts w:ascii="Times New Roman" w:hAnsi="Times New Roman" w:cs="Times New Roman"/>
          <w:color w:val="222222"/>
          <w:sz w:val="24"/>
          <w:szCs w:val="24"/>
          <w:shd w:val="clear" w:color="auto" w:fill="FFFFFF"/>
        </w:rPr>
        <w:t xml:space="preserve"> </w:t>
      </w:r>
      <w:proofErr w:type="spellStart"/>
      <w:r w:rsidRPr="003000C7">
        <w:rPr>
          <w:rFonts w:ascii="Times New Roman" w:hAnsi="Times New Roman" w:cs="Times New Roman"/>
          <w:color w:val="222222"/>
          <w:sz w:val="24"/>
          <w:szCs w:val="24"/>
          <w:shd w:val="clear" w:color="auto" w:fill="FFFFFF"/>
        </w:rPr>
        <w:t>somnifera</w:t>
      </w:r>
      <w:proofErr w:type="spellEnd"/>
      <w:r w:rsidRPr="003000C7">
        <w:rPr>
          <w:rFonts w:ascii="Times New Roman" w:hAnsi="Times New Roman" w:cs="Times New Roman"/>
          <w:color w:val="222222"/>
          <w:sz w:val="24"/>
          <w:szCs w:val="24"/>
          <w:shd w:val="clear" w:color="auto" w:fill="FFFFFF"/>
        </w:rPr>
        <w:t xml:space="preserve"> </w:t>
      </w:r>
      <w:proofErr w:type="spellStart"/>
      <w:r w:rsidRPr="003000C7">
        <w:rPr>
          <w:rFonts w:ascii="Times New Roman" w:hAnsi="Times New Roman" w:cs="Times New Roman"/>
          <w:color w:val="222222"/>
          <w:sz w:val="24"/>
          <w:szCs w:val="24"/>
          <w:shd w:val="clear" w:color="auto" w:fill="FFFFFF"/>
        </w:rPr>
        <w:t>glycowithanolides</w:t>
      </w:r>
      <w:proofErr w:type="spellEnd"/>
      <w:r w:rsidRPr="003000C7">
        <w:rPr>
          <w:rFonts w:ascii="Times New Roman" w:hAnsi="Times New Roman" w:cs="Times New Roman"/>
          <w:color w:val="222222"/>
          <w:sz w:val="24"/>
          <w:szCs w:val="24"/>
          <w:shd w:val="clear" w:color="auto" w:fill="FFFFFF"/>
        </w:rPr>
        <w:t>: an experimental study. </w:t>
      </w:r>
      <w:r w:rsidRPr="003000C7">
        <w:rPr>
          <w:rFonts w:ascii="Times New Roman" w:hAnsi="Times New Roman" w:cs="Times New Roman"/>
          <w:i/>
          <w:iCs/>
          <w:color w:val="222222"/>
          <w:sz w:val="24"/>
          <w:szCs w:val="24"/>
          <w:shd w:val="clear" w:color="auto" w:fill="FFFFFF"/>
        </w:rPr>
        <w:t>Phytomedicine</w:t>
      </w:r>
      <w:r w:rsidRPr="003000C7">
        <w:rPr>
          <w:rFonts w:ascii="Times New Roman" w:hAnsi="Times New Roman" w:cs="Times New Roman"/>
          <w:color w:val="222222"/>
          <w:sz w:val="24"/>
          <w:szCs w:val="24"/>
          <w:shd w:val="clear" w:color="auto" w:fill="FFFFFF"/>
        </w:rPr>
        <w:t>, </w:t>
      </w:r>
      <w:r w:rsidRPr="003000C7">
        <w:rPr>
          <w:rFonts w:ascii="Times New Roman" w:hAnsi="Times New Roman" w:cs="Times New Roman"/>
          <w:i/>
          <w:iCs/>
          <w:color w:val="222222"/>
          <w:sz w:val="24"/>
          <w:szCs w:val="24"/>
          <w:shd w:val="clear" w:color="auto" w:fill="FFFFFF"/>
        </w:rPr>
        <w:t>7</w:t>
      </w:r>
      <w:r w:rsidRPr="003000C7">
        <w:rPr>
          <w:rFonts w:ascii="Times New Roman" w:hAnsi="Times New Roman" w:cs="Times New Roman"/>
          <w:color w:val="222222"/>
          <w:sz w:val="24"/>
          <w:szCs w:val="24"/>
          <w:shd w:val="clear" w:color="auto" w:fill="FFFFFF"/>
        </w:rPr>
        <w:t>(6), 463-469.</w:t>
      </w:r>
    </w:p>
    <w:p w14:paraId="5379E419" w14:textId="77777777" w:rsidR="00952DCD" w:rsidRPr="003000C7" w:rsidRDefault="003000C7" w:rsidP="00235EA9">
      <w:pPr>
        <w:pStyle w:val="ListParagraph"/>
        <w:numPr>
          <w:ilvl w:val="0"/>
          <w:numId w:val="4"/>
        </w:numPr>
        <w:spacing w:before="240" w:after="0" w:line="240" w:lineRule="auto"/>
        <w:ind w:left="426"/>
        <w:jc w:val="both"/>
        <w:rPr>
          <w:rFonts w:ascii="Times New Roman" w:hAnsi="Times New Roman" w:cs="Times New Roman"/>
          <w:sz w:val="24"/>
          <w:szCs w:val="24"/>
          <w:lang w:val="en-US"/>
        </w:rPr>
      </w:pPr>
      <w:proofErr w:type="spellStart"/>
      <w:r w:rsidRPr="003000C7">
        <w:rPr>
          <w:rFonts w:ascii="Times New Roman" w:hAnsi="Times New Roman" w:cs="Times New Roman"/>
          <w:sz w:val="24"/>
          <w:szCs w:val="24"/>
        </w:rPr>
        <w:t>Kirtikar</w:t>
      </w:r>
      <w:proofErr w:type="spellEnd"/>
      <w:r w:rsidRPr="003000C7">
        <w:rPr>
          <w:rFonts w:ascii="Times New Roman" w:hAnsi="Times New Roman" w:cs="Times New Roman"/>
          <w:sz w:val="24"/>
          <w:szCs w:val="24"/>
        </w:rPr>
        <w:t xml:space="preserve">, K. R., &amp; Basu, B. D. (2001). </w:t>
      </w:r>
      <w:r w:rsidRPr="003000C7">
        <w:rPr>
          <w:rStyle w:val="Emphasis"/>
          <w:rFonts w:ascii="Times New Roman" w:hAnsi="Times New Roman" w:cs="Times New Roman"/>
          <w:sz w:val="24"/>
          <w:szCs w:val="24"/>
        </w:rPr>
        <w:t>Indian medicinal plants</w:t>
      </w:r>
      <w:r w:rsidRPr="003000C7">
        <w:rPr>
          <w:rFonts w:ascii="Times New Roman" w:hAnsi="Times New Roman" w:cs="Times New Roman"/>
          <w:sz w:val="24"/>
          <w:szCs w:val="24"/>
        </w:rPr>
        <w:t xml:space="preserve"> (Vol. 3). Dehradun, India: Bishen Singh Mahendra Pal Singh</w:t>
      </w:r>
      <w:r w:rsidR="00952DCD" w:rsidRPr="003000C7">
        <w:rPr>
          <w:rFonts w:ascii="Times New Roman" w:eastAsia="Times New Roman" w:hAnsi="Times New Roman" w:cs="Times New Roman"/>
          <w:sz w:val="24"/>
          <w:szCs w:val="24"/>
          <w:lang w:eastAsia="en-IN"/>
        </w:rPr>
        <w:t>.</w:t>
      </w:r>
    </w:p>
    <w:p w14:paraId="063062BC" w14:textId="77777777" w:rsidR="00952DCD" w:rsidRPr="003000C7" w:rsidRDefault="003000C7" w:rsidP="00235EA9">
      <w:pPr>
        <w:numPr>
          <w:ilvl w:val="0"/>
          <w:numId w:val="4"/>
        </w:numPr>
        <w:spacing w:before="240" w:after="0" w:afterAutospacing="1" w:line="240" w:lineRule="auto"/>
        <w:ind w:left="426"/>
        <w:contextualSpacing/>
        <w:jc w:val="both"/>
        <w:rPr>
          <w:rFonts w:ascii="Times New Roman" w:eastAsia="Times New Roman" w:hAnsi="Times New Roman" w:cs="Times New Roman"/>
          <w:sz w:val="24"/>
          <w:szCs w:val="24"/>
          <w:lang w:eastAsia="en-IN"/>
        </w:rPr>
      </w:pPr>
      <w:r w:rsidRPr="003000C7">
        <w:rPr>
          <w:rFonts w:ascii="Times New Roman" w:hAnsi="Times New Roman" w:cs="Times New Roman"/>
          <w:color w:val="222222"/>
          <w:sz w:val="24"/>
          <w:szCs w:val="24"/>
          <w:shd w:val="clear" w:color="auto" w:fill="FFFFFF"/>
        </w:rPr>
        <w:t>Spinella, M. (2002). The importance of pharmacological synergy in psychoactive herbal medicines. </w:t>
      </w:r>
      <w:r w:rsidRPr="003000C7">
        <w:rPr>
          <w:rFonts w:ascii="Times New Roman" w:hAnsi="Times New Roman" w:cs="Times New Roman"/>
          <w:i/>
          <w:iCs/>
          <w:color w:val="222222"/>
          <w:sz w:val="24"/>
          <w:szCs w:val="24"/>
          <w:shd w:val="clear" w:color="auto" w:fill="FFFFFF"/>
        </w:rPr>
        <w:t>Alternative Medicine Review</w:t>
      </w:r>
      <w:r w:rsidRPr="003000C7">
        <w:rPr>
          <w:rFonts w:ascii="Times New Roman" w:hAnsi="Times New Roman" w:cs="Times New Roman"/>
          <w:color w:val="222222"/>
          <w:sz w:val="24"/>
          <w:szCs w:val="24"/>
          <w:shd w:val="clear" w:color="auto" w:fill="FFFFFF"/>
        </w:rPr>
        <w:t>, </w:t>
      </w:r>
      <w:r w:rsidRPr="003000C7">
        <w:rPr>
          <w:rFonts w:ascii="Times New Roman" w:hAnsi="Times New Roman" w:cs="Times New Roman"/>
          <w:i/>
          <w:iCs/>
          <w:color w:val="222222"/>
          <w:sz w:val="24"/>
          <w:szCs w:val="24"/>
          <w:shd w:val="clear" w:color="auto" w:fill="FFFFFF"/>
        </w:rPr>
        <w:t>7</w:t>
      </w:r>
      <w:r w:rsidRPr="003000C7">
        <w:rPr>
          <w:rFonts w:ascii="Times New Roman" w:hAnsi="Times New Roman" w:cs="Times New Roman"/>
          <w:color w:val="222222"/>
          <w:sz w:val="24"/>
          <w:szCs w:val="24"/>
          <w:shd w:val="clear" w:color="auto" w:fill="FFFFFF"/>
        </w:rPr>
        <w:t>(2), 130-137.</w:t>
      </w:r>
    </w:p>
    <w:sectPr w:rsidR="00952DCD" w:rsidRPr="003000C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1F1E" w14:textId="77777777" w:rsidR="00610FE6" w:rsidRDefault="00610FE6" w:rsidP="002B2479">
      <w:pPr>
        <w:spacing w:after="0" w:line="240" w:lineRule="auto"/>
      </w:pPr>
      <w:r>
        <w:separator/>
      </w:r>
    </w:p>
  </w:endnote>
  <w:endnote w:type="continuationSeparator" w:id="0">
    <w:p w14:paraId="5F351E53" w14:textId="77777777" w:rsidR="00610FE6" w:rsidRDefault="00610FE6" w:rsidP="002B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F003" w14:textId="77777777" w:rsidR="002B2479" w:rsidRDefault="002B2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76BB" w14:textId="77777777" w:rsidR="002B2479" w:rsidRDefault="002B2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E033" w14:textId="77777777" w:rsidR="002B2479" w:rsidRDefault="002B2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06557" w14:textId="77777777" w:rsidR="00610FE6" w:rsidRDefault="00610FE6" w:rsidP="002B2479">
      <w:pPr>
        <w:spacing w:after="0" w:line="240" w:lineRule="auto"/>
      </w:pPr>
      <w:r>
        <w:separator/>
      </w:r>
    </w:p>
  </w:footnote>
  <w:footnote w:type="continuationSeparator" w:id="0">
    <w:p w14:paraId="7D15F5A1" w14:textId="77777777" w:rsidR="00610FE6" w:rsidRDefault="00610FE6" w:rsidP="002B2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7664" w14:textId="6D0C363A" w:rsidR="002B2479" w:rsidRDefault="002B2479">
    <w:pPr>
      <w:pStyle w:val="Header"/>
    </w:pPr>
    <w:r>
      <w:rPr>
        <w:noProof/>
      </w:rPr>
      <w:pict w14:anchorId="0AF4D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704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59A4" w14:textId="46504CC1" w:rsidR="002B2479" w:rsidRDefault="002B2479">
    <w:pPr>
      <w:pStyle w:val="Header"/>
    </w:pPr>
    <w:r>
      <w:rPr>
        <w:noProof/>
      </w:rPr>
      <w:pict w14:anchorId="6BB62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704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7CE3" w14:textId="5DDAAD46" w:rsidR="002B2479" w:rsidRDefault="002B2479">
    <w:pPr>
      <w:pStyle w:val="Header"/>
    </w:pPr>
    <w:r>
      <w:rPr>
        <w:noProof/>
      </w:rPr>
      <w:pict w14:anchorId="56358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704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86A67"/>
    <w:multiLevelType w:val="hybridMultilevel"/>
    <w:tmpl w:val="F1B68A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3B6D96"/>
    <w:multiLevelType w:val="hybridMultilevel"/>
    <w:tmpl w:val="A5903264"/>
    <w:lvl w:ilvl="0" w:tplc="43D24C6A">
      <w:numFmt w:val="bullet"/>
      <w:lvlText w:val="•"/>
      <w:lvlJc w:val="left"/>
      <w:pPr>
        <w:ind w:left="1212" w:hanging="360"/>
      </w:pPr>
      <w:rPr>
        <w:rFonts w:ascii="Times New Roman" w:eastAsia="Times New Roman" w:hAnsi="Times New Roman" w:cs="Times New Roman"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50BB4ECC"/>
    <w:multiLevelType w:val="multilevel"/>
    <w:tmpl w:val="E028F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1241A05"/>
    <w:multiLevelType w:val="multilevel"/>
    <w:tmpl w:val="E40C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2625D"/>
    <w:multiLevelType w:val="hybridMultilevel"/>
    <w:tmpl w:val="8FE8232A"/>
    <w:lvl w:ilvl="0" w:tplc="646E658C">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554A00"/>
    <w:multiLevelType w:val="multilevel"/>
    <w:tmpl w:val="389A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0F"/>
    <w:rsid w:val="000004BE"/>
    <w:rsid w:val="0001263A"/>
    <w:rsid w:val="00030477"/>
    <w:rsid w:val="000849EB"/>
    <w:rsid w:val="000E5E0F"/>
    <w:rsid w:val="00111AB8"/>
    <w:rsid w:val="00114E28"/>
    <w:rsid w:val="0014619B"/>
    <w:rsid w:val="00193924"/>
    <w:rsid w:val="001B73B6"/>
    <w:rsid w:val="001F4984"/>
    <w:rsid w:val="001F5FF0"/>
    <w:rsid w:val="00235EA9"/>
    <w:rsid w:val="002607C0"/>
    <w:rsid w:val="00260FF3"/>
    <w:rsid w:val="00272D55"/>
    <w:rsid w:val="002A4E97"/>
    <w:rsid w:val="002B2479"/>
    <w:rsid w:val="002E7626"/>
    <w:rsid w:val="002F2728"/>
    <w:rsid w:val="003000C7"/>
    <w:rsid w:val="003145C3"/>
    <w:rsid w:val="00327771"/>
    <w:rsid w:val="00343346"/>
    <w:rsid w:val="003D062A"/>
    <w:rsid w:val="00437FC2"/>
    <w:rsid w:val="004E5D8F"/>
    <w:rsid w:val="0052136E"/>
    <w:rsid w:val="00524B99"/>
    <w:rsid w:val="00530121"/>
    <w:rsid w:val="00534445"/>
    <w:rsid w:val="0053575F"/>
    <w:rsid w:val="00574B04"/>
    <w:rsid w:val="005A27A9"/>
    <w:rsid w:val="00610FE6"/>
    <w:rsid w:val="00612B90"/>
    <w:rsid w:val="00625275"/>
    <w:rsid w:val="006B4432"/>
    <w:rsid w:val="009034B2"/>
    <w:rsid w:val="00952DCD"/>
    <w:rsid w:val="00965EEE"/>
    <w:rsid w:val="009710AB"/>
    <w:rsid w:val="009D3A04"/>
    <w:rsid w:val="00B73552"/>
    <w:rsid w:val="00BC2E45"/>
    <w:rsid w:val="00BF5FE0"/>
    <w:rsid w:val="00C11E27"/>
    <w:rsid w:val="00CB36AC"/>
    <w:rsid w:val="00CE2229"/>
    <w:rsid w:val="00D21339"/>
    <w:rsid w:val="00D3315D"/>
    <w:rsid w:val="00D7295E"/>
    <w:rsid w:val="00DB2FB6"/>
    <w:rsid w:val="00DC6379"/>
    <w:rsid w:val="00E52804"/>
    <w:rsid w:val="00E62E75"/>
    <w:rsid w:val="00EF45CA"/>
    <w:rsid w:val="00FA53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45279C"/>
  <w15:chartTrackingRefBased/>
  <w15:docId w15:val="{C3048CDD-121D-4269-8417-3D57083D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E0F"/>
    <w:rPr>
      <w:kern w:val="2"/>
      <w14:ligatures w14:val="standardContextual"/>
    </w:rPr>
  </w:style>
  <w:style w:type="paragraph" w:styleId="Heading3">
    <w:name w:val="heading 3"/>
    <w:basedOn w:val="Normal"/>
    <w:link w:val="Heading3Char"/>
    <w:uiPriority w:val="9"/>
    <w:qFormat/>
    <w:rsid w:val="000E5E0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0E5E0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0F"/>
    <w:pPr>
      <w:ind w:left="720"/>
      <w:contextualSpacing/>
    </w:pPr>
  </w:style>
  <w:style w:type="table" w:styleId="TableGrid">
    <w:name w:val="Table Grid"/>
    <w:basedOn w:val="TableNormal"/>
    <w:uiPriority w:val="39"/>
    <w:rsid w:val="000E5E0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5E0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rsid w:val="000E5E0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E5E0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0E5E0F"/>
    <w:rPr>
      <w:b/>
      <w:bCs/>
    </w:rPr>
  </w:style>
  <w:style w:type="character" w:styleId="Emphasis">
    <w:name w:val="Emphasis"/>
    <w:basedOn w:val="DefaultParagraphFont"/>
    <w:uiPriority w:val="20"/>
    <w:qFormat/>
    <w:rsid w:val="000E5E0F"/>
    <w:rPr>
      <w:i/>
      <w:iCs/>
    </w:rPr>
  </w:style>
  <w:style w:type="character" w:styleId="Hyperlink">
    <w:name w:val="Hyperlink"/>
    <w:basedOn w:val="DefaultParagraphFont"/>
    <w:uiPriority w:val="99"/>
    <w:unhideWhenUsed/>
    <w:rsid w:val="0052136E"/>
    <w:rPr>
      <w:color w:val="0000FF"/>
      <w:u w:val="single"/>
    </w:rPr>
  </w:style>
  <w:style w:type="character" w:customStyle="1" w:styleId="given-name">
    <w:name w:val="given-name"/>
    <w:basedOn w:val="DefaultParagraphFont"/>
    <w:rsid w:val="0052136E"/>
  </w:style>
  <w:style w:type="character" w:customStyle="1" w:styleId="text">
    <w:name w:val="text"/>
    <w:basedOn w:val="DefaultParagraphFont"/>
    <w:rsid w:val="0052136E"/>
  </w:style>
  <w:style w:type="character" w:customStyle="1" w:styleId="title-text">
    <w:name w:val="title-text"/>
    <w:basedOn w:val="DefaultParagraphFont"/>
    <w:rsid w:val="0052136E"/>
  </w:style>
  <w:style w:type="paragraph" w:styleId="Header">
    <w:name w:val="header"/>
    <w:basedOn w:val="Normal"/>
    <w:link w:val="HeaderChar"/>
    <w:uiPriority w:val="99"/>
    <w:unhideWhenUsed/>
    <w:rsid w:val="002B2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479"/>
    <w:rPr>
      <w:kern w:val="2"/>
      <w14:ligatures w14:val="standardContextual"/>
    </w:rPr>
  </w:style>
  <w:style w:type="paragraph" w:styleId="Footer">
    <w:name w:val="footer"/>
    <w:basedOn w:val="Normal"/>
    <w:link w:val="FooterChar"/>
    <w:uiPriority w:val="99"/>
    <w:unhideWhenUsed/>
    <w:rsid w:val="002B2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47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232726">
      <w:bodyDiv w:val="1"/>
      <w:marLeft w:val="0"/>
      <w:marRight w:val="0"/>
      <w:marTop w:val="0"/>
      <w:marBottom w:val="0"/>
      <w:divBdr>
        <w:top w:val="none" w:sz="0" w:space="0" w:color="auto"/>
        <w:left w:val="none" w:sz="0" w:space="0" w:color="auto"/>
        <w:bottom w:val="none" w:sz="0" w:space="0" w:color="auto"/>
        <w:right w:val="none" w:sz="0" w:space="0" w:color="auto"/>
      </w:divBdr>
    </w:div>
    <w:div w:id="13610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10</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ARACOPNEW</dc:creator>
  <cp:keywords/>
  <dc:description/>
  <cp:lastModifiedBy>SDI 1180</cp:lastModifiedBy>
  <cp:revision>37</cp:revision>
  <dcterms:created xsi:type="dcterms:W3CDTF">2025-06-17T11:10:00Z</dcterms:created>
  <dcterms:modified xsi:type="dcterms:W3CDTF">2025-07-18T07:20:00Z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30f1158d-55dc-44fe-9329-55e2b9f915a1</vt:lpwstr>
  </property>
</Properties>
</file>