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003" w:rsidRDefault="00452EDB">
      <w:pPr>
        <w:jc w:val="center"/>
        <w:rPr>
          <w:rFonts w:ascii="Arial" w:eastAsia="Arial" w:hAnsi="Arial" w:cs="Arial"/>
          <w:b/>
          <w:sz w:val="20"/>
          <w:szCs w:val="20"/>
        </w:rPr>
      </w:pPr>
      <w:r>
        <w:rPr>
          <w:rFonts w:ascii="Arial" w:eastAsia="Arial" w:hAnsi="Arial" w:cs="Arial"/>
          <w:b/>
          <w:sz w:val="20"/>
          <w:szCs w:val="20"/>
        </w:rPr>
        <w:t xml:space="preserve">STUDIES ON THE INCIDENCE AND MANAGEMENT OF THRIPS, </w:t>
      </w:r>
      <w:r>
        <w:rPr>
          <w:rFonts w:ascii="Arial" w:eastAsia="Arial" w:hAnsi="Arial" w:cs="Arial"/>
          <w:b/>
          <w:i/>
          <w:sz w:val="20"/>
          <w:szCs w:val="20"/>
        </w:rPr>
        <w:t xml:space="preserve">SCIRTOTHRIPS DORSALIS </w:t>
      </w:r>
      <w:r>
        <w:rPr>
          <w:rFonts w:ascii="Arial" w:eastAsia="Arial" w:hAnsi="Arial" w:cs="Arial"/>
          <w:b/>
          <w:sz w:val="20"/>
          <w:szCs w:val="20"/>
        </w:rPr>
        <w:t>IN RABI GROUNDNUT</w:t>
      </w:r>
    </w:p>
    <w:p w:rsidR="00C14003" w:rsidRDefault="00452EDB">
      <w:pPr>
        <w:pBdr>
          <w:top w:val="nil"/>
          <w:left w:val="nil"/>
          <w:bottom w:val="nil"/>
          <w:right w:val="nil"/>
          <w:between w:val="nil"/>
        </w:pBdr>
        <w:spacing w:before="280" w:after="280" w:line="360" w:lineRule="auto"/>
        <w:jc w:val="both"/>
        <w:rPr>
          <w:rFonts w:ascii="Arial" w:eastAsia="Arial" w:hAnsi="Arial" w:cs="Arial"/>
          <w:b/>
          <w:color w:val="000000"/>
          <w:sz w:val="20"/>
          <w:szCs w:val="20"/>
        </w:rPr>
      </w:pPr>
      <w:r>
        <w:rPr>
          <w:rFonts w:ascii="Arial" w:eastAsia="Arial" w:hAnsi="Arial" w:cs="Arial"/>
          <w:b/>
          <w:color w:val="000000"/>
          <w:sz w:val="20"/>
          <w:szCs w:val="20"/>
          <w:highlight w:val="white"/>
        </w:rPr>
        <w:t>ABSTRACT</w:t>
      </w:r>
    </w:p>
    <w:p w:rsidR="00C14003" w:rsidRDefault="00452EDB">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In the 2021-22 </w:t>
      </w:r>
      <w:proofErr w:type="spellStart"/>
      <w:r>
        <w:rPr>
          <w:rFonts w:ascii="Arial" w:eastAsia="Arial" w:hAnsi="Arial" w:cs="Arial"/>
          <w:color w:val="000000"/>
          <w:sz w:val="20"/>
          <w:szCs w:val="20"/>
        </w:rPr>
        <w:t>rabi</w:t>
      </w:r>
      <w:proofErr w:type="spellEnd"/>
      <w:r>
        <w:rPr>
          <w:rFonts w:ascii="Arial" w:eastAsia="Arial" w:hAnsi="Arial" w:cs="Arial"/>
          <w:color w:val="000000"/>
          <w:sz w:val="20"/>
          <w:szCs w:val="20"/>
        </w:rPr>
        <w:t xml:space="preserve"> season,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incidence on groundnut was monitored weekly from 15 days after sowing (DAS) to harvest, revealing initial damage of 14.90%, which peaked at 97.05% by the 6th standard week (SW). Correlation analysis showed a significant p</w:t>
      </w:r>
      <w:r>
        <w:rPr>
          <w:rFonts w:ascii="Arial" w:eastAsia="Arial" w:hAnsi="Arial" w:cs="Arial"/>
          <w:color w:val="000000"/>
          <w:sz w:val="20"/>
          <w:szCs w:val="20"/>
        </w:rPr>
        <w:t xml:space="preserve">ositive association between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 and foliar damage (r =0.84), with further correlations in the 1-lag week (r =0.85) and 2-lag week (r =0.92). Environmental factors also impacted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incidence, with maximum temperature showing a strong posit</w:t>
      </w:r>
      <w:r>
        <w:rPr>
          <w:rFonts w:ascii="Arial" w:eastAsia="Arial" w:hAnsi="Arial" w:cs="Arial"/>
          <w:color w:val="000000"/>
          <w:sz w:val="20"/>
          <w:szCs w:val="20"/>
        </w:rPr>
        <w:t xml:space="preserve">ive correlation (r=0.71) and evening relative humidity negatively correlating (r=-0.65). Three management modules were evaluated: </w:t>
      </w: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Chemical module, utilizing Cyantraniliprole, achieved the lowest damage at 33.04%, while the Eco-friendly module averaged </w:t>
      </w:r>
      <w:r>
        <w:rPr>
          <w:rFonts w:ascii="Arial" w:eastAsia="Arial" w:hAnsi="Arial" w:cs="Arial"/>
          <w:color w:val="000000"/>
          <w:sz w:val="20"/>
          <w:szCs w:val="20"/>
        </w:rPr>
        <w:t>43.72%, promoting beneficial natural enemies such as coccinellids and</w:t>
      </w:r>
      <w:bookmarkStart w:id="0" w:name="_GoBack"/>
      <w:bookmarkEnd w:id="0"/>
      <w:r>
        <w:rPr>
          <w:rFonts w:ascii="Arial" w:eastAsia="Arial" w:hAnsi="Arial" w:cs="Arial"/>
          <w:color w:val="000000"/>
          <w:sz w:val="20"/>
          <w:szCs w:val="20"/>
        </w:rPr>
        <w:t xml:space="preserve"> spiders. In contrast, the Untreated Control suffered the highest damage at 74.05%. These findings highlight the effectiveness of integrated pest management strategies in controlling </w:t>
      </w:r>
      <w:proofErr w:type="spellStart"/>
      <w:r>
        <w:rPr>
          <w:rFonts w:ascii="Arial" w:eastAsia="Arial" w:hAnsi="Arial" w:cs="Arial"/>
          <w:color w:val="000000"/>
          <w:sz w:val="20"/>
          <w:szCs w:val="20"/>
        </w:rPr>
        <w:t>thri</w:t>
      </w:r>
      <w:r>
        <w:rPr>
          <w:rFonts w:ascii="Arial" w:eastAsia="Arial" w:hAnsi="Arial" w:cs="Arial"/>
          <w:color w:val="000000"/>
          <w:sz w:val="20"/>
          <w:szCs w:val="20"/>
        </w:rPr>
        <w:t>ps</w:t>
      </w:r>
      <w:proofErr w:type="spellEnd"/>
      <w:r>
        <w:rPr>
          <w:rFonts w:ascii="Arial" w:eastAsia="Arial" w:hAnsi="Arial" w:cs="Arial"/>
          <w:color w:val="000000"/>
          <w:sz w:val="20"/>
          <w:szCs w:val="20"/>
        </w:rPr>
        <w:t xml:space="preserve"> populations while considering environmental sustainability.</w:t>
      </w:r>
    </w:p>
    <w:p w:rsidR="00C14003" w:rsidRDefault="00452EDB">
      <w:pPr>
        <w:pBdr>
          <w:top w:val="nil"/>
          <w:left w:val="nil"/>
          <w:bottom w:val="nil"/>
          <w:right w:val="nil"/>
          <w:between w:val="nil"/>
        </w:pBdr>
        <w:spacing w:before="280" w:after="280" w:line="360" w:lineRule="auto"/>
        <w:jc w:val="both"/>
        <w:rPr>
          <w:rFonts w:ascii="Arial" w:eastAsia="Arial" w:hAnsi="Arial" w:cs="Arial"/>
          <w:b/>
          <w:color w:val="000000"/>
          <w:sz w:val="20"/>
          <w:szCs w:val="20"/>
        </w:rPr>
      </w:pPr>
      <w:r>
        <w:rPr>
          <w:rFonts w:ascii="Arial" w:eastAsia="Arial" w:hAnsi="Arial" w:cs="Arial"/>
          <w:b/>
          <w:color w:val="000000"/>
          <w:sz w:val="20"/>
          <w:szCs w:val="20"/>
        </w:rPr>
        <w:t>INTRODUCTION</w:t>
      </w:r>
    </w:p>
    <w:p w:rsidR="00C14003" w:rsidRDefault="00452EDB">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t>Groundnut (</w:t>
      </w:r>
      <w:proofErr w:type="spellStart"/>
      <w:r>
        <w:rPr>
          <w:rFonts w:ascii="Arial" w:eastAsia="Arial" w:hAnsi="Arial" w:cs="Arial"/>
          <w:i/>
          <w:color w:val="000000"/>
          <w:sz w:val="20"/>
          <w:szCs w:val="20"/>
        </w:rPr>
        <w:t>Arachis</w:t>
      </w:r>
      <w:proofErr w:type="spellEnd"/>
      <w:r>
        <w:rPr>
          <w:rFonts w:ascii="Arial" w:eastAsia="Arial" w:hAnsi="Arial" w:cs="Arial"/>
          <w:i/>
          <w:color w:val="000000"/>
          <w:sz w:val="20"/>
          <w:szCs w:val="20"/>
        </w:rPr>
        <w:t xml:space="preserve"> hypogea</w:t>
      </w:r>
      <w:r>
        <w:rPr>
          <w:rFonts w:ascii="Arial" w:eastAsia="Arial" w:hAnsi="Arial" w:cs="Arial"/>
          <w:color w:val="000000"/>
          <w:sz w:val="20"/>
          <w:szCs w:val="20"/>
        </w:rPr>
        <w:t xml:space="preserve"> L.), commonly known as peanut, is a vital legume crop in the Fabaceae family, valued for its underground pods and high nutritional content. The name </w:t>
      </w:r>
      <w:proofErr w:type="spellStart"/>
      <w:r>
        <w:rPr>
          <w:rFonts w:ascii="Arial" w:eastAsia="Arial" w:hAnsi="Arial" w:cs="Arial"/>
          <w:i/>
          <w:color w:val="000000"/>
          <w:sz w:val="20"/>
          <w:szCs w:val="20"/>
        </w:rPr>
        <w:t>Arac</w:t>
      </w:r>
      <w:r>
        <w:rPr>
          <w:rFonts w:ascii="Arial" w:eastAsia="Arial" w:hAnsi="Arial" w:cs="Arial"/>
          <w:i/>
          <w:color w:val="000000"/>
          <w:sz w:val="20"/>
          <w:szCs w:val="20"/>
        </w:rPr>
        <w:t>his</w:t>
      </w:r>
      <w:proofErr w:type="spellEnd"/>
      <w:r>
        <w:rPr>
          <w:rFonts w:ascii="Arial" w:eastAsia="Arial" w:hAnsi="Arial" w:cs="Arial"/>
          <w:i/>
          <w:color w:val="000000"/>
          <w:sz w:val="20"/>
          <w:szCs w:val="20"/>
        </w:rPr>
        <w:t xml:space="preserve"> hypogea</w:t>
      </w:r>
      <w:r>
        <w:rPr>
          <w:rFonts w:ascii="Arial" w:eastAsia="Arial" w:hAnsi="Arial" w:cs="Arial"/>
          <w:color w:val="000000"/>
          <w:sz w:val="20"/>
          <w:szCs w:val="20"/>
        </w:rPr>
        <w:t xml:space="preserve"> derives from Greek, meaning "legume" and "below ground." Originating from South America, groundnut ranks as the fourth-largest source of edible oil and third-largest source of vegetable protein worldwide. It is rich in essential nutrients, incl</w:t>
      </w:r>
      <w:r>
        <w:rPr>
          <w:rFonts w:ascii="Arial" w:eastAsia="Arial" w:hAnsi="Arial" w:cs="Arial"/>
          <w:color w:val="000000"/>
          <w:sz w:val="20"/>
          <w:szCs w:val="20"/>
        </w:rPr>
        <w:t xml:space="preserve">uding proteins (25-28%), oils (43-45%), and vitamins such as B, E, and K, making it crucial for human consumption, animal feed, and industrial applications. Globally, groundnut is cultivated on 29.93 million hectares, producing 55.30 million tonnes with a </w:t>
      </w:r>
      <w:r>
        <w:rPr>
          <w:rFonts w:ascii="Arial" w:eastAsia="Arial" w:hAnsi="Arial" w:cs="Arial"/>
          <w:color w:val="000000"/>
          <w:sz w:val="20"/>
          <w:szCs w:val="20"/>
        </w:rPr>
        <w:t>productivity of 1851 kg/ha (FAO, 2021). India is a major producer, with 6.09 million hectares under cultivation, yielding 10.21 million tonnes annually. Andhra Pradesh plays a key role, with 8.69 lakh hectares cultivated, yielding 7.74 million tonnes, thou</w:t>
      </w:r>
      <w:r>
        <w:rPr>
          <w:rFonts w:ascii="Arial" w:eastAsia="Arial" w:hAnsi="Arial" w:cs="Arial"/>
          <w:color w:val="000000"/>
          <w:sz w:val="20"/>
          <w:szCs w:val="20"/>
        </w:rPr>
        <w:t>gh yields are constrained by rainfed farming and pest infestations (Directorate of Economics and Statistics, 2021).</w:t>
      </w:r>
    </w:p>
    <w:p w:rsidR="00C14003" w:rsidRDefault="00452EDB">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bookmarkStart w:id="1" w:name="_3vasmqqc91ac" w:colFirst="0" w:colLast="0"/>
      <w:bookmarkEnd w:id="1"/>
      <w:r>
        <w:rPr>
          <w:rFonts w:ascii="Arial" w:eastAsia="Arial" w:hAnsi="Arial" w:cs="Arial"/>
          <w:color w:val="000000"/>
          <w:sz w:val="20"/>
          <w:szCs w:val="20"/>
        </w:rPr>
        <w:t xml:space="preserve">Among the pests that affect groundnut, sucking pests like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w:t>
      </w:r>
      <w:proofErr w:type="spellStart"/>
      <w:r>
        <w:rPr>
          <w:rFonts w:ascii="Arial" w:eastAsia="Arial" w:hAnsi="Arial" w:cs="Arial"/>
          <w:i/>
          <w:color w:val="000000"/>
          <w:sz w:val="20"/>
          <w:szCs w:val="20"/>
        </w:rPr>
        <w:t>Scirtothrips</w:t>
      </w:r>
      <w:proofErr w:type="spellEnd"/>
      <w:r>
        <w:rPr>
          <w:rFonts w:ascii="Arial" w:eastAsia="Arial" w:hAnsi="Arial" w:cs="Arial"/>
          <w:i/>
          <w:color w:val="000000"/>
          <w:sz w:val="20"/>
          <w:szCs w:val="20"/>
        </w:rPr>
        <w:t xml:space="preserve"> dorsalis</w:t>
      </w:r>
      <w:r>
        <w:rPr>
          <w:rFonts w:ascii="Arial" w:eastAsia="Arial" w:hAnsi="Arial" w:cs="Arial"/>
          <w:color w:val="000000"/>
          <w:sz w:val="20"/>
          <w:szCs w:val="20"/>
        </w:rPr>
        <w:t xml:space="preserve">, </w:t>
      </w:r>
      <w:proofErr w:type="spellStart"/>
      <w:r>
        <w:rPr>
          <w:rFonts w:ascii="Arial" w:eastAsia="Arial" w:hAnsi="Arial" w:cs="Arial"/>
          <w:i/>
          <w:color w:val="000000"/>
          <w:sz w:val="20"/>
          <w:szCs w:val="20"/>
        </w:rPr>
        <w:t>Frankliniella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schultzei</w:t>
      </w:r>
      <w:proofErr w:type="spellEnd"/>
      <w:r>
        <w:rPr>
          <w:rFonts w:ascii="Arial" w:eastAsia="Arial" w:hAnsi="Arial" w:cs="Arial"/>
          <w:color w:val="000000"/>
          <w:sz w:val="20"/>
          <w:szCs w:val="20"/>
        </w:rPr>
        <w:t xml:space="preserve">, </w:t>
      </w:r>
      <w:proofErr w:type="spellStart"/>
      <w:r>
        <w:rPr>
          <w:rFonts w:ascii="Arial" w:eastAsia="Arial" w:hAnsi="Arial" w:cs="Arial"/>
          <w:i/>
          <w:color w:val="000000"/>
          <w:sz w:val="20"/>
          <w:szCs w:val="20"/>
        </w:rPr>
        <w:t>Thrips</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palmi</w:t>
      </w:r>
      <w:proofErr w:type="spellEnd"/>
      <w:r>
        <w:rPr>
          <w:rFonts w:ascii="Arial" w:eastAsia="Arial" w:hAnsi="Arial" w:cs="Arial"/>
          <w:color w:val="000000"/>
          <w:sz w:val="20"/>
          <w:szCs w:val="20"/>
        </w:rPr>
        <w:t>) are particul</w:t>
      </w:r>
      <w:r>
        <w:rPr>
          <w:rFonts w:ascii="Arial" w:eastAsia="Arial" w:hAnsi="Arial" w:cs="Arial"/>
          <w:color w:val="000000"/>
          <w:sz w:val="20"/>
          <w:szCs w:val="20"/>
        </w:rPr>
        <w:t xml:space="preserve">arly damaging.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feed by rasping leaf surfaces and sucking sap, stunting plant growth and distorting leaves. They are also </w:t>
      </w:r>
      <w:proofErr w:type="gramStart"/>
      <w:r>
        <w:rPr>
          <w:rFonts w:ascii="Arial" w:eastAsia="Arial" w:hAnsi="Arial" w:cs="Arial"/>
          <w:color w:val="000000"/>
          <w:sz w:val="20"/>
          <w:szCs w:val="20"/>
        </w:rPr>
        <w:t>vectors</w:t>
      </w:r>
      <w:proofErr w:type="gramEnd"/>
      <w:r>
        <w:rPr>
          <w:rFonts w:ascii="Arial" w:eastAsia="Arial" w:hAnsi="Arial" w:cs="Arial"/>
          <w:color w:val="000000"/>
          <w:sz w:val="20"/>
          <w:szCs w:val="20"/>
        </w:rPr>
        <w:t xml:space="preserve"> for viral diseases, such as bud necrosis, which caused significant losses in Andhra Pradesh Anantapur district (Rao et a</w:t>
      </w:r>
      <w:r>
        <w:rPr>
          <w:rFonts w:ascii="Arial" w:eastAsia="Arial" w:hAnsi="Arial" w:cs="Arial"/>
          <w:color w:val="000000"/>
          <w:sz w:val="20"/>
          <w:szCs w:val="20"/>
        </w:rPr>
        <w:t xml:space="preserve">l., 2003). Given the growing threat of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effective management strategies are critical. Weather parameters such as temperature, humidity, and rainfall influence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populations, necessitating Integrated Pest Management (IPM) strategies. This study </w:t>
      </w:r>
      <w:r>
        <w:rPr>
          <w:rFonts w:ascii="Arial" w:eastAsia="Arial" w:hAnsi="Arial" w:cs="Arial"/>
          <w:color w:val="000000"/>
          <w:sz w:val="20"/>
          <w:szCs w:val="20"/>
        </w:rPr>
        <w:t>aims to compare eco-friendly and chemical control methods to develop sustainable, cost-effective pest management practices, ensuring stable groundnut production and contributing to food security.</w:t>
      </w:r>
    </w:p>
    <w:p w:rsidR="00C14003" w:rsidRDefault="00452EDB">
      <w:pPr>
        <w:spacing w:line="360" w:lineRule="auto"/>
        <w:rPr>
          <w:rFonts w:ascii="Arial" w:eastAsia="Arial" w:hAnsi="Arial" w:cs="Arial"/>
          <w:b/>
          <w:sz w:val="20"/>
          <w:szCs w:val="20"/>
        </w:rPr>
      </w:pPr>
      <w:r>
        <w:rPr>
          <w:rFonts w:ascii="Arial" w:eastAsia="Arial" w:hAnsi="Arial" w:cs="Arial"/>
          <w:b/>
          <w:sz w:val="20"/>
          <w:szCs w:val="20"/>
        </w:rPr>
        <w:t>MATERIAL AND METHODS</w:t>
      </w:r>
    </w:p>
    <w:p w:rsidR="00C14003" w:rsidRDefault="00452EDB">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Two field experiments were conducted du</w:t>
      </w:r>
      <w:r>
        <w:rPr>
          <w:rFonts w:ascii="Arial" w:eastAsia="Arial" w:hAnsi="Arial" w:cs="Arial"/>
          <w:color w:val="000000"/>
          <w:sz w:val="20"/>
          <w:szCs w:val="20"/>
        </w:rPr>
        <w:t xml:space="preserve">ring the 2021-22 </w:t>
      </w:r>
      <w:proofErr w:type="spellStart"/>
      <w:r>
        <w:rPr>
          <w:rFonts w:ascii="Arial" w:eastAsia="Arial" w:hAnsi="Arial" w:cs="Arial"/>
          <w:color w:val="000000"/>
          <w:sz w:val="20"/>
          <w:szCs w:val="20"/>
        </w:rPr>
        <w:t>rabi</w:t>
      </w:r>
      <w:proofErr w:type="spellEnd"/>
      <w:r>
        <w:rPr>
          <w:rFonts w:ascii="Arial" w:eastAsia="Arial" w:hAnsi="Arial" w:cs="Arial"/>
          <w:color w:val="000000"/>
          <w:sz w:val="20"/>
          <w:szCs w:val="20"/>
        </w:rPr>
        <w:t xml:space="preserve"> season at S.V. Agricultural College, Tirupati (13°37’35’’ N, 79°21’52’’ E), to examine the incidence of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w:t>
      </w:r>
      <w:proofErr w:type="spellStart"/>
      <w:r>
        <w:rPr>
          <w:rFonts w:ascii="Arial" w:eastAsia="Arial" w:hAnsi="Arial" w:cs="Arial"/>
          <w:i/>
          <w:color w:val="000000"/>
          <w:sz w:val="20"/>
          <w:szCs w:val="20"/>
        </w:rPr>
        <w:t>Scirtothrips</w:t>
      </w:r>
      <w:proofErr w:type="spellEnd"/>
      <w:r>
        <w:rPr>
          <w:rFonts w:ascii="Arial" w:eastAsia="Arial" w:hAnsi="Arial" w:cs="Arial"/>
          <w:i/>
          <w:color w:val="000000"/>
          <w:sz w:val="20"/>
          <w:szCs w:val="20"/>
        </w:rPr>
        <w:t xml:space="preserve"> dorsalis</w:t>
      </w:r>
      <w:r>
        <w:rPr>
          <w:rFonts w:ascii="Arial" w:eastAsia="Arial" w:hAnsi="Arial" w:cs="Arial"/>
          <w:color w:val="000000"/>
          <w:sz w:val="20"/>
          <w:szCs w:val="20"/>
        </w:rPr>
        <w:t xml:space="preserve"> in groundnut under varying climatic conditions and to evaluate the efficacy of different pest manage</w:t>
      </w:r>
      <w:r>
        <w:rPr>
          <w:rFonts w:ascii="Arial" w:eastAsia="Arial" w:hAnsi="Arial" w:cs="Arial"/>
          <w:color w:val="000000"/>
          <w:sz w:val="20"/>
          <w:szCs w:val="20"/>
        </w:rPr>
        <w:t xml:space="preserve">ment approaches. In the first experiment, a randomized complete block design with three replications was used to monitor </w:t>
      </w:r>
      <w:r>
        <w:rPr>
          <w:rFonts w:ascii="Arial" w:eastAsia="Arial" w:hAnsi="Arial" w:cs="Arial"/>
          <w:i/>
          <w:color w:val="000000"/>
          <w:sz w:val="20"/>
          <w:szCs w:val="20"/>
        </w:rPr>
        <w:t>S. dorsalis</w:t>
      </w:r>
      <w:r>
        <w:rPr>
          <w:rFonts w:ascii="Arial" w:eastAsia="Arial" w:hAnsi="Arial" w:cs="Arial"/>
          <w:color w:val="000000"/>
          <w:sz w:val="20"/>
          <w:szCs w:val="20"/>
        </w:rPr>
        <w:t xml:space="preserve"> populations and damage symptoms on the Dharani groundnut variety. Sown at 80 kg/ha with a 22.5 x 10 cm spacing, the crop wa</w:t>
      </w:r>
      <w:r>
        <w:rPr>
          <w:rFonts w:ascii="Arial" w:eastAsia="Arial" w:hAnsi="Arial" w:cs="Arial"/>
          <w:color w:val="000000"/>
          <w:sz w:val="20"/>
          <w:szCs w:val="20"/>
        </w:rPr>
        <w:t xml:space="preserve">s monitored weekly throughout the season (7:00–9:00 a.m.) from seedling emergence to harvest, with standard agronomic practices excluding insecticides.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populations were counted on five leaves per plant (two upper, two middle, one lower) from five ra</w:t>
      </w:r>
      <w:r>
        <w:rPr>
          <w:rFonts w:ascii="Arial" w:eastAsia="Arial" w:hAnsi="Arial" w:cs="Arial"/>
          <w:color w:val="000000"/>
          <w:sz w:val="20"/>
          <w:szCs w:val="20"/>
        </w:rPr>
        <w:t xml:space="preserve">ndomly selected plants per plot following Bhatt and </w:t>
      </w:r>
      <w:proofErr w:type="spellStart"/>
      <w:r>
        <w:rPr>
          <w:rFonts w:ascii="Arial" w:eastAsia="Arial" w:hAnsi="Arial" w:cs="Arial"/>
          <w:color w:val="000000"/>
          <w:sz w:val="20"/>
          <w:szCs w:val="20"/>
        </w:rPr>
        <w:t>Karnatak</w:t>
      </w:r>
      <w:proofErr w:type="spellEnd"/>
      <w:r>
        <w:rPr>
          <w:rFonts w:ascii="Arial" w:eastAsia="Arial" w:hAnsi="Arial" w:cs="Arial"/>
          <w:color w:val="000000"/>
          <w:sz w:val="20"/>
          <w:szCs w:val="20"/>
        </w:rPr>
        <w:t xml:space="preserve"> (2018). Damage indicators, such as scratches, mottling, pale spots, and leaflet elongation, were recorded. Data on natural predators like coccinellid beetles and spiders were also collected from </w:t>
      </w:r>
      <w:r>
        <w:rPr>
          <w:rFonts w:ascii="Arial" w:eastAsia="Arial" w:hAnsi="Arial" w:cs="Arial"/>
          <w:color w:val="000000"/>
          <w:sz w:val="20"/>
          <w:szCs w:val="20"/>
        </w:rPr>
        <w:t xml:space="preserve">each square meter, with life stages (grub, pupa, and adult) noted. Weekly meteorological data on temperature, humidity, and rainfall were gathered to analyse the climatic impact on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populations.</w:t>
      </w:r>
    </w:p>
    <w:p w:rsidR="00C14003" w:rsidRDefault="00452EDB">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The second experiment assessed three Integrated Pest Ma</w:t>
      </w:r>
      <w:r>
        <w:rPr>
          <w:rFonts w:ascii="Arial" w:eastAsia="Arial" w:hAnsi="Arial" w:cs="Arial"/>
          <w:color w:val="000000"/>
          <w:sz w:val="20"/>
          <w:szCs w:val="20"/>
        </w:rPr>
        <w:t xml:space="preserve">nagement (IPM) modules against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on 100 m² plots with 3m gap between treatments. Module I (</w:t>
      </w:r>
      <w:proofErr w:type="spellStart"/>
      <w:r>
        <w:rPr>
          <w:rFonts w:ascii="Arial" w:eastAsia="Arial" w:hAnsi="Arial" w:cs="Arial"/>
          <w:color w:val="000000"/>
          <w:sz w:val="20"/>
          <w:szCs w:val="20"/>
        </w:rPr>
        <w:t>Ecofriendly</w:t>
      </w:r>
      <w:proofErr w:type="spellEnd"/>
      <w:r>
        <w:rPr>
          <w:rFonts w:ascii="Arial" w:eastAsia="Arial" w:hAnsi="Arial" w:cs="Arial"/>
          <w:color w:val="000000"/>
          <w:sz w:val="20"/>
          <w:szCs w:val="20"/>
        </w:rPr>
        <w:t xml:space="preserve"> Management) included biological controls, using 6 rows of Bajra as a border crop, and yellow and blue sticky traps (20 per acre) for monitoring. Nee</w:t>
      </w:r>
      <w:r>
        <w:rPr>
          <w:rFonts w:ascii="Arial" w:eastAsia="Arial" w:hAnsi="Arial" w:cs="Arial"/>
          <w:color w:val="000000"/>
          <w:sz w:val="20"/>
          <w:szCs w:val="20"/>
        </w:rPr>
        <w:t xml:space="preserve">m formulation (1500 ppm-3ml/litre) was applied at 15-20 DAS, followed by </w:t>
      </w:r>
      <w:r>
        <w:rPr>
          <w:rFonts w:ascii="Arial" w:eastAsia="Arial" w:hAnsi="Arial" w:cs="Arial"/>
          <w:i/>
          <w:color w:val="000000"/>
          <w:sz w:val="20"/>
          <w:szCs w:val="20"/>
        </w:rPr>
        <w:t xml:space="preserve">Beauveria </w:t>
      </w:r>
      <w:proofErr w:type="spellStart"/>
      <w:r>
        <w:rPr>
          <w:rFonts w:ascii="Arial" w:eastAsia="Arial" w:hAnsi="Arial" w:cs="Arial"/>
          <w:i/>
          <w:color w:val="000000"/>
          <w:sz w:val="20"/>
          <w:szCs w:val="20"/>
        </w:rPr>
        <w:t>bassiana</w:t>
      </w:r>
      <w:proofErr w:type="spellEnd"/>
      <w:r>
        <w:rPr>
          <w:rFonts w:ascii="Arial" w:eastAsia="Arial" w:hAnsi="Arial" w:cs="Arial"/>
          <w:color w:val="000000"/>
          <w:sz w:val="20"/>
          <w:szCs w:val="20"/>
        </w:rPr>
        <w:t xml:space="preserve"> (5g/litre) at 30-35 DAS and Spinosad (0.3 ml/litre) at 45-50 DAS. Module II (Chemical Management) utilized synthetic pesticides, starting with seed treatment using </w:t>
      </w:r>
      <w:r>
        <w:rPr>
          <w:rFonts w:ascii="Arial" w:eastAsia="Arial" w:hAnsi="Arial" w:cs="Arial"/>
          <w:color w:val="000000"/>
          <w:sz w:val="20"/>
          <w:szCs w:val="20"/>
        </w:rPr>
        <w:t xml:space="preserve">Imidacloprid 17.8 SL (2 ml/kg), followed by foliar sprays of Thiamethoxam 25 WG (0.2g/litre) at 15-20 DAS, </w:t>
      </w:r>
      <w:proofErr w:type="spellStart"/>
      <w:r>
        <w:rPr>
          <w:rFonts w:ascii="Arial" w:eastAsia="Arial" w:hAnsi="Arial" w:cs="Arial"/>
          <w:color w:val="000000"/>
          <w:sz w:val="20"/>
          <w:szCs w:val="20"/>
        </w:rPr>
        <w:t>Diafenthiuron</w:t>
      </w:r>
      <w:proofErr w:type="spellEnd"/>
      <w:r>
        <w:rPr>
          <w:rFonts w:ascii="Arial" w:eastAsia="Arial" w:hAnsi="Arial" w:cs="Arial"/>
          <w:color w:val="000000"/>
          <w:sz w:val="20"/>
          <w:szCs w:val="20"/>
        </w:rPr>
        <w:t xml:space="preserve"> 47.8 SC (1ml/litre) at 30-35 DAS, and Cyantraniliprole 10.26 OD (1.2 ml/litre) at 45-50 DAS. Module III served as an untreated control.</w:t>
      </w:r>
      <w:r>
        <w:rPr>
          <w:rFonts w:ascii="Arial" w:eastAsia="Arial" w:hAnsi="Arial" w:cs="Arial"/>
          <w:color w:val="000000"/>
          <w:sz w:val="20"/>
          <w:szCs w:val="20"/>
        </w:rPr>
        <w:t xml:space="preserve"> Observations from five 1m² marked areas per module were recorded at 15, 45, 75, and 105 DAS, with leaf damage assessment based on five randomly selected plants per square meter, multiplying leaves by four for total leaflet counts. Damage symptoms (scratch</w:t>
      </w:r>
      <w:r>
        <w:rPr>
          <w:rFonts w:ascii="Arial" w:eastAsia="Arial" w:hAnsi="Arial" w:cs="Arial"/>
          <w:color w:val="000000"/>
          <w:sz w:val="20"/>
          <w:szCs w:val="20"/>
        </w:rPr>
        <w:t>es, mottling, pale spots, and elongation) were used to compare module efficacy, correlating results with pest incidence across modules.</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The simple correlation coefficient of pooled pest population with weather parameters </w:t>
      </w:r>
      <w:r>
        <w:rPr>
          <w:rFonts w:ascii="Arial" w:eastAsia="Arial" w:hAnsi="Arial" w:cs="Arial"/>
          <w:i/>
          <w:color w:val="000000"/>
          <w:sz w:val="20"/>
          <w:szCs w:val="20"/>
        </w:rPr>
        <w:t>viz.,</w:t>
      </w:r>
      <w:r>
        <w:rPr>
          <w:rFonts w:ascii="Arial" w:eastAsia="Arial" w:hAnsi="Arial" w:cs="Arial"/>
          <w:color w:val="000000"/>
          <w:sz w:val="20"/>
          <w:szCs w:val="20"/>
        </w:rPr>
        <w:t xml:space="preserve"> maximum temperature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m</w:t>
      </w:r>
      <w:r>
        <w:rPr>
          <w:rFonts w:ascii="Arial" w:eastAsia="Arial" w:hAnsi="Arial" w:cs="Arial"/>
          <w:color w:val="000000"/>
          <w:sz w:val="20"/>
          <w:szCs w:val="20"/>
        </w:rPr>
        <w:t>inimum temperature (</w:t>
      </w:r>
      <w:proofErr w:type="spellStart"/>
      <w:r>
        <w:rPr>
          <w:rFonts w:ascii="Arial" w:eastAsia="Arial" w:hAnsi="Arial" w:cs="Arial"/>
          <w:color w:val="000000"/>
          <w:sz w:val="20"/>
          <w:szCs w:val="20"/>
        </w:rPr>
        <w:t>Tmin</w:t>
      </w:r>
      <w:proofErr w:type="spellEnd"/>
      <w:r>
        <w:rPr>
          <w:rFonts w:ascii="Arial" w:eastAsia="Arial" w:hAnsi="Arial" w:cs="Arial"/>
          <w:color w:val="000000"/>
          <w:sz w:val="20"/>
          <w:szCs w:val="20"/>
        </w:rPr>
        <w:t>), morning relative humidity (</w:t>
      </w:r>
      <w:proofErr w:type="spellStart"/>
      <w:r>
        <w:rPr>
          <w:rFonts w:ascii="Arial" w:eastAsia="Arial" w:hAnsi="Arial" w:cs="Arial"/>
          <w:color w:val="000000"/>
          <w:sz w:val="20"/>
          <w:szCs w:val="20"/>
        </w:rPr>
        <w:t>RHm</w:t>
      </w:r>
      <w:proofErr w:type="spellEnd"/>
      <w:r>
        <w:rPr>
          <w:rFonts w:ascii="Arial" w:eastAsia="Arial" w:hAnsi="Arial" w:cs="Arial"/>
          <w:color w:val="000000"/>
          <w:sz w:val="20"/>
          <w:szCs w:val="20"/>
        </w:rPr>
        <w:t>), evening relative humidity (</w:t>
      </w:r>
      <w:proofErr w:type="spellStart"/>
      <w:r>
        <w:rPr>
          <w:rFonts w:ascii="Arial" w:eastAsia="Arial" w:hAnsi="Arial" w:cs="Arial"/>
          <w:color w:val="000000"/>
          <w:sz w:val="20"/>
          <w:szCs w:val="20"/>
        </w:rPr>
        <w:t>RHe</w:t>
      </w:r>
      <w:proofErr w:type="spellEnd"/>
      <w:r>
        <w:rPr>
          <w:rFonts w:ascii="Arial" w:eastAsia="Arial" w:hAnsi="Arial" w:cs="Arial"/>
          <w:color w:val="000000"/>
          <w:sz w:val="20"/>
          <w:szCs w:val="20"/>
        </w:rPr>
        <w:t xml:space="preserve">), rainfall (RF), and sunshine hours (SSH) was calculated for the current, 1-lag, and 2-lag weeks using R software. Results of second experiment were </w:t>
      </w:r>
      <w:proofErr w:type="spellStart"/>
      <w:r>
        <w:rPr>
          <w:rFonts w:ascii="Arial" w:eastAsia="Arial" w:hAnsi="Arial" w:cs="Arial"/>
          <w:color w:val="000000"/>
          <w:sz w:val="20"/>
          <w:szCs w:val="20"/>
        </w:rPr>
        <w:t>analyzed</w:t>
      </w:r>
      <w:proofErr w:type="spellEnd"/>
      <w:r>
        <w:rPr>
          <w:rFonts w:ascii="Arial" w:eastAsia="Arial" w:hAnsi="Arial" w:cs="Arial"/>
          <w:color w:val="000000"/>
          <w:sz w:val="20"/>
          <w:szCs w:val="20"/>
        </w:rPr>
        <w:t xml:space="preserve"> by two-</w:t>
      </w:r>
      <w:r>
        <w:rPr>
          <w:rFonts w:ascii="Arial" w:eastAsia="Arial" w:hAnsi="Arial" w:cs="Arial"/>
          <w:color w:val="000000"/>
          <w:sz w:val="20"/>
          <w:szCs w:val="20"/>
        </w:rPr>
        <w:t>way ANOVA, and means were separated by Duncan’s Multiple Range Test (Duncan, 1955).</w:t>
      </w:r>
    </w:p>
    <w:p w:rsidR="00C14003" w:rsidRDefault="00452EDB">
      <w:pPr>
        <w:pBdr>
          <w:top w:val="nil"/>
          <w:left w:val="nil"/>
          <w:bottom w:val="nil"/>
          <w:right w:val="nil"/>
          <w:between w:val="nil"/>
        </w:pBdr>
        <w:spacing w:before="280" w:after="280" w:line="360" w:lineRule="auto"/>
        <w:jc w:val="both"/>
        <w:rPr>
          <w:rFonts w:ascii="Arial" w:eastAsia="Arial" w:hAnsi="Arial" w:cs="Arial"/>
          <w:b/>
          <w:color w:val="000000"/>
          <w:sz w:val="20"/>
          <w:szCs w:val="20"/>
        </w:rPr>
      </w:pPr>
      <w:r>
        <w:rPr>
          <w:rFonts w:ascii="Arial" w:eastAsia="Arial" w:hAnsi="Arial" w:cs="Arial"/>
          <w:b/>
          <w:color w:val="000000"/>
          <w:sz w:val="20"/>
          <w:szCs w:val="20"/>
        </w:rPr>
        <w:t>RESULTS AND DISCUSSION</w:t>
      </w:r>
    </w:p>
    <w:p w:rsidR="00C14003" w:rsidRDefault="00452EDB">
      <w:pPr>
        <w:pBdr>
          <w:top w:val="nil"/>
          <w:left w:val="nil"/>
          <w:bottom w:val="nil"/>
          <w:right w:val="nil"/>
          <w:between w:val="nil"/>
        </w:pBdr>
        <w:spacing w:before="280" w:after="28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During the 2021–22 </w:t>
      </w:r>
      <w:proofErr w:type="spellStart"/>
      <w:r>
        <w:rPr>
          <w:rFonts w:ascii="Arial" w:eastAsia="Arial" w:hAnsi="Arial" w:cs="Arial"/>
          <w:color w:val="000000"/>
          <w:sz w:val="20"/>
          <w:szCs w:val="20"/>
        </w:rPr>
        <w:t>rabi</w:t>
      </w:r>
      <w:proofErr w:type="spellEnd"/>
      <w:r>
        <w:rPr>
          <w:rFonts w:ascii="Arial" w:eastAsia="Arial" w:hAnsi="Arial" w:cs="Arial"/>
          <w:color w:val="000000"/>
          <w:sz w:val="20"/>
          <w:szCs w:val="20"/>
        </w:rPr>
        <w:t xml:space="preserve"> season,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incidence on groundnut was recorded weekly from the 52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standard week (SW) of 2021 (15 DAS) to the 12th SW of 2022. Initial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damage was observed at 14.90%, with 1.32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per plant in the 52nd SW of 2021, increasing to 23.88% and 1.84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per plant in the following week, with symptoms such as white </w:t>
      </w:r>
      <w:r>
        <w:rPr>
          <w:rFonts w:ascii="Arial" w:eastAsia="Arial" w:hAnsi="Arial" w:cs="Arial"/>
          <w:color w:val="000000"/>
          <w:sz w:val="20"/>
          <w:szCs w:val="20"/>
        </w:rPr>
        <w:t xml:space="preserve">spots and scratches on leaves.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damage continued to rise, reaching 40.50% with 2.96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per plant by the 1st SW of January 2022. This trend persisted with damage at 51.93% and 72.24% in the 2nd and 3rd SWs, with populations of 3.36 and </w:t>
      </w:r>
      <w:r>
        <w:rPr>
          <w:rFonts w:ascii="Arial" w:eastAsia="Arial" w:hAnsi="Arial" w:cs="Arial"/>
          <w:color w:val="000000"/>
          <w:sz w:val="20"/>
          <w:szCs w:val="20"/>
        </w:rPr>
        <w:lastRenderedPageBreak/>
        <w:t>3.56 per pl</w:t>
      </w:r>
      <w:r>
        <w:rPr>
          <w:rFonts w:ascii="Arial" w:eastAsia="Arial" w:hAnsi="Arial" w:cs="Arial"/>
          <w:color w:val="000000"/>
          <w:sz w:val="20"/>
          <w:szCs w:val="20"/>
        </w:rPr>
        <w:t xml:space="preserve">ant, respectively. By the 6th SW, the damage peaked at 97.05%, with a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 of 6.44 per plant. From the 7th to the 10th SW, foliar damage stayed high, between 98.11% and 98.96%, although the population declined from 5.88 to 4.44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per plan</w:t>
      </w:r>
      <w:r>
        <w:rPr>
          <w:rFonts w:ascii="Arial" w:eastAsia="Arial" w:hAnsi="Arial" w:cs="Arial"/>
          <w:color w:val="000000"/>
          <w:sz w:val="20"/>
          <w:szCs w:val="20"/>
        </w:rPr>
        <w:t xml:space="preserve">t. At the harvest stage of crop, in the 11th and 12th SW, damage reached 99%, with populations of 3.28 to 3.68 per plant.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activity peaked from flowering to pod-filling stages and declined afterward, aligning with findings from Naresh et al. (2018) a</w:t>
      </w:r>
      <w:r>
        <w:rPr>
          <w:rFonts w:ascii="Arial" w:eastAsia="Arial" w:hAnsi="Arial" w:cs="Arial"/>
          <w:color w:val="000000"/>
          <w:sz w:val="20"/>
          <w:szCs w:val="20"/>
        </w:rPr>
        <w:t xml:space="preserve">nd </w:t>
      </w:r>
      <w:proofErr w:type="spellStart"/>
      <w:r>
        <w:rPr>
          <w:rFonts w:ascii="Arial" w:eastAsia="Arial" w:hAnsi="Arial" w:cs="Arial"/>
          <w:color w:val="000000"/>
          <w:sz w:val="20"/>
          <w:szCs w:val="20"/>
        </w:rPr>
        <w:t>Kumbhar</w:t>
      </w:r>
      <w:proofErr w:type="spellEnd"/>
      <w:r>
        <w:rPr>
          <w:rFonts w:ascii="Arial" w:eastAsia="Arial" w:hAnsi="Arial" w:cs="Arial"/>
          <w:color w:val="000000"/>
          <w:sz w:val="20"/>
          <w:szCs w:val="20"/>
        </w:rPr>
        <w:t xml:space="preserve"> et al. (2021) on peak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incidence during post-flowering.</w:t>
      </w:r>
    </w:p>
    <w:p w:rsidR="00C14003" w:rsidRDefault="00452EDB">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Correlation analysis indicated a significant positive association between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 and foliar damage (r = 0.84). Foliar damage was positively correlated with maximum temperat</w:t>
      </w:r>
      <w:r>
        <w:rPr>
          <w:rFonts w:ascii="Arial" w:eastAsia="Arial" w:hAnsi="Arial" w:cs="Arial"/>
          <w:color w:val="000000"/>
          <w:sz w:val="20"/>
          <w:szCs w:val="20"/>
        </w:rPr>
        <w:t>ure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0.71) and negatively with evening relative humidity (RH(e); r = -0.65) in the current week (Fig.1a). In the 1-lag week, correlations between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 and foliar damage (r = 0.85) and foliar damage with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0.73) were also posi</w:t>
      </w:r>
      <w:r>
        <w:rPr>
          <w:rFonts w:ascii="Arial" w:eastAsia="Arial" w:hAnsi="Arial" w:cs="Arial"/>
          <w:color w:val="000000"/>
          <w:sz w:val="20"/>
          <w:szCs w:val="20"/>
        </w:rPr>
        <w:t xml:space="preserve">tive. In the 2-lag week,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 showed positive correlations with foliar damage (r = 0.92),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0.65), and sunshine hours (r = 0.62), with foliar damage also correlating positively with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(r = 0.81) (Fig.1b, c). These results align with</w:t>
      </w:r>
      <w:r>
        <w:rPr>
          <w:rFonts w:ascii="Arial" w:eastAsia="Arial" w:hAnsi="Arial" w:cs="Arial"/>
          <w:color w:val="000000"/>
          <w:sz w:val="20"/>
          <w:szCs w:val="20"/>
        </w:rPr>
        <w:t xml:space="preserve"> previous studies by Naresh et al. (2018) and </w:t>
      </w:r>
      <w:proofErr w:type="spellStart"/>
      <w:r>
        <w:rPr>
          <w:rFonts w:ascii="Arial" w:eastAsia="Arial" w:hAnsi="Arial" w:cs="Arial"/>
          <w:color w:val="000000"/>
          <w:sz w:val="20"/>
          <w:szCs w:val="20"/>
        </w:rPr>
        <w:t>Kumbhar</w:t>
      </w:r>
      <w:proofErr w:type="spellEnd"/>
      <w:r>
        <w:rPr>
          <w:rFonts w:ascii="Arial" w:eastAsia="Arial" w:hAnsi="Arial" w:cs="Arial"/>
          <w:color w:val="000000"/>
          <w:sz w:val="20"/>
          <w:szCs w:val="20"/>
        </w:rPr>
        <w:t xml:space="preserve"> et al. (2021), who reported positive associations between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incidence and </w:t>
      </w:r>
      <w:proofErr w:type="spellStart"/>
      <w:r>
        <w:rPr>
          <w:rFonts w:ascii="Arial" w:eastAsia="Arial" w:hAnsi="Arial" w:cs="Arial"/>
          <w:color w:val="000000"/>
          <w:sz w:val="20"/>
          <w:szCs w:val="20"/>
        </w:rPr>
        <w:t>Tmax</w:t>
      </w:r>
      <w:proofErr w:type="spellEnd"/>
      <w:r>
        <w:rPr>
          <w:rFonts w:ascii="Arial" w:eastAsia="Arial" w:hAnsi="Arial" w:cs="Arial"/>
          <w:color w:val="000000"/>
          <w:sz w:val="20"/>
          <w:szCs w:val="20"/>
        </w:rPr>
        <w:t xml:space="preserve">. Additionally, Vijayalakshmi et al. (2017) and </w:t>
      </w:r>
      <w:proofErr w:type="spellStart"/>
      <w:r>
        <w:rPr>
          <w:rFonts w:ascii="Arial" w:eastAsia="Arial" w:hAnsi="Arial" w:cs="Arial"/>
          <w:color w:val="000000"/>
          <w:sz w:val="20"/>
          <w:szCs w:val="20"/>
        </w:rPr>
        <w:t>Kandakoor</w:t>
      </w:r>
      <w:proofErr w:type="spellEnd"/>
      <w:r>
        <w:rPr>
          <w:rFonts w:ascii="Arial" w:eastAsia="Arial" w:hAnsi="Arial" w:cs="Arial"/>
          <w:color w:val="000000"/>
          <w:sz w:val="20"/>
          <w:szCs w:val="20"/>
        </w:rPr>
        <w:t xml:space="preserve"> et al. (2012) observed nonsignificant positive correlations b</w:t>
      </w:r>
      <w:r>
        <w:rPr>
          <w:rFonts w:ascii="Arial" w:eastAsia="Arial" w:hAnsi="Arial" w:cs="Arial"/>
          <w:color w:val="000000"/>
          <w:sz w:val="20"/>
          <w:szCs w:val="20"/>
        </w:rPr>
        <w:t xml:space="preserve">etween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population and minimum temperature, with negative associations with RH and rainfall, similar to </w:t>
      </w:r>
      <w:proofErr w:type="spellStart"/>
      <w:r>
        <w:rPr>
          <w:rFonts w:ascii="Arial" w:eastAsia="Arial" w:hAnsi="Arial" w:cs="Arial"/>
          <w:color w:val="000000"/>
          <w:sz w:val="20"/>
          <w:szCs w:val="20"/>
        </w:rPr>
        <w:t>Nandagopal</w:t>
      </w:r>
      <w:proofErr w:type="spellEnd"/>
      <w:r>
        <w:rPr>
          <w:rFonts w:ascii="Arial" w:eastAsia="Arial" w:hAnsi="Arial" w:cs="Arial"/>
          <w:color w:val="000000"/>
          <w:sz w:val="20"/>
          <w:szCs w:val="20"/>
        </w:rPr>
        <w:t xml:space="preserve"> et al. (2008) and </w:t>
      </w:r>
      <w:proofErr w:type="spellStart"/>
      <w:r>
        <w:rPr>
          <w:rFonts w:ascii="Arial" w:eastAsia="Arial" w:hAnsi="Arial" w:cs="Arial"/>
          <w:color w:val="000000"/>
          <w:sz w:val="20"/>
          <w:szCs w:val="20"/>
        </w:rPr>
        <w:t>Nigude</w:t>
      </w:r>
      <w:proofErr w:type="spellEnd"/>
      <w:r>
        <w:rPr>
          <w:rFonts w:ascii="Arial" w:eastAsia="Arial" w:hAnsi="Arial" w:cs="Arial"/>
          <w:color w:val="000000"/>
          <w:sz w:val="20"/>
          <w:szCs w:val="20"/>
        </w:rPr>
        <w:t xml:space="preserve"> et al. (2018), underscoring the environmental influence on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infestations.</w:t>
      </w:r>
    </w:p>
    <w:p w:rsidR="00C14003" w:rsidRDefault="00452EDB">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In this study, three managemen</w:t>
      </w:r>
      <w:r>
        <w:rPr>
          <w:rFonts w:ascii="Arial" w:eastAsia="Arial" w:hAnsi="Arial" w:cs="Arial"/>
          <w:color w:val="000000"/>
          <w:sz w:val="20"/>
          <w:szCs w:val="20"/>
        </w:rPr>
        <w:t xml:space="preserve">t modules were tested for their effectiveness in reducing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damage on </w:t>
      </w:r>
      <w:proofErr w:type="spellStart"/>
      <w:r>
        <w:rPr>
          <w:rFonts w:ascii="Arial" w:eastAsia="Arial" w:hAnsi="Arial" w:cs="Arial"/>
          <w:color w:val="000000"/>
          <w:sz w:val="20"/>
          <w:szCs w:val="20"/>
        </w:rPr>
        <w:t>rabi</w:t>
      </w:r>
      <w:proofErr w:type="spellEnd"/>
      <w:r>
        <w:rPr>
          <w:rFonts w:ascii="Arial" w:eastAsia="Arial" w:hAnsi="Arial" w:cs="Arial"/>
          <w:color w:val="000000"/>
          <w:sz w:val="20"/>
          <w:szCs w:val="20"/>
        </w:rPr>
        <w:t xml:space="preserve"> groundnut, with observations made every 10 days from crop emergence until harvest. The modules included a Chemical module, an Eco-friendly module, and an Untreated Control (Tab</w:t>
      </w:r>
      <w:r>
        <w:rPr>
          <w:rFonts w:ascii="Arial" w:eastAsia="Arial" w:hAnsi="Arial" w:cs="Arial"/>
          <w:color w:val="000000"/>
          <w:sz w:val="20"/>
          <w:szCs w:val="20"/>
        </w:rPr>
        <w:t xml:space="preserve">le 1).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damage began at 15 DAS across all modules, with the Chemical module showing the lowest initial damage at 4.21%, followed by the Eco-friendly module at 9.25%, while the Control had the highest at 14.55%. At 45 DAS, damage was consistently lowe</w:t>
      </w:r>
      <w:r>
        <w:rPr>
          <w:rFonts w:ascii="Arial" w:eastAsia="Arial" w:hAnsi="Arial" w:cs="Arial"/>
          <w:color w:val="000000"/>
          <w:sz w:val="20"/>
          <w:szCs w:val="20"/>
        </w:rPr>
        <w:t>r in the Chemical module (31.35%), followed by the Eco-friendly module (35.38%), with the Control at 75.20%. The Chemical module, with Cyantraniliprole application, provided the best control, reaching an average foliar damage of only 33.04% compared to 43.</w:t>
      </w:r>
      <w:r>
        <w:rPr>
          <w:rFonts w:ascii="Arial" w:eastAsia="Arial" w:hAnsi="Arial" w:cs="Arial"/>
          <w:color w:val="000000"/>
          <w:sz w:val="20"/>
          <w:szCs w:val="20"/>
        </w:rPr>
        <w:t>72% in the Eco-friendly module and 74.05% in the Control. The Chemical modules superior performance is attributed to the targeted use of insecticides, which effectively managed pest populations. However, the Eco-friendly module, employing Spinosad and othe</w:t>
      </w:r>
      <w:r>
        <w:rPr>
          <w:rFonts w:ascii="Arial" w:eastAsia="Arial" w:hAnsi="Arial" w:cs="Arial"/>
          <w:color w:val="000000"/>
          <w:sz w:val="20"/>
          <w:szCs w:val="20"/>
        </w:rPr>
        <w:t>r natural components, supported a higher population of beneficial natural enemies like coccinellid predators and spiders, particularly from 45 to 75 DAS when pest activity was high (Fig 2). These predators, often seen preying on leafhoppers, contributed to</w:t>
      </w:r>
      <w:r>
        <w:rPr>
          <w:rFonts w:ascii="Arial" w:eastAsia="Arial" w:hAnsi="Arial" w:cs="Arial"/>
          <w:color w:val="000000"/>
          <w:sz w:val="20"/>
          <w:szCs w:val="20"/>
        </w:rPr>
        <w:t xml:space="preserve"> pest suppression, demonstrating the module’s integrated pest management approaches success. This aligns with findings by </w:t>
      </w:r>
      <w:proofErr w:type="spellStart"/>
      <w:r>
        <w:rPr>
          <w:rFonts w:ascii="Arial" w:eastAsia="Arial" w:hAnsi="Arial" w:cs="Arial"/>
          <w:color w:val="000000"/>
          <w:sz w:val="20"/>
          <w:szCs w:val="20"/>
        </w:rPr>
        <w:t>Karuppuchamy</w:t>
      </w:r>
      <w:proofErr w:type="spellEnd"/>
      <w:r>
        <w:rPr>
          <w:rFonts w:ascii="Arial" w:eastAsia="Arial" w:hAnsi="Arial" w:cs="Arial"/>
          <w:color w:val="000000"/>
          <w:sz w:val="20"/>
          <w:szCs w:val="20"/>
        </w:rPr>
        <w:t xml:space="preserve"> (2016) and </w:t>
      </w:r>
      <w:proofErr w:type="spellStart"/>
      <w:r>
        <w:rPr>
          <w:rFonts w:ascii="Arial" w:eastAsia="Arial" w:hAnsi="Arial" w:cs="Arial"/>
          <w:color w:val="000000"/>
          <w:sz w:val="20"/>
          <w:szCs w:val="20"/>
        </w:rPr>
        <w:t>Jasrotia</w:t>
      </w:r>
      <w:proofErr w:type="spellEnd"/>
      <w:r>
        <w:rPr>
          <w:rFonts w:ascii="Arial" w:eastAsia="Arial" w:hAnsi="Arial" w:cs="Arial"/>
          <w:color w:val="000000"/>
          <w:sz w:val="20"/>
          <w:szCs w:val="20"/>
        </w:rPr>
        <w:t xml:space="preserve"> et al. (2020), who observed that integrated pest management (IPM) practices, including border crops a</w:t>
      </w:r>
      <w:r>
        <w:rPr>
          <w:rFonts w:ascii="Arial" w:eastAsia="Arial" w:hAnsi="Arial" w:cs="Arial"/>
          <w:color w:val="000000"/>
          <w:sz w:val="20"/>
          <w:szCs w:val="20"/>
        </w:rPr>
        <w:t>nd natural treatments, effectively reduce pest populations. While the Chemical module achieved the lowest pest damage, the Eco-friendly module fostered natural enemy populations, creating a balanced approach to pest control. This pattern is consistent with</w:t>
      </w:r>
      <w:r>
        <w:rPr>
          <w:rFonts w:ascii="Arial" w:eastAsia="Arial" w:hAnsi="Arial" w:cs="Arial"/>
          <w:color w:val="000000"/>
          <w:sz w:val="20"/>
          <w:szCs w:val="20"/>
        </w:rPr>
        <w:t xml:space="preserve"> studies by </w:t>
      </w:r>
      <w:proofErr w:type="spellStart"/>
      <w:r>
        <w:rPr>
          <w:rFonts w:ascii="Arial" w:eastAsia="Arial" w:hAnsi="Arial" w:cs="Arial"/>
          <w:color w:val="000000"/>
          <w:sz w:val="20"/>
          <w:szCs w:val="20"/>
        </w:rPr>
        <w:t>Dhathri</w:t>
      </w:r>
      <w:proofErr w:type="spellEnd"/>
      <w:r>
        <w:rPr>
          <w:rFonts w:ascii="Arial" w:eastAsia="Arial" w:hAnsi="Arial" w:cs="Arial"/>
          <w:color w:val="000000"/>
          <w:sz w:val="20"/>
          <w:szCs w:val="20"/>
        </w:rPr>
        <w:t xml:space="preserve"> et al. (2021) and Dwivedi and Devi (2018), indicating that eco-friendly measures can enhance natural </w:t>
      </w:r>
      <w:proofErr w:type="gramStart"/>
      <w:r>
        <w:rPr>
          <w:rFonts w:ascii="Arial" w:eastAsia="Arial" w:hAnsi="Arial" w:cs="Arial"/>
          <w:color w:val="000000"/>
          <w:sz w:val="20"/>
          <w:szCs w:val="20"/>
        </w:rPr>
        <w:t>enemies</w:t>
      </w:r>
      <w:proofErr w:type="gramEnd"/>
      <w:r>
        <w:rPr>
          <w:rFonts w:ascii="Arial" w:eastAsia="Arial" w:hAnsi="Arial" w:cs="Arial"/>
          <w:color w:val="000000"/>
          <w:sz w:val="20"/>
          <w:szCs w:val="20"/>
        </w:rPr>
        <w:t xml:space="preserve"> activity, thus providing sustainable pest control solutions without adverse environmental impacts.</w:t>
      </w:r>
    </w:p>
    <w:p w:rsidR="00C14003" w:rsidRDefault="00452EDB">
      <w:pPr>
        <w:rPr>
          <w:rFonts w:ascii="Arial" w:eastAsia="Arial" w:hAnsi="Arial" w:cs="Arial"/>
          <w:b/>
          <w:sz w:val="20"/>
          <w:szCs w:val="20"/>
        </w:rPr>
      </w:pPr>
      <w:r>
        <w:rPr>
          <w:rFonts w:ascii="Arial" w:eastAsia="Arial" w:hAnsi="Arial" w:cs="Arial"/>
          <w:b/>
          <w:sz w:val="20"/>
          <w:szCs w:val="20"/>
        </w:rPr>
        <w:lastRenderedPageBreak/>
        <w:t>Table. 1 Percent foliar dama</w:t>
      </w:r>
      <w:r>
        <w:rPr>
          <w:rFonts w:ascii="Arial" w:eastAsia="Arial" w:hAnsi="Arial" w:cs="Arial"/>
          <w:b/>
          <w:sz w:val="20"/>
          <w:szCs w:val="20"/>
        </w:rPr>
        <w:t xml:space="preserve">ge by </w:t>
      </w:r>
      <w:proofErr w:type="spellStart"/>
      <w:r>
        <w:rPr>
          <w:rFonts w:ascii="Arial" w:eastAsia="Arial" w:hAnsi="Arial" w:cs="Arial"/>
          <w:b/>
          <w:sz w:val="20"/>
          <w:szCs w:val="20"/>
        </w:rPr>
        <w:t>thrips</w:t>
      </w:r>
      <w:proofErr w:type="spellEnd"/>
      <w:r>
        <w:rPr>
          <w:rFonts w:ascii="Arial" w:eastAsia="Arial" w:hAnsi="Arial" w:cs="Arial"/>
          <w:b/>
          <w:sz w:val="20"/>
          <w:szCs w:val="20"/>
        </w:rPr>
        <w:t xml:space="preserve"> recorded from modules</w:t>
      </w:r>
    </w:p>
    <w:tbl>
      <w:tblPr>
        <w:tblStyle w:val="a"/>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558"/>
        <w:gridCol w:w="1702"/>
        <w:gridCol w:w="1700"/>
        <w:gridCol w:w="1702"/>
        <w:gridCol w:w="850"/>
      </w:tblGrid>
      <w:tr w:rsidR="00C14003">
        <w:trPr>
          <w:trHeight w:val="321"/>
          <w:jc w:val="center"/>
        </w:trPr>
        <w:tc>
          <w:tcPr>
            <w:tcW w:w="2127" w:type="dxa"/>
          </w:tcPr>
          <w:p w:rsidR="00C14003" w:rsidRDefault="00452EDB">
            <w:pPr>
              <w:rPr>
                <w:rFonts w:ascii="Arial" w:eastAsia="Arial" w:hAnsi="Arial" w:cs="Arial"/>
                <w:sz w:val="20"/>
                <w:szCs w:val="20"/>
              </w:rPr>
            </w:pPr>
            <w:r>
              <w:rPr>
                <w:rFonts w:ascii="Arial" w:eastAsia="Arial" w:hAnsi="Arial" w:cs="Arial"/>
                <w:b/>
                <w:sz w:val="20"/>
                <w:szCs w:val="20"/>
              </w:rPr>
              <w:t>Module</w:t>
            </w:r>
          </w:p>
        </w:tc>
        <w:tc>
          <w:tcPr>
            <w:tcW w:w="1558" w:type="dxa"/>
          </w:tcPr>
          <w:p w:rsidR="00C14003" w:rsidRDefault="00452EDB">
            <w:pPr>
              <w:rPr>
                <w:rFonts w:ascii="Arial" w:eastAsia="Arial" w:hAnsi="Arial" w:cs="Arial"/>
                <w:sz w:val="20"/>
                <w:szCs w:val="20"/>
              </w:rPr>
            </w:pPr>
            <w:r>
              <w:rPr>
                <w:rFonts w:ascii="Arial" w:eastAsia="Arial" w:hAnsi="Arial" w:cs="Arial"/>
                <w:b/>
                <w:sz w:val="20"/>
                <w:szCs w:val="20"/>
              </w:rPr>
              <w:t>15 DAS</w:t>
            </w:r>
          </w:p>
        </w:tc>
        <w:tc>
          <w:tcPr>
            <w:tcW w:w="1702" w:type="dxa"/>
          </w:tcPr>
          <w:p w:rsidR="00C14003" w:rsidRDefault="00452EDB">
            <w:pPr>
              <w:rPr>
                <w:rFonts w:ascii="Arial" w:eastAsia="Arial" w:hAnsi="Arial" w:cs="Arial"/>
                <w:sz w:val="20"/>
                <w:szCs w:val="20"/>
              </w:rPr>
            </w:pPr>
            <w:r>
              <w:rPr>
                <w:rFonts w:ascii="Arial" w:eastAsia="Arial" w:hAnsi="Arial" w:cs="Arial"/>
                <w:b/>
                <w:sz w:val="20"/>
                <w:szCs w:val="20"/>
              </w:rPr>
              <w:t>45 DAS</w:t>
            </w:r>
          </w:p>
        </w:tc>
        <w:tc>
          <w:tcPr>
            <w:tcW w:w="1700" w:type="dxa"/>
          </w:tcPr>
          <w:p w:rsidR="00C14003" w:rsidRDefault="00452EDB">
            <w:pPr>
              <w:rPr>
                <w:rFonts w:ascii="Arial" w:eastAsia="Arial" w:hAnsi="Arial" w:cs="Arial"/>
                <w:sz w:val="20"/>
                <w:szCs w:val="20"/>
              </w:rPr>
            </w:pPr>
            <w:r>
              <w:rPr>
                <w:rFonts w:ascii="Arial" w:eastAsia="Arial" w:hAnsi="Arial" w:cs="Arial"/>
                <w:b/>
                <w:sz w:val="20"/>
                <w:szCs w:val="20"/>
              </w:rPr>
              <w:t>75 DAS</w:t>
            </w:r>
          </w:p>
        </w:tc>
        <w:tc>
          <w:tcPr>
            <w:tcW w:w="1702" w:type="dxa"/>
          </w:tcPr>
          <w:p w:rsidR="00C14003" w:rsidRDefault="00452EDB">
            <w:pPr>
              <w:rPr>
                <w:rFonts w:ascii="Arial" w:eastAsia="Arial" w:hAnsi="Arial" w:cs="Arial"/>
                <w:b/>
                <w:sz w:val="20"/>
                <w:szCs w:val="20"/>
              </w:rPr>
            </w:pPr>
            <w:r>
              <w:rPr>
                <w:rFonts w:ascii="Arial" w:eastAsia="Arial" w:hAnsi="Arial" w:cs="Arial"/>
                <w:b/>
                <w:sz w:val="20"/>
                <w:szCs w:val="20"/>
              </w:rPr>
              <w:t>105 DAS</w:t>
            </w:r>
          </w:p>
        </w:tc>
        <w:tc>
          <w:tcPr>
            <w:tcW w:w="850" w:type="dxa"/>
          </w:tcPr>
          <w:p w:rsidR="00C14003" w:rsidRDefault="00452EDB">
            <w:pPr>
              <w:rPr>
                <w:rFonts w:ascii="Arial" w:eastAsia="Arial" w:hAnsi="Arial" w:cs="Arial"/>
                <w:sz w:val="20"/>
                <w:szCs w:val="20"/>
              </w:rPr>
            </w:pPr>
            <w:r>
              <w:rPr>
                <w:rFonts w:ascii="Arial" w:eastAsia="Arial" w:hAnsi="Arial" w:cs="Arial"/>
                <w:sz w:val="20"/>
                <w:szCs w:val="20"/>
              </w:rPr>
              <w:t>F value</w:t>
            </w:r>
          </w:p>
        </w:tc>
      </w:tr>
      <w:tr w:rsidR="00C14003">
        <w:trPr>
          <w:trHeight w:val="287"/>
          <w:jc w:val="center"/>
        </w:trPr>
        <w:tc>
          <w:tcPr>
            <w:tcW w:w="2127" w:type="dxa"/>
          </w:tcPr>
          <w:p w:rsidR="00C14003" w:rsidRDefault="00452EDB">
            <w:pPr>
              <w:rPr>
                <w:rFonts w:ascii="Arial" w:eastAsia="Arial" w:hAnsi="Arial" w:cs="Arial"/>
                <w:sz w:val="20"/>
                <w:szCs w:val="20"/>
              </w:rPr>
            </w:pPr>
            <w:r>
              <w:rPr>
                <w:rFonts w:ascii="Arial" w:eastAsia="Arial" w:hAnsi="Arial" w:cs="Arial"/>
                <w:sz w:val="20"/>
                <w:szCs w:val="20"/>
              </w:rPr>
              <w:t>Eco-Friendly Module</w:t>
            </w:r>
          </w:p>
        </w:tc>
        <w:tc>
          <w:tcPr>
            <w:tcW w:w="1558" w:type="dxa"/>
          </w:tcPr>
          <w:p w:rsidR="00C14003" w:rsidRDefault="00452EDB">
            <w:pPr>
              <w:rPr>
                <w:rFonts w:ascii="Arial" w:eastAsia="Arial" w:hAnsi="Arial" w:cs="Arial"/>
                <w:sz w:val="20"/>
                <w:szCs w:val="20"/>
              </w:rPr>
            </w:pPr>
            <w:r>
              <w:rPr>
                <w:rFonts w:ascii="Arial" w:eastAsia="Arial" w:hAnsi="Arial" w:cs="Arial"/>
                <w:sz w:val="20"/>
                <w:szCs w:val="20"/>
              </w:rPr>
              <w:t xml:space="preserve">9.25±0.77 </w:t>
            </w:r>
            <w:r>
              <w:rPr>
                <w:rFonts w:ascii="Arial" w:eastAsia="Arial" w:hAnsi="Arial" w:cs="Arial"/>
                <w:sz w:val="20"/>
                <w:szCs w:val="20"/>
                <w:vertAlign w:val="superscript"/>
              </w:rPr>
              <w:t>Bd</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35.38±0.72</w:t>
            </w:r>
            <w:r>
              <w:rPr>
                <w:rFonts w:ascii="Arial" w:eastAsia="Arial" w:hAnsi="Arial" w:cs="Arial"/>
                <w:sz w:val="20"/>
                <w:szCs w:val="20"/>
                <w:vertAlign w:val="superscript"/>
              </w:rPr>
              <w:t>Bc</w:t>
            </w:r>
          </w:p>
        </w:tc>
        <w:tc>
          <w:tcPr>
            <w:tcW w:w="1700" w:type="dxa"/>
          </w:tcPr>
          <w:p w:rsidR="00C14003" w:rsidRDefault="00452EDB">
            <w:pPr>
              <w:rPr>
                <w:rFonts w:ascii="Arial" w:eastAsia="Arial" w:hAnsi="Arial" w:cs="Arial"/>
                <w:sz w:val="20"/>
                <w:szCs w:val="20"/>
              </w:rPr>
            </w:pPr>
            <w:r>
              <w:rPr>
                <w:rFonts w:ascii="Arial" w:eastAsia="Arial" w:hAnsi="Arial" w:cs="Arial"/>
                <w:sz w:val="20"/>
                <w:szCs w:val="20"/>
              </w:rPr>
              <w:t>55.378±0.68</w:t>
            </w:r>
            <w:r>
              <w:rPr>
                <w:rFonts w:ascii="Arial" w:eastAsia="Arial" w:hAnsi="Arial" w:cs="Arial"/>
                <w:sz w:val="20"/>
                <w:szCs w:val="20"/>
                <w:vertAlign w:val="superscript"/>
              </w:rPr>
              <w:t>Bb</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66.03±0.98</w:t>
            </w:r>
            <w:r>
              <w:rPr>
                <w:rFonts w:ascii="Arial" w:eastAsia="Arial" w:hAnsi="Arial" w:cs="Arial"/>
                <w:sz w:val="20"/>
                <w:szCs w:val="20"/>
                <w:vertAlign w:val="superscript"/>
              </w:rPr>
              <w:t>Ba</w:t>
            </w:r>
          </w:p>
        </w:tc>
        <w:tc>
          <w:tcPr>
            <w:tcW w:w="850" w:type="dxa"/>
          </w:tcPr>
          <w:p w:rsidR="00C14003" w:rsidRDefault="00452EDB">
            <w:pPr>
              <w:rPr>
                <w:rFonts w:ascii="Arial" w:eastAsia="Arial" w:hAnsi="Arial" w:cs="Arial"/>
                <w:sz w:val="20"/>
                <w:szCs w:val="20"/>
              </w:rPr>
            </w:pPr>
            <w:r>
              <w:rPr>
                <w:rFonts w:ascii="Arial" w:eastAsia="Arial" w:hAnsi="Arial" w:cs="Arial"/>
                <w:sz w:val="20"/>
                <w:szCs w:val="20"/>
              </w:rPr>
              <w:t>41.55</w:t>
            </w:r>
          </w:p>
        </w:tc>
      </w:tr>
      <w:tr w:rsidR="00C14003">
        <w:trPr>
          <w:trHeight w:val="251"/>
          <w:jc w:val="center"/>
        </w:trPr>
        <w:tc>
          <w:tcPr>
            <w:tcW w:w="2127" w:type="dxa"/>
          </w:tcPr>
          <w:p w:rsidR="00C14003" w:rsidRDefault="00452EDB">
            <w:pPr>
              <w:rPr>
                <w:rFonts w:ascii="Arial" w:eastAsia="Arial" w:hAnsi="Arial" w:cs="Arial"/>
                <w:sz w:val="20"/>
                <w:szCs w:val="20"/>
              </w:rPr>
            </w:pPr>
            <w:r>
              <w:rPr>
                <w:rFonts w:ascii="Arial" w:eastAsia="Arial" w:hAnsi="Arial" w:cs="Arial"/>
                <w:sz w:val="20"/>
                <w:szCs w:val="20"/>
              </w:rPr>
              <w:t>Chemical Module</w:t>
            </w:r>
          </w:p>
        </w:tc>
        <w:tc>
          <w:tcPr>
            <w:tcW w:w="1558" w:type="dxa"/>
          </w:tcPr>
          <w:p w:rsidR="00C14003" w:rsidRDefault="00452EDB">
            <w:pPr>
              <w:rPr>
                <w:rFonts w:ascii="Arial" w:eastAsia="Arial" w:hAnsi="Arial" w:cs="Arial"/>
                <w:sz w:val="20"/>
                <w:szCs w:val="20"/>
              </w:rPr>
            </w:pPr>
            <w:r>
              <w:rPr>
                <w:rFonts w:ascii="Arial" w:eastAsia="Arial" w:hAnsi="Arial" w:cs="Arial"/>
                <w:sz w:val="20"/>
                <w:szCs w:val="20"/>
              </w:rPr>
              <w:t>4.21±0.65</w:t>
            </w:r>
            <w:r>
              <w:rPr>
                <w:rFonts w:ascii="Arial" w:eastAsia="Arial" w:hAnsi="Arial" w:cs="Arial"/>
                <w:sz w:val="20"/>
                <w:szCs w:val="20"/>
                <w:vertAlign w:val="superscript"/>
              </w:rPr>
              <w:t>Cd</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31.354±0.72</w:t>
            </w:r>
            <w:r>
              <w:rPr>
                <w:rFonts w:ascii="Arial" w:eastAsia="Arial" w:hAnsi="Arial" w:cs="Arial"/>
                <w:sz w:val="20"/>
                <w:szCs w:val="20"/>
                <w:vertAlign w:val="superscript"/>
              </w:rPr>
              <w:t>Cc</w:t>
            </w:r>
          </w:p>
        </w:tc>
        <w:tc>
          <w:tcPr>
            <w:tcW w:w="1700" w:type="dxa"/>
          </w:tcPr>
          <w:p w:rsidR="00C14003" w:rsidRDefault="00452EDB">
            <w:pPr>
              <w:rPr>
                <w:rFonts w:ascii="Arial" w:eastAsia="Arial" w:hAnsi="Arial" w:cs="Arial"/>
                <w:sz w:val="20"/>
                <w:szCs w:val="20"/>
              </w:rPr>
            </w:pPr>
            <w:r>
              <w:rPr>
                <w:rFonts w:ascii="Arial" w:eastAsia="Arial" w:hAnsi="Arial" w:cs="Arial"/>
                <w:sz w:val="20"/>
                <w:szCs w:val="20"/>
              </w:rPr>
              <w:t>40.228±0.68</w:t>
            </w:r>
            <w:r>
              <w:rPr>
                <w:rFonts w:ascii="Arial" w:eastAsia="Arial" w:hAnsi="Arial" w:cs="Arial"/>
                <w:sz w:val="20"/>
                <w:szCs w:val="20"/>
                <w:vertAlign w:val="superscript"/>
              </w:rPr>
              <w:t>Cb</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51.04± 0.59</w:t>
            </w:r>
            <w:r>
              <w:rPr>
                <w:rFonts w:ascii="Arial" w:eastAsia="Arial" w:hAnsi="Arial" w:cs="Arial"/>
                <w:sz w:val="20"/>
                <w:szCs w:val="20"/>
                <w:vertAlign w:val="superscript"/>
              </w:rPr>
              <w:t>Ca</w:t>
            </w:r>
          </w:p>
        </w:tc>
        <w:tc>
          <w:tcPr>
            <w:tcW w:w="850" w:type="dxa"/>
          </w:tcPr>
          <w:p w:rsidR="00C14003" w:rsidRDefault="00452EDB">
            <w:pPr>
              <w:rPr>
                <w:rFonts w:ascii="Arial" w:eastAsia="Arial" w:hAnsi="Arial" w:cs="Arial"/>
                <w:sz w:val="20"/>
                <w:szCs w:val="20"/>
              </w:rPr>
            </w:pPr>
            <w:r>
              <w:rPr>
                <w:rFonts w:ascii="Arial" w:eastAsia="Arial" w:hAnsi="Arial" w:cs="Arial"/>
                <w:sz w:val="20"/>
                <w:szCs w:val="20"/>
              </w:rPr>
              <w:t>32.42</w:t>
            </w:r>
          </w:p>
        </w:tc>
      </w:tr>
      <w:tr w:rsidR="00C14003">
        <w:trPr>
          <w:trHeight w:val="257"/>
          <w:jc w:val="center"/>
        </w:trPr>
        <w:tc>
          <w:tcPr>
            <w:tcW w:w="2127" w:type="dxa"/>
          </w:tcPr>
          <w:p w:rsidR="00C14003" w:rsidRDefault="00452EDB">
            <w:pPr>
              <w:rPr>
                <w:rFonts w:ascii="Arial" w:eastAsia="Arial" w:hAnsi="Arial" w:cs="Arial"/>
                <w:sz w:val="20"/>
                <w:szCs w:val="20"/>
              </w:rPr>
            </w:pPr>
            <w:r>
              <w:rPr>
                <w:rFonts w:ascii="Arial" w:eastAsia="Arial" w:hAnsi="Arial" w:cs="Arial"/>
                <w:sz w:val="20"/>
                <w:szCs w:val="20"/>
              </w:rPr>
              <w:t>Untreated Control</w:t>
            </w:r>
          </w:p>
        </w:tc>
        <w:tc>
          <w:tcPr>
            <w:tcW w:w="1558" w:type="dxa"/>
          </w:tcPr>
          <w:p w:rsidR="00C14003" w:rsidRDefault="00452EDB">
            <w:pPr>
              <w:rPr>
                <w:rFonts w:ascii="Arial" w:eastAsia="Arial" w:hAnsi="Arial" w:cs="Arial"/>
                <w:sz w:val="20"/>
                <w:szCs w:val="20"/>
              </w:rPr>
            </w:pPr>
            <w:r>
              <w:rPr>
                <w:rFonts w:ascii="Arial" w:eastAsia="Arial" w:hAnsi="Arial" w:cs="Arial"/>
                <w:sz w:val="20"/>
                <w:szCs w:val="20"/>
              </w:rPr>
              <w:t>14.55±0.78</w:t>
            </w:r>
            <w:r>
              <w:rPr>
                <w:rFonts w:ascii="Arial" w:eastAsia="Arial" w:hAnsi="Arial" w:cs="Arial"/>
                <w:sz w:val="20"/>
                <w:szCs w:val="20"/>
                <w:vertAlign w:val="superscript"/>
              </w:rPr>
              <w:t>Ad</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75.208±1.01</w:t>
            </w:r>
            <w:r>
              <w:rPr>
                <w:rFonts w:ascii="Arial" w:eastAsia="Arial" w:hAnsi="Arial" w:cs="Arial"/>
                <w:sz w:val="20"/>
                <w:szCs w:val="20"/>
                <w:vertAlign w:val="superscript"/>
              </w:rPr>
              <w:t>Ac</w:t>
            </w:r>
          </w:p>
        </w:tc>
        <w:tc>
          <w:tcPr>
            <w:tcW w:w="1700" w:type="dxa"/>
          </w:tcPr>
          <w:p w:rsidR="00C14003" w:rsidRDefault="00452EDB">
            <w:pPr>
              <w:rPr>
                <w:rFonts w:ascii="Arial" w:eastAsia="Arial" w:hAnsi="Arial" w:cs="Arial"/>
                <w:sz w:val="20"/>
                <w:szCs w:val="20"/>
              </w:rPr>
            </w:pPr>
            <w:r>
              <w:rPr>
                <w:rFonts w:ascii="Arial" w:eastAsia="Arial" w:hAnsi="Arial" w:cs="Arial"/>
                <w:sz w:val="20"/>
                <w:szCs w:val="20"/>
              </w:rPr>
              <w:t>95.568±0.78</w:t>
            </w:r>
            <w:r>
              <w:rPr>
                <w:rFonts w:ascii="Arial" w:eastAsia="Arial" w:hAnsi="Arial" w:cs="Arial"/>
                <w:sz w:val="20"/>
                <w:szCs w:val="20"/>
                <w:vertAlign w:val="superscript"/>
              </w:rPr>
              <w:t>Ab</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99.422±0.22</w:t>
            </w:r>
            <w:r>
              <w:rPr>
                <w:rFonts w:ascii="Arial" w:eastAsia="Arial" w:hAnsi="Arial" w:cs="Arial"/>
                <w:sz w:val="20"/>
                <w:szCs w:val="20"/>
                <w:vertAlign w:val="superscript"/>
              </w:rPr>
              <w:t>Aa</w:t>
            </w:r>
          </w:p>
        </w:tc>
        <w:tc>
          <w:tcPr>
            <w:tcW w:w="850" w:type="dxa"/>
          </w:tcPr>
          <w:p w:rsidR="00C14003" w:rsidRDefault="00452EDB">
            <w:pPr>
              <w:rPr>
                <w:rFonts w:ascii="Arial" w:eastAsia="Arial" w:hAnsi="Arial" w:cs="Arial"/>
                <w:sz w:val="20"/>
                <w:szCs w:val="20"/>
              </w:rPr>
            </w:pPr>
            <w:r>
              <w:rPr>
                <w:rFonts w:ascii="Arial" w:eastAsia="Arial" w:hAnsi="Arial" w:cs="Arial"/>
                <w:sz w:val="20"/>
                <w:szCs w:val="20"/>
              </w:rPr>
              <w:t>8.68</w:t>
            </w:r>
          </w:p>
        </w:tc>
      </w:tr>
      <w:tr w:rsidR="00C14003">
        <w:trPr>
          <w:trHeight w:val="266"/>
          <w:jc w:val="center"/>
        </w:trPr>
        <w:tc>
          <w:tcPr>
            <w:tcW w:w="2127" w:type="dxa"/>
          </w:tcPr>
          <w:p w:rsidR="00C14003" w:rsidRDefault="00452EDB">
            <w:pPr>
              <w:rPr>
                <w:rFonts w:ascii="Arial" w:eastAsia="Arial" w:hAnsi="Arial" w:cs="Arial"/>
                <w:sz w:val="20"/>
                <w:szCs w:val="20"/>
              </w:rPr>
            </w:pPr>
            <w:r>
              <w:rPr>
                <w:rFonts w:ascii="Arial" w:eastAsia="Arial" w:hAnsi="Arial" w:cs="Arial"/>
                <w:sz w:val="20"/>
                <w:szCs w:val="20"/>
              </w:rPr>
              <w:t>F value</w:t>
            </w:r>
          </w:p>
        </w:tc>
        <w:tc>
          <w:tcPr>
            <w:tcW w:w="1558" w:type="dxa"/>
          </w:tcPr>
          <w:p w:rsidR="00C14003" w:rsidRDefault="00452EDB">
            <w:pPr>
              <w:rPr>
                <w:rFonts w:ascii="Arial" w:eastAsia="Arial" w:hAnsi="Arial" w:cs="Arial"/>
                <w:sz w:val="20"/>
                <w:szCs w:val="20"/>
              </w:rPr>
            </w:pPr>
            <w:r>
              <w:rPr>
                <w:rFonts w:ascii="Arial" w:eastAsia="Arial" w:hAnsi="Arial" w:cs="Arial"/>
                <w:sz w:val="20"/>
                <w:szCs w:val="20"/>
              </w:rPr>
              <w:t>49.09</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14.10</w:t>
            </w:r>
          </w:p>
        </w:tc>
        <w:tc>
          <w:tcPr>
            <w:tcW w:w="1700" w:type="dxa"/>
          </w:tcPr>
          <w:p w:rsidR="00C14003" w:rsidRDefault="00452EDB">
            <w:pPr>
              <w:rPr>
                <w:rFonts w:ascii="Arial" w:eastAsia="Arial" w:hAnsi="Arial" w:cs="Arial"/>
                <w:sz w:val="20"/>
                <w:szCs w:val="20"/>
              </w:rPr>
            </w:pPr>
            <w:r>
              <w:rPr>
                <w:rFonts w:ascii="Arial" w:eastAsia="Arial" w:hAnsi="Arial" w:cs="Arial"/>
                <w:sz w:val="20"/>
                <w:szCs w:val="20"/>
              </w:rPr>
              <w:t>211.64</w:t>
            </w:r>
          </w:p>
        </w:tc>
        <w:tc>
          <w:tcPr>
            <w:tcW w:w="1702" w:type="dxa"/>
          </w:tcPr>
          <w:p w:rsidR="00C14003" w:rsidRDefault="00452EDB">
            <w:pPr>
              <w:rPr>
                <w:rFonts w:ascii="Arial" w:eastAsia="Arial" w:hAnsi="Arial" w:cs="Arial"/>
                <w:sz w:val="20"/>
                <w:szCs w:val="20"/>
              </w:rPr>
            </w:pPr>
            <w:r>
              <w:rPr>
                <w:rFonts w:ascii="Arial" w:eastAsia="Arial" w:hAnsi="Arial" w:cs="Arial"/>
                <w:sz w:val="20"/>
                <w:szCs w:val="20"/>
              </w:rPr>
              <w:t>4.94</w:t>
            </w:r>
          </w:p>
        </w:tc>
        <w:tc>
          <w:tcPr>
            <w:tcW w:w="850" w:type="dxa"/>
          </w:tcPr>
          <w:p w:rsidR="00C14003" w:rsidRDefault="00452EDB">
            <w:pPr>
              <w:rPr>
                <w:rFonts w:ascii="Arial" w:eastAsia="Arial" w:hAnsi="Arial" w:cs="Arial"/>
                <w:sz w:val="20"/>
                <w:szCs w:val="20"/>
              </w:rPr>
            </w:pPr>
            <w:r>
              <w:rPr>
                <w:rFonts w:ascii="Arial" w:eastAsia="Arial" w:hAnsi="Arial" w:cs="Arial"/>
                <w:sz w:val="20"/>
                <w:szCs w:val="20"/>
              </w:rPr>
              <w:t xml:space="preserve">   -</w:t>
            </w:r>
          </w:p>
        </w:tc>
      </w:tr>
    </w:tbl>
    <w:p w:rsidR="00C14003" w:rsidRDefault="00452EDB">
      <w:pPr>
        <w:jc w:val="both"/>
        <w:rPr>
          <w:rFonts w:ascii="Arial" w:eastAsia="Arial" w:hAnsi="Arial" w:cs="Arial"/>
          <w:sz w:val="20"/>
          <w:szCs w:val="20"/>
        </w:rPr>
      </w:pPr>
      <w:r>
        <w:rPr>
          <w:rFonts w:ascii="Arial" w:eastAsia="Arial" w:hAnsi="Arial" w:cs="Arial"/>
          <w:sz w:val="20"/>
          <w:szCs w:val="20"/>
        </w:rPr>
        <w:t>Lowercase letters indicate significant differences over time (DAS), and uppercase letters indicate significant differences across management modules. *DAS = Days After Sowing.</w:t>
      </w:r>
    </w:p>
    <w:p w:rsidR="00C14003" w:rsidRDefault="00452EDB">
      <w:pPr>
        <w:pBdr>
          <w:top w:val="nil"/>
          <w:left w:val="nil"/>
          <w:bottom w:val="nil"/>
          <w:right w:val="nil"/>
          <w:between w:val="nil"/>
        </w:pBdr>
        <w:spacing w:before="280" w:after="280" w:line="36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Finally, the study elucidated the seasonal incidence of </w:t>
      </w:r>
      <w:r>
        <w:rPr>
          <w:rFonts w:ascii="Arial" w:eastAsia="Arial" w:hAnsi="Arial" w:cs="Arial"/>
          <w:i/>
          <w:color w:val="000000"/>
          <w:sz w:val="20"/>
          <w:szCs w:val="20"/>
        </w:rPr>
        <w:t>S. dorsalis</w:t>
      </w:r>
      <w:r>
        <w:rPr>
          <w:rFonts w:ascii="Arial" w:eastAsia="Arial" w:hAnsi="Arial" w:cs="Arial"/>
          <w:color w:val="000000"/>
          <w:sz w:val="20"/>
          <w:szCs w:val="20"/>
        </w:rPr>
        <w:t xml:space="preserve"> on groundnut</w:t>
      </w:r>
      <w:r>
        <w:rPr>
          <w:rFonts w:ascii="Arial" w:eastAsia="Arial" w:hAnsi="Arial" w:cs="Arial"/>
          <w:color w:val="000000"/>
          <w:sz w:val="20"/>
          <w:szCs w:val="20"/>
        </w:rPr>
        <w:t xml:space="preserve"> in the Tirupati district, Andhra Pradesh, revealing their peak infestation periods and associations with weather factors such as temperature and humidity. The research identified critical stages of </w:t>
      </w:r>
      <w:proofErr w:type="spellStart"/>
      <w:r>
        <w:rPr>
          <w:rFonts w:ascii="Arial" w:eastAsia="Arial" w:hAnsi="Arial" w:cs="Arial"/>
          <w:color w:val="000000"/>
          <w:sz w:val="20"/>
          <w:szCs w:val="20"/>
        </w:rPr>
        <w:t>thrips</w:t>
      </w:r>
      <w:proofErr w:type="spellEnd"/>
      <w:r>
        <w:rPr>
          <w:rFonts w:ascii="Arial" w:eastAsia="Arial" w:hAnsi="Arial" w:cs="Arial"/>
          <w:color w:val="000000"/>
          <w:sz w:val="20"/>
          <w:szCs w:val="20"/>
        </w:rPr>
        <w:t xml:space="preserve"> damage and demonstrated the effectiveness of three</w:t>
      </w:r>
      <w:r>
        <w:rPr>
          <w:rFonts w:ascii="Arial" w:eastAsia="Arial" w:hAnsi="Arial" w:cs="Arial"/>
          <w:color w:val="000000"/>
          <w:sz w:val="20"/>
          <w:szCs w:val="20"/>
        </w:rPr>
        <w:t xml:space="preserve"> distinct management modules in reducing infestation levels. While the Chemical module yielded the lowest foliar damage through targeted insecticide application, the Eco-friendly module fostered a higher population of beneficial natural enemies, enhancing </w:t>
      </w:r>
      <w:r>
        <w:rPr>
          <w:rFonts w:ascii="Arial" w:eastAsia="Arial" w:hAnsi="Arial" w:cs="Arial"/>
          <w:color w:val="000000"/>
          <w:sz w:val="20"/>
          <w:szCs w:val="20"/>
        </w:rPr>
        <w:t>overall pest suppression. This dual approach highlights the importance of integrating chemical and eco-friendly practices for sustainable pest management in groundnut cultivation.</w:t>
      </w:r>
    </w:p>
    <w:p w:rsidR="00C14003" w:rsidRDefault="00C14003">
      <w:pPr>
        <w:rPr>
          <w:rFonts w:ascii="Arial" w:eastAsia="Arial" w:hAnsi="Arial" w:cs="Arial"/>
          <w:b/>
          <w:sz w:val="20"/>
          <w:szCs w:val="20"/>
        </w:rPr>
      </w:pPr>
    </w:p>
    <w:p w:rsidR="00C14003" w:rsidRDefault="00452EDB">
      <w:pPr>
        <w:rPr>
          <w:rFonts w:ascii="Arial" w:eastAsia="Arial" w:hAnsi="Arial" w:cs="Arial"/>
          <w:b/>
          <w:sz w:val="20"/>
          <w:szCs w:val="20"/>
        </w:rPr>
      </w:pPr>
      <w:r>
        <w:rPr>
          <w:rFonts w:ascii="Arial" w:eastAsia="Arial" w:hAnsi="Arial" w:cs="Arial"/>
          <w:b/>
          <w:sz w:val="20"/>
          <w:szCs w:val="20"/>
        </w:rPr>
        <w:t>REFERENCES</w:t>
      </w:r>
    </w:p>
    <w:p w:rsidR="00C14003" w:rsidRDefault="00452EDB">
      <w:pPr>
        <w:jc w:val="both"/>
        <w:rPr>
          <w:rFonts w:ascii="Arial" w:eastAsia="Arial" w:hAnsi="Arial" w:cs="Arial"/>
          <w:sz w:val="20"/>
          <w:szCs w:val="20"/>
        </w:rPr>
      </w:pPr>
      <w:r>
        <w:rPr>
          <w:rFonts w:ascii="Arial" w:eastAsia="Arial" w:hAnsi="Arial" w:cs="Arial"/>
          <w:sz w:val="20"/>
          <w:szCs w:val="20"/>
        </w:rPr>
        <w:t xml:space="preserve">Bhatt, B. </w:t>
      </w:r>
      <w:proofErr w:type="spellStart"/>
      <w:r>
        <w:rPr>
          <w:rFonts w:ascii="Arial" w:eastAsia="Arial" w:hAnsi="Arial" w:cs="Arial"/>
          <w:sz w:val="20"/>
          <w:szCs w:val="20"/>
        </w:rPr>
        <w:t>Karnatak</w:t>
      </w:r>
      <w:proofErr w:type="spellEnd"/>
      <w:r>
        <w:rPr>
          <w:rFonts w:ascii="Arial" w:eastAsia="Arial" w:hAnsi="Arial" w:cs="Arial"/>
          <w:sz w:val="20"/>
          <w:szCs w:val="20"/>
        </w:rPr>
        <w:t>., &amp; A. K., 2018. Population dynamics of sucking pests and their predators on okra agroecosystem. Journal of Entomo</w:t>
      </w:r>
      <w:r>
        <w:rPr>
          <w:rFonts w:ascii="Arial" w:eastAsia="Arial" w:hAnsi="Arial" w:cs="Arial"/>
          <w:sz w:val="20"/>
          <w:szCs w:val="20"/>
        </w:rPr>
        <w:t>logy and Zoology Studies, 6(2), 1289- 1291.</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t>Dhatri</w:t>
      </w:r>
      <w:proofErr w:type="spellEnd"/>
      <w:r>
        <w:rPr>
          <w:rFonts w:ascii="Arial" w:eastAsia="Arial" w:hAnsi="Arial" w:cs="Arial"/>
          <w:sz w:val="20"/>
          <w:szCs w:val="20"/>
        </w:rPr>
        <w:t xml:space="preserve">, K. S., </w:t>
      </w:r>
      <w:proofErr w:type="spellStart"/>
      <w:r>
        <w:rPr>
          <w:rFonts w:ascii="Arial" w:eastAsia="Arial" w:hAnsi="Arial" w:cs="Arial"/>
          <w:sz w:val="20"/>
          <w:szCs w:val="20"/>
        </w:rPr>
        <w:t>Chalam</w:t>
      </w:r>
      <w:proofErr w:type="spellEnd"/>
      <w:r>
        <w:rPr>
          <w:rFonts w:ascii="Arial" w:eastAsia="Arial" w:hAnsi="Arial" w:cs="Arial"/>
          <w:sz w:val="20"/>
          <w:szCs w:val="20"/>
        </w:rPr>
        <w:t xml:space="preserve">, M. S. V., Rajesh, A., Murthy, B. R., &amp; </w:t>
      </w:r>
      <w:proofErr w:type="spellStart"/>
      <w:r>
        <w:rPr>
          <w:rFonts w:ascii="Arial" w:eastAsia="Arial" w:hAnsi="Arial" w:cs="Arial"/>
          <w:sz w:val="20"/>
          <w:szCs w:val="20"/>
        </w:rPr>
        <w:t>Venkateswarlu</w:t>
      </w:r>
      <w:proofErr w:type="spellEnd"/>
      <w:r>
        <w:rPr>
          <w:rFonts w:ascii="Arial" w:eastAsia="Arial" w:hAnsi="Arial" w:cs="Arial"/>
          <w:sz w:val="20"/>
          <w:szCs w:val="20"/>
        </w:rPr>
        <w:t>, N. C., 2021. Bio-efficacy of newer insecticides against sucking insect pest complex of groundnut (</w:t>
      </w:r>
      <w:proofErr w:type="spellStart"/>
      <w:r>
        <w:rPr>
          <w:rFonts w:ascii="Arial" w:eastAsia="Arial" w:hAnsi="Arial" w:cs="Arial"/>
          <w:i/>
          <w:sz w:val="20"/>
          <w:szCs w:val="20"/>
        </w:rPr>
        <w:t>Arachis</w:t>
      </w:r>
      <w:proofErr w:type="spellEnd"/>
      <w:r>
        <w:rPr>
          <w:rFonts w:ascii="Arial" w:eastAsia="Arial" w:hAnsi="Arial" w:cs="Arial"/>
          <w:i/>
          <w:sz w:val="20"/>
          <w:szCs w:val="20"/>
        </w:rPr>
        <w:t xml:space="preserve"> hypogea </w:t>
      </w:r>
      <w:r>
        <w:rPr>
          <w:rFonts w:ascii="Arial" w:eastAsia="Arial" w:hAnsi="Arial" w:cs="Arial"/>
          <w:sz w:val="20"/>
          <w:szCs w:val="20"/>
        </w:rPr>
        <w:t>L.). The Pharma Innov</w:t>
      </w:r>
      <w:r>
        <w:rPr>
          <w:rFonts w:ascii="Arial" w:eastAsia="Arial" w:hAnsi="Arial" w:cs="Arial"/>
          <w:sz w:val="20"/>
          <w:szCs w:val="20"/>
        </w:rPr>
        <w:t>ation Journal, 10(7), 621-627.</w:t>
      </w:r>
    </w:p>
    <w:p w:rsidR="00C14003" w:rsidRDefault="00452EDB">
      <w:pPr>
        <w:jc w:val="both"/>
        <w:rPr>
          <w:rFonts w:ascii="Arial" w:eastAsia="Arial" w:hAnsi="Arial" w:cs="Arial"/>
          <w:sz w:val="20"/>
          <w:szCs w:val="20"/>
        </w:rPr>
      </w:pPr>
      <w:r>
        <w:rPr>
          <w:rFonts w:ascii="Arial" w:eastAsia="Arial" w:hAnsi="Arial" w:cs="Arial"/>
          <w:sz w:val="20"/>
          <w:szCs w:val="20"/>
        </w:rPr>
        <w:t xml:space="preserve">Directorate of Economics and Statistics. 2021, </w:t>
      </w:r>
      <w:hyperlink r:id="rId6">
        <w:r>
          <w:rPr>
            <w:rFonts w:ascii="Arial" w:eastAsia="Arial" w:hAnsi="Arial" w:cs="Arial"/>
            <w:color w:val="0563C1"/>
            <w:sz w:val="20"/>
            <w:szCs w:val="20"/>
            <w:u w:val="single"/>
          </w:rPr>
          <w:t>https://des.ap.gov.in/</w:t>
        </w:r>
      </w:hyperlink>
    </w:p>
    <w:p w:rsidR="00C14003" w:rsidRDefault="00452EDB">
      <w:pPr>
        <w:jc w:val="both"/>
        <w:rPr>
          <w:rFonts w:ascii="Arial" w:eastAsia="Arial" w:hAnsi="Arial" w:cs="Arial"/>
          <w:sz w:val="20"/>
          <w:szCs w:val="20"/>
        </w:rPr>
      </w:pPr>
      <w:r>
        <w:rPr>
          <w:rFonts w:ascii="Arial" w:eastAsia="Arial" w:hAnsi="Arial" w:cs="Arial"/>
          <w:sz w:val="20"/>
          <w:szCs w:val="20"/>
        </w:rPr>
        <w:t>Duncan, D. B., 1955. Duncan new multiple range test. </w:t>
      </w:r>
      <w:r>
        <w:rPr>
          <w:rFonts w:ascii="Arial" w:eastAsia="Arial" w:hAnsi="Arial" w:cs="Arial"/>
          <w:i/>
          <w:sz w:val="20"/>
          <w:szCs w:val="20"/>
        </w:rPr>
        <w:t>Biometrics</w:t>
      </w:r>
      <w:r>
        <w:rPr>
          <w:rFonts w:ascii="Arial" w:eastAsia="Arial" w:hAnsi="Arial" w:cs="Arial"/>
          <w:sz w:val="20"/>
          <w:szCs w:val="20"/>
        </w:rPr>
        <w:t>. 11, 1-42.</w:t>
      </w:r>
    </w:p>
    <w:p w:rsidR="00C14003" w:rsidRDefault="00452EDB">
      <w:pPr>
        <w:jc w:val="both"/>
        <w:rPr>
          <w:rFonts w:ascii="Arial" w:eastAsia="Arial" w:hAnsi="Arial" w:cs="Arial"/>
          <w:sz w:val="20"/>
          <w:szCs w:val="20"/>
        </w:rPr>
      </w:pPr>
      <w:r>
        <w:rPr>
          <w:rFonts w:ascii="Arial" w:eastAsia="Arial" w:hAnsi="Arial" w:cs="Arial"/>
          <w:sz w:val="20"/>
          <w:szCs w:val="20"/>
        </w:rPr>
        <w:t xml:space="preserve">Dwivedi, S. A., &amp; Devi, S. S., 2018. </w:t>
      </w:r>
      <w:proofErr w:type="spellStart"/>
      <w:r>
        <w:rPr>
          <w:rFonts w:ascii="Arial" w:eastAsia="Arial" w:hAnsi="Arial" w:cs="Arial"/>
          <w:sz w:val="20"/>
          <w:szCs w:val="20"/>
        </w:rPr>
        <w:t>Ecofriendly</w:t>
      </w:r>
      <w:proofErr w:type="spellEnd"/>
      <w:r>
        <w:rPr>
          <w:rFonts w:ascii="Arial" w:eastAsia="Arial" w:hAnsi="Arial" w:cs="Arial"/>
          <w:sz w:val="20"/>
          <w:szCs w:val="20"/>
        </w:rPr>
        <w:t xml:space="preserve"> Sustainable management of Sap feeder pests in Groundnut. International Journal of Chemical Studies 8(6), 195-199.</w:t>
      </w:r>
    </w:p>
    <w:p w:rsidR="00C14003" w:rsidRDefault="00452EDB">
      <w:pPr>
        <w:jc w:val="both"/>
        <w:rPr>
          <w:rFonts w:ascii="Arial" w:eastAsia="Arial" w:hAnsi="Arial" w:cs="Arial"/>
          <w:sz w:val="20"/>
          <w:szCs w:val="20"/>
        </w:rPr>
      </w:pPr>
      <w:r>
        <w:rPr>
          <w:rFonts w:ascii="Arial" w:eastAsia="Arial" w:hAnsi="Arial" w:cs="Arial"/>
          <w:sz w:val="20"/>
          <w:szCs w:val="20"/>
        </w:rPr>
        <w:t>FAOSTAT. 2020-2021. Food and Agriculture Organisation of the United Nations. World Agricultur</w:t>
      </w:r>
      <w:r>
        <w:rPr>
          <w:rFonts w:ascii="Arial" w:eastAsia="Arial" w:hAnsi="Arial" w:cs="Arial"/>
          <w:sz w:val="20"/>
          <w:szCs w:val="20"/>
        </w:rPr>
        <w:t xml:space="preserve">al Production, Rome, Italy. </w:t>
      </w:r>
      <w:hyperlink r:id="rId7">
        <w:r>
          <w:rPr>
            <w:rFonts w:ascii="Arial" w:eastAsia="Arial" w:hAnsi="Arial" w:cs="Arial"/>
            <w:color w:val="0563C1"/>
            <w:sz w:val="20"/>
            <w:szCs w:val="20"/>
            <w:u w:val="single"/>
          </w:rPr>
          <w:t>http://faostat.fao.org/</w:t>
        </w:r>
      </w:hyperlink>
      <w:r>
        <w:rPr>
          <w:rFonts w:ascii="Arial" w:eastAsia="Arial" w:hAnsi="Arial" w:cs="Arial"/>
          <w:sz w:val="20"/>
          <w:szCs w:val="20"/>
        </w:rPr>
        <w:t>.</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t>Jasrotia</w:t>
      </w:r>
      <w:proofErr w:type="spellEnd"/>
      <w:r>
        <w:rPr>
          <w:rFonts w:ascii="Arial" w:eastAsia="Arial" w:hAnsi="Arial" w:cs="Arial"/>
          <w:sz w:val="20"/>
          <w:szCs w:val="20"/>
        </w:rPr>
        <w:t xml:space="preserve">, P., Jadon, K. S., Singh, S. K., Nataraja, M. V., Harish, G., Dutta. R., </w:t>
      </w:r>
      <w:proofErr w:type="spellStart"/>
      <w:r>
        <w:rPr>
          <w:rFonts w:ascii="Arial" w:eastAsia="Arial" w:hAnsi="Arial" w:cs="Arial"/>
          <w:sz w:val="20"/>
          <w:szCs w:val="20"/>
        </w:rPr>
        <w:t>Padvi</w:t>
      </w:r>
      <w:proofErr w:type="spellEnd"/>
      <w:r>
        <w:rPr>
          <w:rFonts w:ascii="Arial" w:eastAsia="Arial" w:hAnsi="Arial" w:cs="Arial"/>
          <w:sz w:val="20"/>
          <w:szCs w:val="20"/>
        </w:rPr>
        <w:t xml:space="preserve"> &amp; R. D., </w:t>
      </w:r>
      <w:proofErr w:type="spellStart"/>
      <w:r>
        <w:rPr>
          <w:rFonts w:ascii="Arial" w:eastAsia="Arial" w:hAnsi="Arial" w:cs="Arial"/>
          <w:sz w:val="20"/>
          <w:szCs w:val="20"/>
        </w:rPr>
        <w:t>Savaliya</w:t>
      </w:r>
      <w:proofErr w:type="spellEnd"/>
      <w:r>
        <w:rPr>
          <w:rFonts w:ascii="Arial" w:eastAsia="Arial" w:hAnsi="Arial" w:cs="Arial"/>
          <w:sz w:val="20"/>
          <w:szCs w:val="20"/>
        </w:rPr>
        <w:t>, S. D., 2020. Development and validation of IPM module</w:t>
      </w:r>
      <w:r>
        <w:rPr>
          <w:rFonts w:ascii="Arial" w:eastAsia="Arial" w:hAnsi="Arial" w:cs="Arial"/>
          <w:sz w:val="20"/>
          <w:szCs w:val="20"/>
        </w:rPr>
        <w:t>s against major sucking insect-pests of groundnut. Legume Research-An International Journal, 43(4), 592-597.</w:t>
      </w:r>
    </w:p>
    <w:p w:rsidR="00C14003" w:rsidRDefault="00452EDB">
      <w:pPr>
        <w:jc w:val="both"/>
        <w:rPr>
          <w:rFonts w:ascii="Arial" w:eastAsia="Arial" w:hAnsi="Arial" w:cs="Arial"/>
          <w:sz w:val="20"/>
          <w:szCs w:val="20"/>
        </w:rPr>
      </w:pPr>
      <w:r>
        <w:rPr>
          <w:rFonts w:ascii="Arial" w:eastAsia="Arial" w:hAnsi="Arial" w:cs="Arial"/>
          <w:sz w:val="20"/>
          <w:szCs w:val="20"/>
        </w:rPr>
        <w:t xml:space="preserve">Jayanthi, M., Singh, K. M., &amp; Singh, R. N., 1993, Population </w:t>
      </w:r>
      <w:proofErr w:type="spellStart"/>
      <w:r>
        <w:rPr>
          <w:rFonts w:ascii="Arial" w:eastAsia="Arial" w:hAnsi="Arial" w:cs="Arial"/>
          <w:sz w:val="20"/>
          <w:szCs w:val="20"/>
        </w:rPr>
        <w:t>build up</w:t>
      </w:r>
      <w:proofErr w:type="spellEnd"/>
      <w:r>
        <w:rPr>
          <w:rFonts w:ascii="Arial" w:eastAsia="Arial" w:hAnsi="Arial" w:cs="Arial"/>
          <w:sz w:val="20"/>
          <w:szCs w:val="20"/>
        </w:rPr>
        <w:t xml:space="preserve"> of insect pests on MH 4 variety of groundnut influenced by abiotic factors. I</w:t>
      </w:r>
      <w:r>
        <w:rPr>
          <w:rFonts w:ascii="Arial" w:eastAsia="Arial" w:hAnsi="Arial" w:cs="Arial"/>
          <w:sz w:val="20"/>
          <w:szCs w:val="20"/>
        </w:rPr>
        <w:t>ndian Journal of Entomology, 55(2), 109-123.</w:t>
      </w:r>
    </w:p>
    <w:p w:rsidR="00C14003" w:rsidRDefault="00452EDB">
      <w:pPr>
        <w:jc w:val="both"/>
        <w:rPr>
          <w:rFonts w:ascii="Arial" w:eastAsia="Arial" w:hAnsi="Arial" w:cs="Arial"/>
          <w:sz w:val="20"/>
          <w:szCs w:val="20"/>
        </w:rPr>
      </w:pPr>
      <w:r>
        <w:rPr>
          <w:rFonts w:ascii="Arial" w:eastAsia="Arial" w:hAnsi="Arial" w:cs="Arial"/>
          <w:sz w:val="20"/>
          <w:szCs w:val="20"/>
        </w:rPr>
        <w:t xml:space="preserve">Jena, B. C., &amp; </w:t>
      </w:r>
      <w:proofErr w:type="spellStart"/>
      <w:r>
        <w:rPr>
          <w:rFonts w:ascii="Arial" w:eastAsia="Arial" w:hAnsi="Arial" w:cs="Arial"/>
          <w:sz w:val="20"/>
          <w:szCs w:val="20"/>
        </w:rPr>
        <w:t>Kuila</w:t>
      </w:r>
      <w:proofErr w:type="spellEnd"/>
      <w:r>
        <w:rPr>
          <w:rFonts w:ascii="Arial" w:eastAsia="Arial" w:hAnsi="Arial" w:cs="Arial"/>
          <w:sz w:val="20"/>
          <w:szCs w:val="20"/>
        </w:rPr>
        <w:t xml:space="preserve">, B., 1996. </w:t>
      </w:r>
      <w:proofErr w:type="spellStart"/>
      <w:r>
        <w:rPr>
          <w:rFonts w:ascii="Arial" w:eastAsia="Arial" w:hAnsi="Arial" w:cs="Arial"/>
          <w:sz w:val="20"/>
          <w:szCs w:val="20"/>
        </w:rPr>
        <w:t>Jassid</w:t>
      </w:r>
      <w:proofErr w:type="spellEnd"/>
      <w:r>
        <w:rPr>
          <w:rFonts w:ascii="Arial" w:eastAsia="Arial" w:hAnsi="Arial" w:cs="Arial"/>
          <w:sz w:val="20"/>
          <w:szCs w:val="20"/>
        </w:rPr>
        <w:t xml:space="preserve"> infestation in groundnut and its chemical control. Indian Journal of Entomology, 58, 378- 381.</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t>Kandakoor</w:t>
      </w:r>
      <w:proofErr w:type="spellEnd"/>
      <w:r>
        <w:rPr>
          <w:rFonts w:ascii="Arial" w:eastAsia="Arial" w:hAnsi="Arial" w:cs="Arial"/>
          <w:sz w:val="20"/>
          <w:szCs w:val="20"/>
        </w:rPr>
        <w:t xml:space="preserve">, B., Khan, K. H., Gowda, B. G., Chakravarthy, A. K., Kumar, C. T. A., </w:t>
      </w:r>
      <w:proofErr w:type="spellStart"/>
      <w:r>
        <w:rPr>
          <w:rFonts w:ascii="Arial" w:eastAsia="Arial" w:hAnsi="Arial" w:cs="Arial"/>
          <w:sz w:val="20"/>
          <w:szCs w:val="20"/>
        </w:rPr>
        <w:t>Venkataravana</w:t>
      </w:r>
      <w:proofErr w:type="spellEnd"/>
      <w:r>
        <w:rPr>
          <w:rFonts w:ascii="Arial" w:eastAsia="Arial" w:hAnsi="Arial" w:cs="Arial"/>
          <w:sz w:val="20"/>
          <w:szCs w:val="20"/>
        </w:rPr>
        <w:t xml:space="preserve">, P. 2012. The incidence and abundance of sucking insect pests on groundnut. Current </w:t>
      </w:r>
      <w:proofErr w:type="spellStart"/>
      <w:r>
        <w:rPr>
          <w:rFonts w:ascii="Arial" w:eastAsia="Arial" w:hAnsi="Arial" w:cs="Arial"/>
          <w:sz w:val="20"/>
          <w:szCs w:val="20"/>
        </w:rPr>
        <w:t>Biotica</w:t>
      </w:r>
      <w:proofErr w:type="spellEnd"/>
      <w:r>
        <w:rPr>
          <w:rFonts w:ascii="Arial" w:eastAsia="Arial" w:hAnsi="Arial" w:cs="Arial"/>
          <w:sz w:val="20"/>
          <w:szCs w:val="20"/>
        </w:rPr>
        <w:t>, 6(3), 342-348.</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t>Karuppuchamy</w:t>
      </w:r>
      <w:proofErr w:type="spellEnd"/>
      <w:r>
        <w:rPr>
          <w:rFonts w:ascii="Arial" w:eastAsia="Arial" w:hAnsi="Arial" w:cs="Arial"/>
          <w:sz w:val="20"/>
          <w:szCs w:val="20"/>
        </w:rPr>
        <w:t>, P. 2016. Ecologically Sustainable Pest M</w:t>
      </w:r>
      <w:r>
        <w:rPr>
          <w:rFonts w:ascii="Arial" w:eastAsia="Arial" w:hAnsi="Arial" w:cs="Arial"/>
          <w:sz w:val="20"/>
          <w:szCs w:val="20"/>
        </w:rPr>
        <w:t xml:space="preserve">anagement for </w:t>
      </w:r>
      <w:proofErr w:type="spellStart"/>
      <w:r>
        <w:rPr>
          <w:rFonts w:ascii="Arial" w:eastAsia="Arial" w:hAnsi="Arial" w:cs="Arial"/>
          <w:sz w:val="20"/>
          <w:szCs w:val="20"/>
        </w:rPr>
        <w:t>Thrips</w:t>
      </w:r>
      <w:proofErr w:type="spellEnd"/>
      <w:r>
        <w:rPr>
          <w:rFonts w:ascii="Arial" w:eastAsia="Arial" w:hAnsi="Arial" w:cs="Arial"/>
          <w:sz w:val="20"/>
          <w:szCs w:val="20"/>
        </w:rPr>
        <w:t xml:space="preserve"> and Aphids in Groundnut. Madras Agricultural Journal, 103(4-6), 141- 145.</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lastRenderedPageBreak/>
        <w:t>Kumbhar</w:t>
      </w:r>
      <w:proofErr w:type="spellEnd"/>
      <w:r>
        <w:rPr>
          <w:rFonts w:ascii="Arial" w:eastAsia="Arial" w:hAnsi="Arial" w:cs="Arial"/>
          <w:sz w:val="20"/>
          <w:szCs w:val="20"/>
        </w:rPr>
        <w:t xml:space="preserve">, N. B., </w:t>
      </w:r>
      <w:proofErr w:type="spellStart"/>
      <w:r>
        <w:rPr>
          <w:rFonts w:ascii="Arial" w:eastAsia="Arial" w:hAnsi="Arial" w:cs="Arial"/>
          <w:sz w:val="20"/>
          <w:szCs w:val="20"/>
        </w:rPr>
        <w:t>Mutkule</w:t>
      </w:r>
      <w:proofErr w:type="spellEnd"/>
      <w:r>
        <w:rPr>
          <w:rFonts w:ascii="Arial" w:eastAsia="Arial" w:hAnsi="Arial" w:cs="Arial"/>
          <w:sz w:val="20"/>
          <w:szCs w:val="20"/>
        </w:rPr>
        <w:t xml:space="preserve">, D. S., </w:t>
      </w:r>
      <w:proofErr w:type="spellStart"/>
      <w:r>
        <w:rPr>
          <w:rFonts w:ascii="Arial" w:eastAsia="Arial" w:hAnsi="Arial" w:cs="Arial"/>
          <w:sz w:val="20"/>
          <w:szCs w:val="20"/>
        </w:rPr>
        <w:t>Fand</w:t>
      </w:r>
      <w:proofErr w:type="spellEnd"/>
      <w:r>
        <w:rPr>
          <w:rFonts w:ascii="Arial" w:eastAsia="Arial" w:hAnsi="Arial" w:cs="Arial"/>
          <w:sz w:val="20"/>
          <w:szCs w:val="20"/>
        </w:rPr>
        <w:t xml:space="preserve">, D. N., Gore, S. H., </w:t>
      </w:r>
      <w:proofErr w:type="spellStart"/>
      <w:r>
        <w:rPr>
          <w:rFonts w:ascii="Arial" w:eastAsia="Arial" w:hAnsi="Arial" w:cs="Arial"/>
          <w:sz w:val="20"/>
          <w:szCs w:val="20"/>
        </w:rPr>
        <w:t>Ghodke</w:t>
      </w:r>
      <w:proofErr w:type="spellEnd"/>
      <w:r>
        <w:rPr>
          <w:rFonts w:ascii="Arial" w:eastAsia="Arial" w:hAnsi="Arial" w:cs="Arial"/>
          <w:sz w:val="20"/>
          <w:szCs w:val="20"/>
        </w:rPr>
        <w:t xml:space="preserve">, S. S., </w:t>
      </w:r>
      <w:proofErr w:type="spellStart"/>
      <w:r>
        <w:rPr>
          <w:rFonts w:ascii="Arial" w:eastAsia="Arial" w:hAnsi="Arial" w:cs="Arial"/>
          <w:sz w:val="20"/>
          <w:szCs w:val="20"/>
        </w:rPr>
        <w:t>Biradar</w:t>
      </w:r>
      <w:proofErr w:type="spellEnd"/>
      <w:r>
        <w:rPr>
          <w:rFonts w:ascii="Arial" w:eastAsia="Arial" w:hAnsi="Arial" w:cs="Arial"/>
          <w:sz w:val="20"/>
          <w:szCs w:val="20"/>
        </w:rPr>
        <w:t>, J. M., 2021. Studies on the population dynamics of different insect pest of gro</w:t>
      </w:r>
      <w:r>
        <w:rPr>
          <w:rFonts w:ascii="Arial" w:eastAsia="Arial" w:hAnsi="Arial" w:cs="Arial"/>
          <w:sz w:val="20"/>
          <w:szCs w:val="20"/>
        </w:rPr>
        <w:t>undnut. The Pharma Innovation Journal, 10(12), 1958-1964</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t>Nandagopal</w:t>
      </w:r>
      <w:proofErr w:type="spellEnd"/>
      <w:r>
        <w:rPr>
          <w:rFonts w:ascii="Arial" w:eastAsia="Arial" w:hAnsi="Arial" w:cs="Arial"/>
          <w:sz w:val="20"/>
          <w:szCs w:val="20"/>
        </w:rPr>
        <w:t xml:space="preserve">, V., Prasad, T. V., </w:t>
      </w:r>
      <w:proofErr w:type="spellStart"/>
      <w:r>
        <w:rPr>
          <w:rFonts w:ascii="Arial" w:eastAsia="Arial" w:hAnsi="Arial" w:cs="Arial"/>
          <w:sz w:val="20"/>
          <w:szCs w:val="20"/>
        </w:rPr>
        <w:t>Gedia</w:t>
      </w:r>
      <w:proofErr w:type="spellEnd"/>
      <w:r>
        <w:rPr>
          <w:rFonts w:ascii="Arial" w:eastAsia="Arial" w:hAnsi="Arial" w:cs="Arial"/>
          <w:sz w:val="20"/>
          <w:szCs w:val="20"/>
        </w:rPr>
        <w:t xml:space="preserve">. M. V., &amp; Makwana A. D., 2008. Influence of weather parameters on the population dynamics of </w:t>
      </w:r>
      <w:proofErr w:type="spellStart"/>
      <w:r>
        <w:rPr>
          <w:rFonts w:ascii="Arial" w:eastAsia="Arial" w:hAnsi="Arial" w:cs="Arial"/>
          <w:i/>
          <w:sz w:val="20"/>
          <w:szCs w:val="20"/>
        </w:rPr>
        <w:t>Sesbania</w:t>
      </w:r>
      <w:proofErr w:type="spellEnd"/>
      <w:r>
        <w:rPr>
          <w:rFonts w:ascii="Arial" w:eastAsia="Arial" w:hAnsi="Arial" w:cs="Arial"/>
          <w:i/>
          <w:sz w:val="20"/>
          <w:szCs w:val="20"/>
        </w:rPr>
        <w:t xml:space="preserve"> </w:t>
      </w:r>
      <w:proofErr w:type="spellStart"/>
      <w:r>
        <w:rPr>
          <w:rFonts w:ascii="Arial" w:eastAsia="Arial" w:hAnsi="Arial" w:cs="Arial"/>
          <w:i/>
          <w:sz w:val="20"/>
          <w:szCs w:val="20"/>
        </w:rPr>
        <w:t>thrips</w:t>
      </w:r>
      <w:proofErr w:type="spellEnd"/>
      <w:r>
        <w:rPr>
          <w:rFonts w:ascii="Arial" w:eastAsia="Arial" w:hAnsi="Arial" w:cs="Arial"/>
          <w:sz w:val="20"/>
          <w:szCs w:val="20"/>
        </w:rPr>
        <w:t xml:space="preserve"> (</w:t>
      </w:r>
      <w:proofErr w:type="spellStart"/>
      <w:r>
        <w:rPr>
          <w:rFonts w:ascii="Arial" w:eastAsia="Arial" w:hAnsi="Arial" w:cs="Arial"/>
          <w:i/>
          <w:sz w:val="20"/>
          <w:szCs w:val="20"/>
        </w:rPr>
        <w:t>Caliothrips</w:t>
      </w:r>
      <w:proofErr w:type="spellEnd"/>
      <w:r>
        <w:rPr>
          <w:rFonts w:ascii="Arial" w:eastAsia="Arial" w:hAnsi="Arial" w:cs="Arial"/>
          <w:i/>
          <w:sz w:val="20"/>
          <w:szCs w:val="20"/>
        </w:rPr>
        <w:t xml:space="preserve"> indicus</w:t>
      </w:r>
      <w:r>
        <w:rPr>
          <w:rFonts w:ascii="Arial" w:eastAsia="Arial" w:hAnsi="Arial" w:cs="Arial"/>
          <w:sz w:val="20"/>
          <w:szCs w:val="20"/>
        </w:rPr>
        <w:t xml:space="preserve"> Bagnall) in groundnut in </w:t>
      </w:r>
      <w:proofErr w:type="spellStart"/>
      <w:r>
        <w:rPr>
          <w:rFonts w:ascii="Arial" w:eastAsia="Arial" w:hAnsi="Arial" w:cs="Arial"/>
          <w:sz w:val="20"/>
          <w:szCs w:val="20"/>
        </w:rPr>
        <w:t>saurash</w:t>
      </w:r>
      <w:r>
        <w:rPr>
          <w:rFonts w:ascii="Arial" w:eastAsia="Arial" w:hAnsi="Arial" w:cs="Arial"/>
          <w:sz w:val="20"/>
          <w:szCs w:val="20"/>
        </w:rPr>
        <w:t>tra</w:t>
      </w:r>
      <w:proofErr w:type="spellEnd"/>
      <w:r>
        <w:rPr>
          <w:rFonts w:ascii="Arial" w:eastAsia="Arial" w:hAnsi="Arial" w:cs="Arial"/>
          <w:sz w:val="20"/>
          <w:szCs w:val="20"/>
        </w:rPr>
        <w:t xml:space="preserve"> region. Journal of Agrometeorology, 10(2), 175-177.</w:t>
      </w:r>
    </w:p>
    <w:p w:rsidR="00C14003" w:rsidRDefault="00452EDB">
      <w:pPr>
        <w:jc w:val="both"/>
        <w:rPr>
          <w:rFonts w:ascii="Arial" w:eastAsia="Arial" w:hAnsi="Arial" w:cs="Arial"/>
          <w:sz w:val="20"/>
          <w:szCs w:val="20"/>
        </w:rPr>
      </w:pPr>
      <w:r>
        <w:rPr>
          <w:rFonts w:ascii="Arial" w:eastAsia="Arial" w:hAnsi="Arial" w:cs="Arial"/>
          <w:sz w:val="20"/>
          <w:szCs w:val="20"/>
        </w:rPr>
        <w:t xml:space="preserve">Naresh, T., Rao, A. R., Krishna, T. M., Devaki, K., </w:t>
      </w:r>
      <w:proofErr w:type="spellStart"/>
      <w:r>
        <w:rPr>
          <w:rFonts w:ascii="Arial" w:eastAsia="Arial" w:hAnsi="Arial" w:cs="Arial"/>
          <w:sz w:val="20"/>
          <w:szCs w:val="20"/>
        </w:rPr>
        <w:t>Ahammed</w:t>
      </w:r>
      <w:proofErr w:type="spellEnd"/>
      <w:r>
        <w:rPr>
          <w:rFonts w:ascii="Arial" w:eastAsia="Arial" w:hAnsi="Arial" w:cs="Arial"/>
          <w:sz w:val="20"/>
          <w:szCs w:val="20"/>
        </w:rPr>
        <w:t xml:space="preserve">, S. K., &amp; Sumathi, P., 2018. Seasonal incidence and effect of abiotic factors on population dynamics of </w:t>
      </w:r>
      <w:proofErr w:type="spellStart"/>
      <w:r>
        <w:rPr>
          <w:rFonts w:ascii="Arial" w:eastAsia="Arial" w:hAnsi="Arial" w:cs="Arial"/>
          <w:sz w:val="20"/>
          <w:szCs w:val="20"/>
        </w:rPr>
        <w:t>thrips</w:t>
      </w:r>
      <w:proofErr w:type="spellEnd"/>
      <w:r>
        <w:rPr>
          <w:rFonts w:ascii="Arial" w:eastAsia="Arial" w:hAnsi="Arial" w:cs="Arial"/>
          <w:sz w:val="20"/>
          <w:szCs w:val="20"/>
        </w:rPr>
        <w:t xml:space="preserve"> on groundnut (</w:t>
      </w:r>
      <w:proofErr w:type="spellStart"/>
      <w:r>
        <w:rPr>
          <w:rFonts w:ascii="Arial" w:eastAsia="Arial" w:hAnsi="Arial" w:cs="Arial"/>
          <w:i/>
          <w:sz w:val="20"/>
          <w:szCs w:val="20"/>
        </w:rPr>
        <w:t>Arachis</w:t>
      </w:r>
      <w:proofErr w:type="spellEnd"/>
      <w:r>
        <w:rPr>
          <w:rFonts w:ascii="Arial" w:eastAsia="Arial" w:hAnsi="Arial" w:cs="Arial"/>
          <w:i/>
          <w:sz w:val="20"/>
          <w:szCs w:val="20"/>
        </w:rPr>
        <w:t xml:space="preserve"> </w:t>
      </w:r>
      <w:proofErr w:type="spellStart"/>
      <w:r>
        <w:rPr>
          <w:rFonts w:ascii="Arial" w:eastAsia="Arial" w:hAnsi="Arial" w:cs="Arial"/>
          <w:i/>
          <w:sz w:val="20"/>
          <w:szCs w:val="20"/>
        </w:rPr>
        <w:t>hypogae</w:t>
      </w:r>
      <w:r>
        <w:rPr>
          <w:rFonts w:ascii="Arial" w:eastAsia="Arial" w:hAnsi="Arial" w:cs="Arial"/>
          <w:i/>
          <w:sz w:val="20"/>
          <w:szCs w:val="20"/>
        </w:rPr>
        <w:t>a</w:t>
      </w:r>
      <w:proofErr w:type="spellEnd"/>
      <w:r>
        <w:rPr>
          <w:rFonts w:ascii="Arial" w:eastAsia="Arial" w:hAnsi="Arial" w:cs="Arial"/>
          <w:sz w:val="20"/>
          <w:szCs w:val="20"/>
        </w:rPr>
        <w:t xml:space="preserve"> L.) during </w:t>
      </w:r>
      <w:proofErr w:type="spellStart"/>
      <w:r>
        <w:rPr>
          <w:rFonts w:ascii="Arial" w:eastAsia="Arial" w:hAnsi="Arial" w:cs="Arial"/>
          <w:sz w:val="20"/>
          <w:szCs w:val="20"/>
        </w:rPr>
        <w:t>rabi</w:t>
      </w:r>
      <w:proofErr w:type="spellEnd"/>
      <w:r>
        <w:rPr>
          <w:rFonts w:ascii="Arial" w:eastAsia="Arial" w:hAnsi="Arial" w:cs="Arial"/>
          <w:sz w:val="20"/>
          <w:szCs w:val="20"/>
        </w:rPr>
        <w:t xml:space="preserve"> season. Journal of Pharmacognosy and </w:t>
      </w:r>
      <w:proofErr w:type="spellStart"/>
      <w:r>
        <w:rPr>
          <w:rFonts w:ascii="Arial" w:eastAsia="Arial" w:hAnsi="Arial" w:cs="Arial"/>
          <w:sz w:val="20"/>
          <w:szCs w:val="20"/>
        </w:rPr>
        <w:t>Physochemistry</w:t>
      </w:r>
      <w:proofErr w:type="spellEnd"/>
      <w:r>
        <w:rPr>
          <w:rFonts w:ascii="Arial" w:eastAsia="Arial" w:hAnsi="Arial" w:cs="Arial"/>
          <w:sz w:val="20"/>
          <w:szCs w:val="20"/>
        </w:rPr>
        <w:t>, 7(2), 1600- 1604.</w:t>
      </w:r>
    </w:p>
    <w:p w:rsidR="00C14003" w:rsidRDefault="00452EDB">
      <w:pPr>
        <w:jc w:val="both"/>
        <w:rPr>
          <w:rFonts w:ascii="Arial" w:eastAsia="Arial" w:hAnsi="Arial" w:cs="Arial"/>
          <w:sz w:val="20"/>
          <w:szCs w:val="20"/>
        </w:rPr>
      </w:pPr>
      <w:proofErr w:type="spellStart"/>
      <w:r>
        <w:rPr>
          <w:rFonts w:ascii="Arial" w:eastAsia="Arial" w:hAnsi="Arial" w:cs="Arial"/>
          <w:sz w:val="20"/>
          <w:szCs w:val="20"/>
        </w:rPr>
        <w:t>Nigude</w:t>
      </w:r>
      <w:proofErr w:type="spellEnd"/>
      <w:r>
        <w:rPr>
          <w:rFonts w:ascii="Arial" w:eastAsia="Arial" w:hAnsi="Arial" w:cs="Arial"/>
          <w:sz w:val="20"/>
          <w:szCs w:val="20"/>
        </w:rPr>
        <w:t>, V. K., Patil, S., Bagade, A. S., &amp; Mohite, P. B., 2018. Seasonal incidence of sucking pests of groundnut (</w:t>
      </w:r>
      <w:proofErr w:type="spellStart"/>
      <w:r>
        <w:rPr>
          <w:rFonts w:ascii="Arial" w:eastAsia="Arial" w:hAnsi="Arial" w:cs="Arial"/>
          <w:i/>
          <w:sz w:val="20"/>
          <w:szCs w:val="20"/>
        </w:rPr>
        <w:t>Arachis</w:t>
      </w:r>
      <w:proofErr w:type="spellEnd"/>
      <w:r>
        <w:rPr>
          <w:rFonts w:ascii="Arial" w:eastAsia="Arial" w:hAnsi="Arial" w:cs="Arial"/>
          <w:i/>
          <w:sz w:val="20"/>
          <w:szCs w:val="20"/>
        </w:rPr>
        <w:t xml:space="preserve"> </w:t>
      </w:r>
      <w:proofErr w:type="spellStart"/>
      <w:r>
        <w:rPr>
          <w:rFonts w:ascii="Arial" w:eastAsia="Arial" w:hAnsi="Arial" w:cs="Arial"/>
          <w:i/>
          <w:sz w:val="20"/>
          <w:szCs w:val="20"/>
        </w:rPr>
        <w:t>hypogaea</w:t>
      </w:r>
      <w:proofErr w:type="spellEnd"/>
      <w:r>
        <w:rPr>
          <w:rFonts w:ascii="Arial" w:eastAsia="Arial" w:hAnsi="Arial" w:cs="Arial"/>
          <w:sz w:val="20"/>
          <w:szCs w:val="20"/>
        </w:rPr>
        <w:t xml:space="preserve"> L.). Journal of Current Microbiology</w:t>
      </w:r>
      <w:r>
        <w:rPr>
          <w:rFonts w:ascii="Arial" w:eastAsia="Arial" w:hAnsi="Arial" w:cs="Arial"/>
          <w:sz w:val="20"/>
          <w:szCs w:val="20"/>
        </w:rPr>
        <w:t xml:space="preserve"> and Applied sciences, 7 (1), 566-569.</w:t>
      </w:r>
    </w:p>
    <w:p w:rsidR="00C14003" w:rsidRDefault="00452EDB">
      <w:pPr>
        <w:jc w:val="both"/>
        <w:rPr>
          <w:rFonts w:ascii="Arial" w:eastAsia="Arial" w:hAnsi="Arial" w:cs="Arial"/>
          <w:sz w:val="20"/>
          <w:szCs w:val="20"/>
        </w:rPr>
      </w:pPr>
      <w:r>
        <w:rPr>
          <w:rFonts w:ascii="Arial" w:eastAsia="Arial" w:hAnsi="Arial" w:cs="Arial"/>
          <w:sz w:val="20"/>
          <w:szCs w:val="20"/>
        </w:rPr>
        <w:t xml:space="preserve">Rao, R. D. V. J. P., Reddy, D. V. R., Nigam, S. N., Reddy, A. S., </w:t>
      </w:r>
      <w:proofErr w:type="spellStart"/>
      <w:r>
        <w:rPr>
          <w:rFonts w:ascii="Arial" w:eastAsia="Arial" w:hAnsi="Arial" w:cs="Arial"/>
          <w:sz w:val="20"/>
          <w:szCs w:val="20"/>
        </w:rPr>
        <w:t>Waliyar</w:t>
      </w:r>
      <w:proofErr w:type="spellEnd"/>
      <w:r>
        <w:rPr>
          <w:rFonts w:ascii="Arial" w:eastAsia="Arial" w:hAnsi="Arial" w:cs="Arial"/>
          <w:sz w:val="20"/>
          <w:szCs w:val="20"/>
        </w:rPr>
        <w:t xml:space="preserve">, F., Reddy, T. Y., Subramanyam, K., Sudheer, N. J., Naik, K. S. S., Bandyopadhyay, A., Desai, S., </w:t>
      </w:r>
      <w:proofErr w:type="spellStart"/>
      <w:r>
        <w:rPr>
          <w:rFonts w:ascii="Arial" w:eastAsia="Arial" w:hAnsi="Arial" w:cs="Arial"/>
          <w:sz w:val="20"/>
          <w:szCs w:val="20"/>
        </w:rPr>
        <w:t>Ghewande</w:t>
      </w:r>
      <w:proofErr w:type="spellEnd"/>
      <w:r>
        <w:rPr>
          <w:rFonts w:ascii="Arial" w:eastAsia="Arial" w:hAnsi="Arial" w:cs="Arial"/>
          <w:sz w:val="20"/>
          <w:szCs w:val="20"/>
        </w:rPr>
        <w:t xml:space="preserve">, M. P., </w:t>
      </w:r>
      <w:proofErr w:type="spellStart"/>
      <w:r>
        <w:rPr>
          <w:rFonts w:ascii="Arial" w:eastAsia="Arial" w:hAnsi="Arial" w:cs="Arial"/>
          <w:sz w:val="20"/>
          <w:szCs w:val="20"/>
        </w:rPr>
        <w:t>Basu</w:t>
      </w:r>
      <w:proofErr w:type="spellEnd"/>
      <w:r>
        <w:rPr>
          <w:rFonts w:ascii="Arial" w:eastAsia="Arial" w:hAnsi="Arial" w:cs="Arial"/>
          <w:sz w:val="20"/>
          <w:szCs w:val="20"/>
        </w:rPr>
        <w:t xml:space="preserve">. M. S., &amp; </w:t>
      </w:r>
      <w:proofErr w:type="spellStart"/>
      <w:r>
        <w:rPr>
          <w:rFonts w:ascii="Arial" w:eastAsia="Arial" w:hAnsi="Arial" w:cs="Arial"/>
          <w:sz w:val="20"/>
          <w:szCs w:val="20"/>
        </w:rPr>
        <w:t>Somasekhar</w:t>
      </w:r>
      <w:proofErr w:type="spellEnd"/>
      <w:r>
        <w:rPr>
          <w:rFonts w:ascii="Arial" w:eastAsia="Arial" w:hAnsi="Arial" w:cs="Arial"/>
          <w:sz w:val="20"/>
          <w:szCs w:val="20"/>
        </w:rPr>
        <w:t>. 2</w:t>
      </w:r>
      <w:r>
        <w:rPr>
          <w:rFonts w:ascii="Arial" w:eastAsia="Arial" w:hAnsi="Arial" w:cs="Arial"/>
          <w:sz w:val="20"/>
          <w:szCs w:val="20"/>
        </w:rPr>
        <w:t xml:space="preserve">003. Peanut Stem Necrosis: A New Disease of Groundnut in India. Information Bulletin No.67. Technical Report. International Crops Research Institute for the Semi-Arid Tropics, </w:t>
      </w:r>
      <w:proofErr w:type="spellStart"/>
      <w:r>
        <w:rPr>
          <w:rFonts w:ascii="Arial" w:eastAsia="Arial" w:hAnsi="Arial" w:cs="Arial"/>
          <w:sz w:val="20"/>
          <w:szCs w:val="20"/>
        </w:rPr>
        <w:t>Patancheru</w:t>
      </w:r>
      <w:proofErr w:type="spellEnd"/>
      <w:r>
        <w:rPr>
          <w:rFonts w:ascii="Arial" w:eastAsia="Arial" w:hAnsi="Arial" w:cs="Arial"/>
          <w:sz w:val="20"/>
          <w:szCs w:val="20"/>
        </w:rPr>
        <w:t>, Telangana, India.</w:t>
      </w:r>
    </w:p>
    <w:p w:rsidR="00C14003" w:rsidRDefault="00452EDB">
      <w:pPr>
        <w:jc w:val="both"/>
        <w:rPr>
          <w:rFonts w:ascii="Arial" w:eastAsia="Arial" w:hAnsi="Arial" w:cs="Arial"/>
          <w:sz w:val="20"/>
          <w:szCs w:val="20"/>
        </w:rPr>
      </w:pPr>
      <w:r>
        <w:rPr>
          <w:rFonts w:ascii="Arial" w:eastAsia="Arial" w:hAnsi="Arial" w:cs="Arial"/>
          <w:sz w:val="20"/>
          <w:szCs w:val="20"/>
        </w:rPr>
        <w:t>Vijayalakshmi, G., Ganapathy, N., &amp; Kennedy, J. S.</w:t>
      </w:r>
      <w:r>
        <w:rPr>
          <w:rFonts w:ascii="Arial" w:eastAsia="Arial" w:hAnsi="Arial" w:cs="Arial"/>
          <w:sz w:val="20"/>
          <w:szCs w:val="20"/>
        </w:rPr>
        <w:t xml:space="preserve">, 2017. Influence of weather parameters on seasonal incidence of </w:t>
      </w:r>
      <w:proofErr w:type="spellStart"/>
      <w:r>
        <w:rPr>
          <w:rFonts w:ascii="Arial" w:eastAsia="Arial" w:hAnsi="Arial" w:cs="Arial"/>
          <w:sz w:val="20"/>
          <w:szCs w:val="20"/>
        </w:rPr>
        <w:t>thrips</w:t>
      </w:r>
      <w:proofErr w:type="spellEnd"/>
      <w:r>
        <w:rPr>
          <w:rFonts w:ascii="Arial" w:eastAsia="Arial" w:hAnsi="Arial" w:cs="Arial"/>
          <w:sz w:val="20"/>
          <w:szCs w:val="20"/>
        </w:rPr>
        <w:t xml:space="preserve"> and Groundnut bud necrosis virus (GBNV) in groundnut (</w:t>
      </w:r>
      <w:proofErr w:type="spellStart"/>
      <w:r>
        <w:rPr>
          <w:rFonts w:ascii="Arial" w:eastAsia="Arial" w:hAnsi="Arial" w:cs="Arial"/>
          <w:i/>
          <w:sz w:val="20"/>
          <w:szCs w:val="20"/>
        </w:rPr>
        <w:t>Arachis</w:t>
      </w:r>
      <w:proofErr w:type="spellEnd"/>
      <w:r>
        <w:rPr>
          <w:rFonts w:ascii="Arial" w:eastAsia="Arial" w:hAnsi="Arial" w:cs="Arial"/>
          <w:i/>
          <w:sz w:val="20"/>
          <w:szCs w:val="20"/>
        </w:rPr>
        <w:t xml:space="preserve"> hypogea</w:t>
      </w:r>
      <w:r>
        <w:rPr>
          <w:rFonts w:ascii="Arial" w:eastAsia="Arial" w:hAnsi="Arial" w:cs="Arial"/>
          <w:sz w:val="20"/>
          <w:szCs w:val="20"/>
        </w:rPr>
        <w:t xml:space="preserve"> L.). Journal of Entomology and Zoology, 5(3), 107-110.</w:t>
      </w:r>
    </w:p>
    <w:p w:rsidR="00C14003" w:rsidRDefault="00C14003">
      <w:pPr>
        <w:jc w:val="both"/>
        <w:rPr>
          <w:rFonts w:ascii="Arial" w:eastAsia="Arial" w:hAnsi="Arial" w:cs="Arial"/>
          <w:sz w:val="20"/>
          <w:szCs w:val="20"/>
        </w:rPr>
      </w:pPr>
    </w:p>
    <w:p w:rsidR="00C14003" w:rsidRDefault="00C14003">
      <w:pPr>
        <w:jc w:val="both"/>
        <w:rPr>
          <w:rFonts w:ascii="Arial" w:eastAsia="Arial" w:hAnsi="Arial" w:cs="Arial"/>
          <w:b/>
          <w:sz w:val="20"/>
          <w:szCs w:val="20"/>
        </w:rPr>
      </w:pPr>
    </w:p>
    <w:p w:rsidR="00C14003" w:rsidRDefault="00C14003">
      <w:pPr>
        <w:rPr>
          <w:rFonts w:ascii="Arial" w:eastAsia="Arial" w:hAnsi="Arial" w:cs="Arial"/>
          <w:sz w:val="20"/>
          <w:szCs w:val="20"/>
        </w:rPr>
      </w:pPr>
    </w:p>
    <w:p w:rsidR="00C14003" w:rsidRDefault="00C14003">
      <w:pPr>
        <w:rPr>
          <w:rFonts w:ascii="Arial" w:eastAsia="Arial" w:hAnsi="Arial" w:cs="Arial"/>
          <w:sz w:val="20"/>
          <w:szCs w:val="20"/>
        </w:rPr>
      </w:pPr>
    </w:p>
    <w:tbl>
      <w:tblPr>
        <w:tblStyle w:val="a0"/>
        <w:tblpPr w:leftFromText="180" w:rightFromText="180" w:vertAnchor="text"/>
        <w:tblW w:w="90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3"/>
        <w:gridCol w:w="7603"/>
      </w:tblGrid>
      <w:tr w:rsidR="00C14003">
        <w:tc>
          <w:tcPr>
            <w:tcW w:w="1413" w:type="dxa"/>
            <w:vAlign w:val="center"/>
          </w:tcPr>
          <w:p w:rsidR="00C14003" w:rsidRDefault="00452EDB">
            <w:pPr>
              <w:jc w:val="right"/>
              <w:rPr>
                <w:rFonts w:ascii="Arial" w:eastAsia="Arial" w:hAnsi="Arial" w:cs="Arial"/>
                <w:b/>
                <w:sz w:val="20"/>
                <w:szCs w:val="20"/>
              </w:rPr>
            </w:pPr>
            <w:r>
              <w:rPr>
                <w:rFonts w:ascii="Arial" w:eastAsia="Arial" w:hAnsi="Arial" w:cs="Arial"/>
                <w:b/>
                <w:sz w:val="20"/>
                <w:szCs w:val="20"/>
              </w:rPr>
              <w:t>a</w:t>
            </w:r>
          </w:p>
        </w:tc>
        <w:tc>
          <w:tcPr>
            <w:tcW w:w="7603" w:type="dxa"/>
          </w:tcPr>
          <w:p w:rsidR="00C14003" w:rsidRDefault="00452EDB">
            <w:pPr>
              <w:jc w:val="both"/>
              <w:rPr>
                <w:rFonts w:ascii="Arial" w:eastAsia="Arial" w:hAnsi="Arial" w:cs="Arial"/>
                <w:sz w:val="20"/>
                <w:szCs w:val="20"/>
              </w:rPr>
            </w:pPr>
            <w:r>
              <w:rPr>
                <w:noProof/>
              </w:rPr>
              <w:drawing>
                <wp:anchor distT="0" distB="0" distL="114300" distR="114300" simplePos="0" relativeHeight="251658240" behindDoc="0" locked="0" layoutInCell="1" hidden="0" allowOverlap="1">
                  <wp:simplePos x="0" y="0"/>
                  <wp:positionH relativeFrom="column">
                    <wp:posOffset>649605</wp:posOffset>
                  </wp:positionH>
                  <wp:positionV relativeFrom="paragraph">
                    <wp:posOffset>0</wp:posOffset>
                  </wp:positionV>
                  <wp:extent cx="2750820" cy="276987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50820" cy="2769870"/>
                          </a:xfrm>
                          <a:prstGeom prst="rect">
                            <a:avLst/>
                          </a:prstGeom>
                          <a:ln/>
                        </pic:spPr>
                      </pic:pic>
                    </a:graphicData>
                  </a:graphic>
                </wp:anchor>
              </w:drawing>
            </w:r>
          </w:p>
        </w:tc>
      </w:tr>
      <w:tr w:rsidR="00C14003">
        <w:tc>
          <w:tcPr>
            <w:tcW w:w="1413" w:type="dxa"/>
            <w:vAlign w:val="center"/>
          </w:tcPr>
          <w:p w:rsidR="00C14003" w:rsidRDefault="00452EDB">
            <w:pPr>
              <w:jc w:val="right"/>
              <w:rPr>
                <w:rFonts w:ascii="Arial" w:eastAsia="Arial" w:hAnsi="Arial" w:cs="Arial"/>
                <w:b/>
                <w:sz w:val="20"/>
                <w:szCs w:val="20"/>
              </w:rPr>
            </w:pPr>
            <w:r>
              <w:rPr>
                <w:rFonts w:ascii="Arial" w:eastAsia="Arial" w:hAnsi="Arial" w:cs="Arial"/>
                <w:b/>
                <w:sz w:val="20"/>
                <w:szCs w:val="20"/>
              </w:rPr>
              <w:lastRenderedPageBreak/>
              <w:t>b</w:t>
            </w:r>
          </w:p>
        </w:tc>
        <w:tc>
          <w:tcPr>
            <w:tcW w:w="7603" w:type="dxa"/>
          </w:tcPr>
          <w:p w:rsidR="00C14003" w:rsidRDefault="00452EDB">
            <w:pPr>
              <w:jc w:val="both"/>
              <w:rPr>
                <w:rFonts w:ascii="Arial" w:eastAsia="Arial" w:hAnsi="Arial" w:cs="Arial"/>
                <w:sz w:val="20"/>
                <w:szCs w:val="20"/>
              </w:rPr>
            </w:pPr>
            <w:r>
              <w:rPr>
                <w:noProof/>
              </w:rPr>
              <w:drawing>
                <wp:anchor distT="0" distB="0" distL="114300" distR="114300" simplePos="0" relativeHeight="251659264" behindDoc="0" locked="0" layoutInCell="1" hidden="0" allowOverlap="1">
                  <wp:simplePos x="0" y="0"/>
                  <wp:positionH relativeFrom="column">
                    <wp:posOffset>527684</wp:posOffset>
                  </wp:positionH>
                  <wp:positionV relativeFrom="paragraph">
                    <wp:posOffset>34925</wp:posOffset>
                  </wp:positionV>
                  <wp:extent cx="3048000" cy="299466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048000" cy="2994660"/>
                          </a:xfrm>
                          <a:prstGeom prst="rect">
                            <a:avLst/>
                          </a:prstGeom>
                          <a:ln/>
                        </pic:spPr>
                      </pic:pic>
                    </a:graphicData>
                  </a:graphic>
                </wp:anchor>
              </w:drawing>
            </w:r>
          </w:p>
        </w:tc>
      </w:tr>
      <w:tr w:rsidR="00C14003">
        <w:tc>
          <w:tcPr>
            <w:tcW w:w="1413" w:type="dxa"/>
            <w:vAlign w:val="center"/>
          </w:tcPr>
          <w:p w:rsidR="00C14003" w:rsidRDefault="00452EDB">
            <w:pPr>
              <w:jc w:val="right"/>
              <w:rPr>
                <w:rFonts w:ascii="Arial" w:eastAsia="Arial" w:hAnsi="Arial" w:cs="Arial"/>
                <w:b/>
                <w:sz w:val="20"/>
                <w:szCs w:val="20"/>
              </w:rPr>
            </w:pPr>
            <w:r>
              <w:rPr>
                <w:rFonts w:ascii="Arial" w:eastAsia="Arial" w:hAnsi="Arial" w:cs="Arial"/>
                <w:b/>
                <w:sz w:val="20"/>
                <w:szCs w:val="20"/>
              </w:rPr>
              <w:t>c</w:t>
            </w:r>
          </w:p>
        </w:tc>
        <w:tc>
          <w:tcPr>
            <w:tcW w:w="7603" w:type="dxa"/>
          </w:tcPr>
          <w:p w:rsidR="00C14003" w:rsidRDefault="00452EDB">
            <w:pPr>
              <w:jc w:val="both"/>
              <w:rPr>
                <w:rFonts w:ascii="Arial" w:eastAsia="Arial" w:hAnsi="Arial" w:cs="Arial"/>
                <w:sz w:val="20"/>
                <w:szCs w:val="20"/>
              </w:rPr>
            </w:pPr>
            <w:r>
              <w:rPr>
                <w:noProof/>
              </w:rPr>
              <w:drawing>
                <wp:anchor distT="0" distB="0" distL="114300" distR="114300" simplePos="0" relativeHeight="251660288" behindDoc="0" locked="0" layoutInCell="1" hidden="0" allowOverlap="1">
                  <wp:simplePos x="0" y="0"/>
                  <wp:positionH relativeFrom="column">
                    <wp:posOffset>786765</wp:posOffset>
                  </wp:positionH>
                  <wp:positionV relativeFrom="paragraph">
                    <wp:posOffset>0</wp:posOffset>
                  </wp:positionV>
                  <wp:extent cx="2857500" cy="3026410"/>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857500" cy="3026410"/>
                          </a:xfrm>
                          <a:prstGeom prst="rect">
                            <a:avLst/>
                          </a:prstGeom>
                          <a:ln/>
                        </pic:spPr>
                      </pic:pic>
                    </a:graphicData>
                  </a:graphic>
                </wp:anchor>
              </w:drawing>
            </w:r>
          </w:p>
        </w:tc>
      </w:tr>
    </w:tbl>
    <w:p w:rsidR="00C14003" w:rsidRDefault="00452EDB">
      <w:pPr>
        <w:jc w:val="both"/>
        <w:rPr>
          <w:rFonts w:ascii="Arial" w:eastAsia="Arial" w:hAnsi="Arial" w:cs="Arial"/>
          <w:sz w:val="20"/>
          <w:szCs w:val="20"/>
        </w:rPr>
      </w:pPr>
      <w:r>
        <w:rPr>
          <w:rFonts w:ascii="Arial" w:eastAsia="Arial" w:hAnsi="Arial" w:cs="Arial"/>
          <w:sz w:val="20"/>
          <w:szCs w:val="20"/>
        </w:rPr>
        <w:t xml:space="preserve">Fig. 1: Pearson correlation between environmental factors and (a) </w:t>
      </w:r>
      <w:proofErr w:type="spellStart"/>
      <w:r>
        <w:rPr>
          <w:rFonts w:ascii="Arial" w:eastAsia="Arial" w:hAnsi="Arial" w:cs="Arial"/>
          <w:sz w:val="20"/>
          <w:szCs w:val="20"/>
        </w:rPr>
        <w:t>thrips</w:t>
      </w:r>
      <w:proofErr w:type="spellEnd"/>
      <w:r>
        <w:rPr>
          <w:rFonts w:ascii="Arial" w:eastAsia="Arial" w:hAnsi="Arial" w:cs="Arial"/>
          <w:sz w:val="20"/>
          <w:szCs w:val="20"/>
        </w:rPr>
        <w:t xml:space="preserve"> population and foliar damage percentage for the current week, (b) 1-week lag, and (c) 2-week lag.</w:t>
      </w:r>
    </w:p>
    <w:tbl>
      <w:tblPr>
        <w:tblStyle w:val="a1"/>
        <w:tblW w:w="90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3"/>
        <w:gridCol w:w="7603"/>
      </w:tblGrid>
      <w:tr w:rsidR="00C14003">
        <w:trPr>
          <w:trHeight w:val="3959"/>
        </w:trPr>
        <w:tc>
          <w:tcPr>
            <w:tcW w:w="1413" w:type="dxa"/>
            <w:vAlign w:val="center"/>
          </w:tcPr>
          <w:p w:rsidR="00C14003" w:rsidRDefault="00452EDB">
            <w:pPr>
              <w:jc w:val="right"/>
              <w:rPr>
                <w:rFonts w:ascii="Arial" w:eastAsia="Arial" w:hAnsi="Arial" w:cs="Arial"/>
                <w:b/>
                <w:sz w:val="20"/>
                <w:szCs w:val="20"/>
              </w:rPr>
            </w:pPr>
            <w:r>
              <w:rPr>
                <w:rFonts w:ascii="Arial" w:eastAsia="Arial" w:hAnsi="Arial" w:cs="Arial"/>
                <w:b/>
                <w:sz w:val="20"/>
                <w:szCs w:val="20"/>
              </w:rPr>
              <w:lastRenderedPageBreak/>
              <w:t>a</w:t>
            </w:r>
          </w:p>
        </w:tc>
        <w:tc>
          <w:tcPr>
            <w:tcW w:w="7603" w:type="dxa"/>
          </w:tcPr>
          <w:p w:rsidR="00C14003" w:rsidRDefault="00452EDB">
            <w:pPr>
              <w:jc w:val="both"/>
              <w:rPr>
                <w:rFonts w:ascii="Arial" w:eastAsia="Arial" w:hAnsi="Arial" w:cs="Arial"/>
                <w:sz w:val="20"/>
                <w:szCs w:val="20"/>
              </w:rPr>
            </w:pPr>
            <w:r>
              <w:rPr>
                <w:noProof/>
              </w:rPr>
              <w:drawing>
                <wp:anchor distT="0" distB="0" distL="114300" distR="114300" simplePos="0" relativeHeight="251661312" behindDoc="0" locked="0" layoutInCell="1" hidden="0" allowOverlap="1">
                  <wp:simplePos x="0" y="0"/>
                  <wp:positionH relativeFrom="column">
                    <wp:posOffset>204972</wp:posOffset>
                  </wp:positionH>
                  <wp:positionV relativeFrom="paragraph">
                    <wp:posOffset>54610</wp:posOffset>
                  </wp:positionV>
                  <wp:extent cx="4240530" cy="254381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240530" cy="2543810"/>
                          </a:xfrm>
                          <a:prstGeom prst="rect">
                            <a:avLst/>
                          </a:prstGeom>
                          <a:ln/>
                        </pic:spPr>
                      </pic:pic>
                    </a:graphicData>
                  </a:graphic>
                </wp:anchor>
              </w:drawing>
            </w:r>
          </w:p>
        </w:tc>
      </w:tr>
      <w:tr w:rsidR="00C14003">
        <w:trPr>
          <w:trHeight w:val="4348"/>
        </w:trPr>
        <w:tc>
          <w:tcPr>
            <w:tcW w:w="1413" w:type="dxa"/>
            <w:vAlign w:val="center"/>
          </w:tcPr>
          <w:p w:rsidR="00C14003" w:rsidRDefault="00452EDB">
            <w:pPr>
              <w:jc w:val="right"/>
              <w:rPr>
                <w:rFonts w:ascii="Arial" w:eastAsia="Arial" w:hAnsi="Arial" w:cs="Arial"/>
                <w:b/>
                <w:sz w:val="20"/>
                <w:szCs w:val="20"/>
              </w:rPr>
            </w:pPr>
            <w:r>
              <w:rPr>
                <w:rFonts w:ascii="Arial" w:eastAsia="Arial" w:hAnsi="Arial" w:cs="Arial"/>
                <w:b/>
                <w:sz w:val="20"/>
                <w:szCs w:val="20"/>
              </w:rPr>
              <w:t>b</w:t>
            </w:r>
          </w:p>
        </w:tc>
        <w:tc>
          <w:tcPr>
            <w:tcW w:w="7603" w:type="dxa"/>
          </w:tcPr>
          <w:p w:rsidR="00C14003" w:rsidRDefault="00452EDB">
            <w:pPr>
              <w:jc w:val="both"/>
              <w:rPr>
                <w:rFonts w:ascii="Arial" w:eastAsia="Arial" w:hAnsi="Arial" w:cs="Arial"/>
                <w:sz w:val="20"/>
                <w:szCs w:val="20"/>
              </w:rPr>
            </w:pPr>
            <w:r>
              <w:rPr>
                <w:noProof/>
              </w:rPr>
              <w:drawing>
                <wp:anchor distT="0" distB="0" distL="114300" distR="114300" simplePos="0" relativeHeight="251662336" behindDoc="0" locked="0" layoutInCell="1" hidden="0" allowOverlap="1">
                  <wp:simplePos x="0" y="0"/>
                  <wp:positionH relativeFrom="column">
                    <wp:posOffset>21517</wp:posOffset>
                  </wp:positionH>
                  <wp:positionV relativeFrom="paragraph">
                    <wp:posOffset>41595</wp:posOffset>
                  </wp:positionV>
                  <wp:extent cx="4525645" cy="264033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25645" cy="2640330"/>
                          </a:xfrm>
                          <a:prstGeom prst="rect">
                            <a:avLst/>
                          </a:prstGeom>
                          <a:ln/>
                        </pic:spPr>
                      </pic:pic>
                    </a:graphicData>
                  </a:graphic>
                </wp:anchor>
              </w:drawing>
            </w:r>
          </w:p>
        </w:tc>
      </w:tr>
      <w:tr w:rsidR="00C14003">
        <w:tc>
          <w:tcPr>
            <w:tcW w:w="1413" w:type="dxa"/>
            <w:vAlign w:val="center"/>
          </w:tcPr>
          <w:p w:rsidR="00C14003" w:rsidRDefault="00452EDB">
            <w:pPr>
              <w:jc w:val="right"/>
              <w:rPr>
                <w:rFonts w:ascii="Arial" w:eastAsia="Arial" w:hAnsi="Arial" w:cs="Arial"/>
                <w:b/>
                <w:sz w:val="20"/>
                <w:szCs w:val="20"/>
              </w:rPr>
            </w:pPr>
            <w:r>
              <w:rPr>
                <w:rFonts w:ascii="Arial" w:eastAsia="Arial" w:hAnsi="Arial" w:cs="Arial"/>
                <w:b/>
                <w:sz w:val="20"/>
                <w:szCs w:val="20"/>
              </w:rPr>
              <w:t>c</w:t>
            </w:r>
          </w:p>
        </w:tc>
        <w:tc>
          <w:tcPr>
            <w:tcW w:w="7603" w:type="dxa"/>
          </w:tcPr>
          <w:p w:rsidR="00C14003" w:rsidRDefault="00452EDB">
            <w:pPr>
              <w:jc w:val="both"/>
              <w:rPr>
                <w:rFonts w:ascii="Arial" w:eastAsia="Arial" w:hAnsi="Arial" w:cs="Arial"/>
                <w:sz w:val="20"/>
                <w:szCs w:val="20"/>
              </w:rPr>
            </w:pPr>
            <w:r>
              <w:rPr>
                <w:noProof/>
              </w:rPr>
              <w:drawing>
                <wp:anchor distT="0" distB="0" distL="114300" distR="114300" simplePos="0" relativeHeight="251663360" behindDoc="0" locked="0" layoutInCell="1" hidden="0" allowOverlap="1">
                  <wp:simplePos x="0" y="0"/>
                  <wp:positionH relativeFrom="column">
                    <wp:posOffset>206375</wp:posOffset>
                  </wp:positionH>
                  <wp:positionV relativeFrom="paragraph">
                    <wp:posOffset>0</wp:posOffset>
                  </wp:positionV>
                  <wp:extent cx="4340860" cy="2447290"/>
                  <wp:effectExtent l="0" t="0" r="0" b="0"/>
                  <wp:wrapSquare wrapText="bothSides" distT="0" distB="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340860" cy="2447290"/>
                          </a:xfrm>
                          <a:prstGeom prst="rect">
                            <a:avLst/>
                          </a:prstGeom>
                          <a:ln/>
                        </pic:spPr>
                      </pic:pic>
                    </a:graphicData>
                  </a:graphic>
                </wp:anchor>
              </w:drawing>
            </w:r>
          </w:p>
        </w:tc>
      </w:tr>
    </w:tbl>
    <w:p w:rsidR="00C14003" w:rsidRDefault="00452EDB">
      <w:pPr>
        <w:jc w:val="both"/>
        <w:rPr>
          <w:rFonts w:ascii="Arial" w:eastAsia="Arial" w:hAnsi="Arial" w:cs="Arial"/>
          <w:sz w:val="20"/>
          <w:szCs w:val="20"/>
        </w:rPr>
      </w:pPr>
      <w:r>
        <w:rPr>
          <w:rFonts w:ascii="Arial" w:eastAsia="Arial" w:hAnsi="Arial" w:cs="Arial"/>
          <w:sz w:val="20"/>
          <w:szCs w:val="20"/>
        </w:rPr>
        <w:t>Fig. 2: Natural enemies recorded in the crop period across different management modules: (a) Coccinellid predators (grubs and adults), (b) Spiders, (c) Wasps</w:t>
      </w:r>
    </w:p>
    <w:sectPr w:rsidR="00C1400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EDB" w:rsidRDefault="00452EDB" w:rsidP="00341F88">
      <w:pPr>
        <w:spacing w:after="0" w:line="240" w:lineRule="auto"/>
      </w:pPr>
      <w:r>
        <w:separator/>
      </w:r>
    </w:p>
  </w:endnote>
  <w:endnote w:type="continuationSeparator" w:id="0">
    <w:p w:rsidR="00452EDB" w:rsidRDefault="00452EDB" w:rsidP="0034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88" w:rsidRDefault="00341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88" w:rsidRDefault="00341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88" w:rsidRDefault="0034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EDB" w:rsidRDefault="00452EDB" w:rsidP="00341F88">
      <w:pPr>
        <w:spacing w:after="0" w:line="240" w:lineRule="auto"/>
      </w:pPr>
      <w:r>
        <w:separator/>
      </w:r>
    </w:p>
  </w:footnote>
  <w:footnote w:type="continuationSeparator" w:id="0">
    <w:p w:rsidR="00452EDB" w:rsidRDefault="00452EDB" w:rsidP="0034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88" w:rsidRDefault="00341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215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88" w:rsidRDefault="00341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215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F88" w:rsidRDefault="00341F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215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003"/>
    <w:rsid w:val="00341F88"/>
    <w:rsid w:val="00452EDB"/>
    <w:rsid w:val="00585CF5"/>
    <w:rsid w:val="00C14003"/>
    <w:rsid w:val="00DE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510A46"/>
  <w15:docId w15:val="{10721078-B56E-46D8-A883-A0C5181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unhideWhenUsed/>
    <w:rsid w:val="00341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F88"/>
  </w:style>
  <w:style w:type="paragraph" w:styleId="Footer">
    <w:name w:val="footer"/>
    <w:basedOn w:val="Normal"/>
    <w:link w:val="FooterChar"/>
    <w:uiPriority w:val="99"/>
    <w:unhideWhenUsed/>
    <w:rsid w:val="00341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aostat.fao.org/" TargetMode="Externa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s.ap.gov.in/"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13410</Characters>
  <Application>Microsoft Office Word</Application>
  <DocSecurity>0</DocSecurity>
  <Lines>111</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2025-07-16T11:26:00Z</dcterms:created>
  <dcterms:modified xsi:type="dcterms:W3CDTF">2025-07-16T11:27:00Z</dcterms:modified>
</cp:coreProperties>
</file>