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B3CC" w14:textId="5D36DCB8" w:rsidR="00C8724C" w:rsidRPr="00EE4EE5" w:rsidRDefault="005B72A1" w:rsidP="00C01815">
      <w:pPr>
        <w:jc w:val="right"/>
        <w:rPr>
          <w:rFonts w:ascii="Arial" w:hAnsi="Arial" w:cs="Arial"/>
          <w:b/>
          <w:sz w:val="36"/>
          <w:szCs w:val="36"/>
          <w:lang w:val="en-US"/>
        </w:rPr>
      </w:pPr>
      <w:r w:rsidRPr="00EE4EE5">
        <w:rPr>
          <w:rFonts w:ascii="Arial" w:hAnsi="Arial" w:cs="Arial"/>
          <w:b/>
          <w:sz w:val="36"/>
          <w:szCs w:val="36"/>
          <w:lang w:val="en-US"/>
        </w:rPr>
        <w:t>MAJOR SPECIES OF SOIL ISOPODS IN COASTAL AND AGRICULTURAL AREA OF ALAPPUZHA</w:t>
      </w:r>
      <w:r w:rsidR="00B75015" w:rsidRPr="00EE4EE5">
        <w:rPr>
          <w:rFonts w:ascii="Arial" w:hAnsi="Arial" w:cs="Arial"/>
          <w:b/>
          <w:sz w:val="36"/>
          <w:szCs w:val="36"/>
          <w:lang w:val="en-US"/>
        </w:rPr>
        <w:t xml:space="preserve"> DISTRICT OF KERALA </w:t>
      </w:r>
      <w:r w:rsidRPr="00EE4EE5">
        <w:rPr>
          <w:rFonts w:ascii="Arial" w:hAnsi="Arial" w:cs="Arial"/>
          <w:b/>
          <w:sz w:val="36"/>
          <w:szCs w:val="36"/>
          <w:lang w:val="en-US"/>
        </w:rPr>
        <w:t>IN RELATION WITH PHYSICAL AND CHEMICAL FACTORS OF SOIL</w:t>
      </w:r>
      <w:r w:rsidR="00666308" w:rsidRPr="00EE4EE5">
        <w:rPr>
          <w:rFonts w:ascii="Arial" w:hAnsi="Arial" w:cs="Arial"/>
          <w:sz w:val="36"/>
          <w:szCs w:val="36"/>
          <w:lang w:val="en-US"/>
        </w:rPr>
        <w:t xml:space="preserve"> </w:t>
      </w:r>
    </w:p>
    <w:p w14:paraId="7F411FF3" w14:textId="613AC608" w:rsidR="009A0E5B" w:rsidRPr="00733CEE" w:rsidRDefault="009A0E5B" w:rsidP="009A0E5B">
      <w:pPr>
        <w:spacing w:line="360" w:lineRule="auto"/>
        <w:ind w:left="3600" w:firstLine="720"/>
        <w:jc w:val="both"/>
        <w:rPr>
          <w:rFonts w:ascii="Times New Roman" w:hAnsi="Times New Roman" w:cs="Times New Roman"/>
        </w:rPr>
      </w:pPr>
    </w:p>
    <w:p w14:paraId="35D88F12" w14:textId="77777777" w:rsidR="009A0E5B" w:rsidRPr="00EE4EE5" w:rsidRDefault="009A0E5B" w:rsidP="00227D41">
      <w:pPr>
        <w:pStyle w:val="Footer"/>
      </w:pPr>
    </w:p>
    <w:p w14:paraId="42BD6B13" w14:textId="77777777" w:rsidR="00227D41" w:rsidRPr="00EE4EE5" w:rsidRDefault="00227D41" w:rsidP="004976FE">
      <w:pPr>
        <w:spacing w:after="0" w:line="360" w:lineRule="auto"/>
        <w:jc w:val="right"/>
        <w:rPr>
          <w:rFonts w:ascii="Arial" w:hAnsi="Arial" w:cs="Arial"/>
          <w:color w:val="000000"/>
        </w:rPr>
      </w:pPr>
    </w:p>
    <w:p w14:paraId="2D8B791A" w14:textId="77777777" w:rsidR="00582BB8" w:rsidRPr="00EE4EE5" w:rsidRDefault="00582BB8" w:rsidP="00B75015">
      <w:pPr>
        <w:jc w:val="both"/>
        <w:rPr>
          <w:rFonts w:ascii="Arial" w:hAnsi="Arial" w:cs="Arial"/>
          <w:b/>
          <w:sz w:val="24"/>
          <w:szCs w:val="24"/>
          <w:lang w:val="en-US"/>
        </w:rPr>
      </w:pPr>
    </w:p>
    <w:p w14:paraId="74426978" w14:textId="77777777" w:rsidR="00032C36" w:rsidRPr="00EE4EE5" w:rsidRDefault="00233E25" w:rsidP="00EC004F">
      <w:pPr>
        <w:rPr>
          <w:rFonts w:ascii="Arial" w:hAnsi="Arial" w:cs="Arial"/>
          <w:b/>
          <w:lang w:val="en-US"/>
        </w:rPr>
      </w:pPr>
      <w:r w:rsidRPr="00EE4EE5">
        <w:rPr>
          <w:rFonts w:ascii="Arial" w:hAnsi="Arial" w:cs="Arial"/>
          <w:b/>
          <w:lang w:val="en-US"/>
        </w:rPr>
        <w:t>ABSTRACT</w:t>
      </w:r>
    </w:p>
    <w:p w14:paraId="61E12741" w14:textId="335B3981" w:rsidR="00032C36" w:rsidRPr="00EE4EE5" w:rsidRDefault="00032C36" w:rsidP="00032C36">
      <w:pPr>
        <w:spacing w:line="360" w:lineRule="auto"/>
        <w:jc w:val="both"/>
        <w:rPr>
          <w:rFonts w:ascii="Arial" w:hAnsi="Arial" w:cs="Arial"/>
          <w:sz w:val="20"/>
          <w:szCs w:val="20"/>
        </w:rPr>
      </w:pPr>
      <w:r w:rsidRPr="00EE4EE5">
        <w:rPr>
          <w:rFonts w:ascii="Arial" w:hAnsi="Arial" w:cs="Arial"/>
          <w:sz w:val="20"/>
          <w:szCs w:val="20"/>
        </w:rPr>
        <w:t>The integrity of soil is crucial for the ongoing viability of the biosphere. The objective of the present investigation is to identify the predominant isopod species inhabiting the Coastal and Agricultural regions of the Alappuzha district in the state of Kerala, in relation to various soil parameters</w:t>
      </w:r>
      <w:r w:rsidR="00F6189D" w:rsidRPr="00EE4EE5">
        <w:rPr>
          <w:rFonts w:ascii="Arial" w:hAnsi="Arial" w:cs="Arial"/>
          <w:sz w:val="20"/>
          <w:szCs w:val="20"/>
        </w:rPr>
        <w:t xml:space="preserve"> during 2022 to 2024</w:t>
      </w:r>
      <w:r w:rsidRPr="00EE4EE5">
        <w:rPr>
          <w:rFonts w:ascii="Arial" w:hAnsi="Arial" w:cs="Arial"/>
          <w:sz w:val="20"/>
          <w:szCs w:val="20"/>
        </w:rPr>
        <w:t xml:space="preserve">. Through the analysis of soil samples collected from both Coastal and Agricultural environments, three distinct isopod species have been successfully isolated by using the Berlese-Tullgren funnel method. The identified species comprise </w:t>
      </w:r>
      <w:r w:rsidRPr="00EE4EE5">
        <w:rPr>
          <w:rFonts w:ascii="Arial" w:hAnsi="Arial" w:cs="Arial"/>
          <w:i/>
          <w:sz w:val="20"/>
          <w:szCs w:val="20"/>
        </w:rPr>
        <w:t>Porcellio scaber,</w:t>
      </w:r>
      <w:r w:rsidRPr="00EE4EE5">
        <w:rPr>
          <w:rFonts w:ascii="Arial" w:hAnsi="Arial" w:cs="Arial"/>
          <w:sz w:val="20"/>
          <w:szCs w:val="20"/>
        </w:rPr>
        <w:t xml:space="preserve"> </w:t>
      </w:r>
      <w:r w:rsidRPr="00EE4EE5">
        <w:rPr>
          <w:rFonts w:ascii="Arial" w:hAnsi="Arial" w:cs="Arial"/>
          <w:i/>
          <w:sz w:val="20"/>
          <w:szCs w:val="20"/>
        </w:rPr>
        <w:t>Philoscia muscorum</w:t>
      </w:r>
      <w:r w:rsidRPr="00EE4EE5">
        <w:rPr>
          <w:rFonts w:ascii="Arial" w:hAnsi="Arial" w:cs="Arial"/>
          <w:sz w:val="20"/>
          <w:szCs w:val="20"/>
        </w:rPr>
        <w:t xml:space="preserve">, and </w:t>
      </w:r>
      <w:r w:rsidRPr="00EE4EE5">
        <w:rPr>
          <w:rFonts w:ascii="Arial" w:hAnsi="Arial" w:cs="Arial"/>
          <w:i/>
          <w:sz w:val="20"/>
          <w:szCs w:val="20"/>
        </w:rPr>
        <w:t>Philoscia javanensis</w:t>
      </w:r>
      <w:r w:rsidRPr="00EE4EE5">
        <w:rPr>
          <w:rFonts w:ascii="Arial" w:hAnsi="Arial" w:cs="Arial"/>
          <w:sz w:val="20"/>
          <w:szCs w:val="20"/>
        </w:rPr>
        <w:t>. The Important Value Index was employed to ascertain the dominant species within the studied ecosystems. Significant disparities were observed between the physical and chemical properties of the two distinct habitats, as well as across different seasonal contexts. The principal soil constituents affecting the isopod population were analysed utilizing Principal Component Analysis (PCA). Based on the findings of the PCA, it is evident that the overall isopod population is predominantly influenced by chemical constituents such as nitrogen, potassium, phosphorus, calcium, and magnesium, alongside physical parameters including temperature, moisture, pH, organic carbon, exchangeable acids, exchangeable bases, sand, silt, and clay.</w:t>
      </w:r>
    </w:p>
    <w:p w14:paraId="4F136F90" w14:textId="120F2DA1" w:rsidR="00F56D1F" w:rsidRPr="00EE4EE5" w:rsidRDefault="004976FE" w:rsidP="00F56D1F">
      <w:pPr>
        <w:spacing w:after="0" w:line="360" w:lineRule="auto"/>
        <w:jc w:val="both"/>
        <w:rPr>
          <w:rFonts w:ascii="Arial" w:eastAsia="Times New Roman" w:hAnsi="Arial" w:cs="Arial"/>
          <w:i/>
          <w:sz w:val="20"/>
          <w:szCs w:val="20"/>
          <w:lang w:eastAsia="en-IN"/>
        </w:rPr>
      </w:pPr>
      <w:r w:rsidRPr="00EE4EE5">
        <w:rPr>
          <w:rFonts w:ascii="Arial" w:hAnsi="Arial" w:cs="Arial"/>
          <w:i/>
          <w:sz w:val="20"/>
          <w:szCs w:val="20"/>
        </w:rPr>
        <w:t>Keywords: Isopods, Berlese funnel,</w:t>
      </w:r>
      <w:r w:rsidR="00F56D1F" w:rsidRPr="00EE4EE5">
        <w:rPr>
          <w:rFonts w:ascii="Arial" w:hAnsi="Arial" w:cs="Arial"/>
          <w:i/>
          <w:sz w:val="20"/>
          <w:szCs w:val="20"/>
        </w:rPr>
        <w:t xml:space="preserve"> </w:t>
      </w:r>
      <w:r w:rsidR="00F56D1F" w:rsidRPr="00EE4EE5">
        <w:rPr>
          <w:rFonts w:ascii="Arial" w:eastAsia="Times New Roman" w:hAnsi="Arial" w:cs="Arial"/>
          <w:i/>
          <w:sz w:val="20"/>
          <w:szCs w:val="20"/>
          <w:lang w:eastAsia="en-IN"/>
        </w:rPr>
        <w:t>Edaphic factors, Isopods, Important value index, Principal component Analysis</w:t>
      </w:r>
    </w:p>
    <w:p w14:paraId="6B563C8C" w14:textId="665DB680" w:rsidR="00254126" w:rsidRPr="00EE4EE5" w:rsidRDefault="00254126" w:rsidP="00F56D1F">
      <w:pPr>
        <w:spacing w:after="0" w:line="360" w:lineRule="auto"/>
        <w:jc w:val="both"/>
        <w:rPr>
          <w:rFonts w:ascii="Arial" w:eastAsia="Times New Roman" w:hAnsi="Arial" w:cs="Arial"/>
          <w:i/>
          <w:sz w:val="20"/>
          <w:szCs w:val="20"/>
          <w:lang w:eastAsia="en-IN"/>
        </w:rPr>
      </w:pPr>
    </w:p>
    <w:p w14:paraId="342F3F37" w14:textId="1398FE58" w:rsidR="00254126" w:rsidRPr="00EE4EE5" w:rsidRDefault="00254126" w:rsidP="00F56D1F">
      <w:pPr>
        <w:spacing w:after="0" w:line="360" w:lineRule="auto"/>
        <w:jc w:val="both"/>
        <w:rPr>
          <w:rFonts w:ascii="Arial" w:eastAsia="Times New Roman" w:hAnsi="Arial" w:cs="Arial"/>
          <w:i/>
          <w:sz w:val="20"/>
          <w:szCs w:val="20"/>
          <w:lang w:eastAsia="en-IN"/>
        </w:rPr>
      </w:pPr>
    </w:p>
    <w:p w14:paraId="6F6235E1" w14:textId="25B9F69F" w:rsidR="00254126" w:rsidRPr="00EE4EE5" w:rsidRDefault="00254126" w:rsidP="00F56D1F">
      <w:pPr>
        <w:spacing w:after="0" w:line="360" w:lineRule="auto"/>
        <w:jc w:val="both"/>
        <w:rPr>
          <w:rFonts w:ascii="Arial" w:eastAsia="Times New Roman" w:hAnsi="Arial" w:cs="Arial"/>
          <w:i/>
          <w:sz w:val="20"/>
          <w:szCs w:val="20"/>
          <w:lang w:eastAsia="en-IN"/>
        </w:rPr>
      </w:pPr>
    </w:p>
    <w:p w14:paraId="6A36EB3B" w14:textId="57EB1C7C" w:rsidR="00254126" w:rsidRPr="00EE4EE5" w:rsidRDefault="00254126" w:rsidP="00F56D1F">
      <w:pPr>
        <w:spacing w:after="0" w:line="360" w:lineRule="auto"/>
        <w:jc w:val="both"/>
        <w:rPr>
          <w:rFonts w:ascii="Arial" w:eastAsia="Times New Roman" w:hAnsi="Arial" w:cs="Arial"/>
          <w:i/>
          <w:sz w:val="20"/>
          <w:szCs w:val="20"/>
          <w:lang w:eastAsia="en-IN"/>
        </w:rPr>
      </w:pPr>
    </w:p>
    <w:p w14:paraId="71B0AA05" w14:textId="21776E04" w:rsidR="00254126" w:rsidRPr="00EE4EE5" w:rsidRDefault="00254126" w:rsidP="00F56D1F">
      <w:pPr>
        <w:spacing w:after="0" w:line="360" w:lineRule="auto"/>
        <w:jc w:val="both"/>
        <w:rPr>
          <w:rFonts w:ascii="Arial" w:eastAsia="Times New Roman" w:hAnsi="Arial" w:cs="Arial"/>
          <w:i/>
          <w:sz w:val="20"/>
          <w:szCs w:val="20"/>
          <w:lang w:eastAsia="en-IN"/>
        </w:rPr>
      </w:pPr>
    </w:p>
    <w:p w14:paraId="509E07B5"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6973AD65" w14:textId="32616F23" w:rsidR="004976FE" w:rsidRPr="00EE4EE5" w:rsidRDefault="004976FE" w:rsidP="00DB689A">
      <w:pPr>
        <w:pStyle w:val="Body"/>
        <w:spacing w:after="0"/>
        <w:rPr>
          <w:rFonts w:ascii="Arial" w:hAnsi="Arial" w:cs="Arial"/>
          <w:i/>
        </w:rPr>
      </w:pPr>
    </w:p>
    <w:p w14:paraId="03C6EB4A" w14:textId="7B2231FF" w:rsidR="0020186A" w:rsidRPr="00EE4EE5" w:rsidRDefault="00840CA2" w:rsidP="00DB689A">
      <w:pPr>
        <w:rPr>
          <w:rFonts w:ascii="Arial" w:hAnsi="Arial" w:cs="Arial"/>
          <w:b/>
          <w:lang w:val="en-US"/>
        </w:rPr>
      </w:pPr>
      <w:r w:rsidRPr="00EE4EE5">
        <w:rPr>
          <w:rFonts w:ascii="Arial" w:hAnsi="Arial" w:cs="Arial"/>
          <w:b/>
          <w:lang w:val="en-US"/>
        </w:rPr>
        <w:t>1.</w:t>
      </w:r>
      <w:r w:rsidR="0020186A" w:rsidRPr="00EE4EE5">
        <w:rPr>
          <w:rFonts w:ascii="Arial" w:hAnsi="Arial" w:cs="Arial"/>
          <w:b/>
          <w:lang w:val="en-US"/>
        </w:rPr>
        <w:t>INTRODUCTION</w:t>
      </w:r>
    </w:p>
    <w:p w14:paraId="013D3534" w14:textId="77777777" w:rsidR="0020186A"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Soil biodiversity is fundamentally significant in the preservation of ecosystem services that are indispensable for human welfare, encompassing nutrient cycling, water purification, and carbon sequestration. The intricate nature of soil ecosystems, which comprises a diverse spectrum of </w:t>
      </w:r>
      <w:r w:rsidRPr="00EE4EE5">
        <w:rPr>
          <w:rFonts w:ascii="Arial" w:eastAsia="Times New Roman" w:hAnsi="Arial" w:cs="Arial"/>
          <w:sz w:val="20"/>
          <w:szCs w:val="20"/>
          <w:lang w:eastAsia="en-IN"/>
        </w:rPr>
        <w:lastRenderedPageBreak/>
        <w:t xml:space="preserve">organisms ranging from microorganisms to larger fauna, is essential for the sustenance of agricultural productivity and the equilibrium of ecological systems (Wolters, 1997). </w:t>
      </w:r>
    </w:p>
    <w:p w14:paraId="77CA6F90" w14:textId="6C2D667B" w:rsidR="00D85FAA"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hAnsi="Arial" w:cs="Arial"/>
          <w:sz w:val="20"/>
          <w:szCs w:val="20"/>
        </w:rPr>
        <w:t>The soil ecosystem comprises macro and microorganisms, air, water, minerals, and organic materials. The mineral component of soil consists of three particle sizes sand, silt, and clay. Sandy soils lack productivity due to poor nutrient retention. Soil fertility is influenced by temperature and moisture. Soil organic carbon constitutes a significant carbon reservoir. Factors such as soil texture, climate, vegetation, and land use determine organic carbon levels in soil. Soil organic matter serves as the primary energy source for soil-dwelling microorganisms. Soil fertility is also affected by secondary minerals like calcium and magnesium, along with essential nutrients such as phosphorus, nitrogen, and potassium (</w:t>
      </w:r>
      <w:r w:rsidRPr="00EE4EE5">
        <w:rPr>
          <w:rFonts w:ascii="Arial" w:hAnsi="Arial" w:cs="Arial"/>
          <w:sz w:val="20"/>
          <w:szCs w:val="20"/>
          <w:shd w:val="clear" w:color="auto" w:fill="FFFFFF"/>
        </w:rPr>
        <w:t>Bini, B., 2015).</w:t>
      </w:r>
      <w:r w:rsidRPr="00EE4EE5">
        <w:rPr>
          <w:rFonts w:ascii="Arial" w:eastAsia="Times New Roman" w:hAnsi="Arial" w:cs="Arial"/>
          <w:sz w:val="20"/>
          <w:szCs w:val="20"/>
          <w:lang w:eastAsia="en-IN"/>
        </w:rPr>
        <w:t xml:space="preserve"> The </w:t>
      </w:r>
      <w:proofErr w:type="spellStart"/>
      <w:r w:rsidRPr="00EE4EE5">
        <w:rPr>
          <w:rFonts w:ascii="Arial" w:eastAsia="Times New Roman" w:hAnsi="Arial" w:cs="Arial"/>
          <w:sz w:val="20"/>
          <w:szCs w:val="20"/>
          <w:lang w:eastAsia="en-IN"/>
        </w:rPr>
        <w:t>spatio</w:t>
      </w:r>
      <w:proofErr w:type="spellEnd"/>
      <w:r w:rsidRPr="00EE4EE5">
        <w:rPr>
          <w:rFonts w:ascii="Arial" w:eastAsia="Times New Roman" w:hAnsi="Arial" w:cs="Arial"/>
          <w:sz w:val="20"/>
          <w:szCs w:val="20"/>
          <w:lang w:eastAsia="en-IN"/>
        </w:rPr>
        <w:t xml:space="preserve">-temporal fluctuations in the population density of the terrestrial isopod </w:t>
      </w:r>
      <w:r w:rsidRPr="00EE4EE5">
        <w:rPr>
          <w:rFonts w:ascii="Arial" w:eastAsia="Times New Roman" w:hAnsi="Arial" w:cs="Arial"/>
          <w:i/>
          <w:sz w:val="20"/>
          <w:szCs w:val="20"/>
          <w:lang w:eastAsia="en-IN"/>
        </w:rPr>
        <w:t>Philoscia muscorum</w:t>
      </w:r>
      <w:r w:rsidRPr="00EE4EE5">
        <w:rPr>
          <w:rFonts w:ascii="Arial" w:eastAsia="Times New Roman" w:hAnsi="Arial" w:cs="Arial"/>
          <w:sz w:val="20"/>
          <w:szCs w:val="20"/>
          <w:lang w:eastAsia="en-IN"/>
        </w:rPr>
        <w:t xml:space="preserve"> in relation to soil edaphic variables in Thiruvananthapuram, Kerala</w:t>
      </w:r>
      <w:r w:rsidR="00DB689A" w:rsidRPr="00EE4EE5">
        <w:rPr>
          <w:rFonts w:ascii="Arial" w:eastAsia="Times New Roman" w:hAnsi="Arial" w:cs="Arial"/>
          <w:sz w:val="20"/>
          <w:szCs w:val="20"/>
          <w:lang w:eastAsia="en-IN"/>
        </w:rPr>
        <w:t xml:space="preserve"> and </w:t>
      </w:r>
      <w:r w:rsidRPr="00EE4EE5">
        <w:rPr>
          <w:rFonts w:ascii="Arial" w:eastAsia="Times New Roman" w:hAnsi="Arial" w:cs="Arial"/>
          <w:sz w:val="20"/>
          <w:szCs w:val="20"/>
          <w:lang w:eastAsia="en-IN"/>
        </w:rPr>
        <w:t>the complex interplay between isopod populations and their soil habitats, which is shaped by a multitude of factors, including urbanization, soil composition, and moisture content</w:t>
      </w:r>
      <w:r w:rsidR="00DB689A" w:rsidRPr="00EE4EE5">
        <w:rPr>
          <w:rFonts w:ascii="Arial" w:eastAsia="Times New Roman" w:hAnsi="Arial" w:cs="Arial"/>
          <w:sz w:val="20"/>
          <w:szCs w:val="20"/>
          <w:lang w:eastAsia="en-IN"/>
        </w:rPr>
        <w:t xml:space="preserve"> (Manjary and Sanal Kumar ,2021)</w:t>
      </w:r>
      <w:r w:rsidRPr="00EE4EE5">
        <w:rPr>
          <w:rFonts w:ascii="Arial" w:eastAsia="Times New Roman" w:hAnsi="Arial" w:cs="Arial"/>
          <w:sz w:val="20"/>
          <w:szCs w:val="20"/>
          <w:lang w:eastAsia="en-IN"/>
        </w:rPr>
        <w:t>.</w:t>
      </w:r>
    </w:p>
    <w:p w14:paraId="258E7979" w14:textId="0DA62A01"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411406D7" w14:textId="6AB911B8" w:rsidR="00950785" w:rsidRPr="00EE4EE5" w:rsidRDefault="00A235E3" w:rsidP="0020186A">
      <w:pPr>
        <w:spacing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The coastal region of Kayamkulam and the agricultural region of Chengannur in the Alappuzha District have been selected for this investigation. The agricultural region of Chengannur, Alappuzha district, which lies between 9.3286° North latitude and 76.6166° East longitude, and the Kayamkulam coastline area, which is situated in the district between 9.1657° North latitude and 76.5005° East longitude.</w:t>
      </w:r>
    </w:p>
    <w:p w14:paraId="374F200D" w14:textId="08DEB648" w:rsidR="002F5D82" w:rsidRPr="00EE4EE5" w:rsidRDefault="00840CA2" w:rsidP="006F46B3">
      <w:pPr>
        <w:rPr>
          <w:rFonts w:ascii="Arial" w:hAnsi="Arial" w:cs="Arial"/>
          <w:b/>
          <w:lang w:val="en-US"/>
        </w:rPr>
      </w:pPr>
      <w:r w:rsidRPr="00EE4EE5">
        <w:rPr>
          <w:rFonts w:ascii="Arial" w:hAnsi="Arial" w:cs="Arial"/>
          <w:b/>
          <w:lang w:val="en-US"/>
        </w:rPr>
        <w:t xml:space="preserve">3. </w:t>
      </w:r>
      <w:r w:rsidR="002F5D82" w:rsidRPr="00EE4EE5">
        <w:rPr>
          <w:rFonts w:ascii="Arial" w:hAnsi="Arial" w:cs="Arial"/>
          <w:b/>
          <w:lang w:val="en-US"/>
        </w:rPr>
        <w:t>MATERIALS AND METHODS</w:t>
      </w:r>
    </w:p>
    <w:p w14:paraId="42749865" w14:textId="0055FD87" w:rsidR="00985360" w:rsidRPr="00EE4EE5" w:rsidRDefault="00840CA2" w:rsidP="006F46B3">
      <w:pPr>
        <w:spacing w:line="360" w:lineRule="auto"/>
        <w:rPr>
          <w:rFonts w:ascii="Arial" w:eastAsia="Times New Roman" w:hAnsi="Arial" w:cs="Arial"/>
          <w:b/>
          <w:lang w:eastAsia="en-IN"/>
        </w:rPr>
      </w:pPr>
      <w:r w:rsidRPr="00EE4EE5">
        <w:rPr>
          <w:rFonts w:ascii="Arial" w:eastAsia="Times New Roman" w:hAnsi="Arial" w:cs="Arial"/>
          <w:b/>
          <w:lang w:eastAsia="en-IN"/>
        </w:rPr>
        <w:t xml:space="preserve">3.1 </w:t>
      </w:r>
      <w:r w:rsidR="00985360" w:rsidRPr="00EE4EE5">
        <w:rPr>
          <w:rFonts w:ascii="Arial" w:eastAsia="Times New Roman" w:hAnsi="Arial" w:cs="Arial"/>
          <w:b/>
          <w:lang w:eastAsia="en-IN"/>
        </w:rPr>
        <w:t>Sampling and Extracting Soil Isopods</w:t>
      </w:r>
    </w:p>
    <w:p w14:paraId="45006D71" w14:textId="1A61AA29" w:rsidR="00A73686" w:rsidRPr="00EE4EE5" w:rsidRDefault="00EB4624" w:rsidP="00A73686">
      <w:pPr>
        <w:spacing w:after="0"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To obtain samples, twenty sampling locations were randomly selected from each habitat. A soil auger was used to gather random soil samples of 5 × 5 cm² and 10 cm deep. Soil samples were collected and transferred to a polythene bag for transportation to the laboratory</w:t>
      </w:r>
      <w:r w:rsidR="00C55675" w:rsidRPr="00EE4EE5">
        <w:rPr>
          <w:rFonts w:ascii="Arial" w:eastAsia="Times New Roman" w:hAnsi="Arial" w:cs="Arial"/>
          <w:sz w:val="20"/>
          <w:szCs w:val="20"/>
          <w:lang w:eastAsia="en-IN"/>
        </w:rPr>
        <w:t xml:space="preserve"> and properly labelled</w:t>
      </w:r>
      <w:r w:rsidRPr="00EE4EE5">
        <w:rPr>
          <w:rFonts w:ascii="Arial" w:eastAsia="Times New Roman" w:hAnsi="Arial" w:cs="Arial"/>
          <w:sz w:val="20"/>
          <w:szCs w:val="20"/>
          <w:lang w:eastAsia="en-IN"/>
        </w:rPr>
        <w:t xml:space="preserve">. Between 2022 and 2024, samples were collected monthly from the study locations throughout the monsoon, post monsoon </w:t>
      </w:r>
      <w:r w:rsidR="008F70DA" w:rsidRPr="00EE4EE5">
        <w:rPr>
          <w:rFonts w:ascii="Arial" w:eastAsia="Times New Roman" w:hAnsi="Arial" w:cs="Arial"/>
          <w:sz w:val="20"/>
          <w:szCs w:val="20"/>
          <w:lang w:eastAsia="en-IN"/>
        </w:rPr>
        <w:t xml:space="preserve">and </w:t>
      </w:r>
      <w:r w:rsidR="00560016" w:rsidRPr="00EE4EE5">
        <w:rPr>
          <w:rFonts w:ascii="Arial" w:eastAsia="Times New Roman" w:hAnsi="Arial" w:cs="Arial"/>
          <w:sz w:val="20"/>
          <w:szCs w:val="20"/>
          <w:lang w:eastAsia="en-IN"/>
        </w:rPr>
        <w:t>pre-monsoon</w:t>
      </w:r>
      <w:r w:rsidRPr="00EE4EE5">
        <w:rPr>
          <w:rFonts w:ascii="Arial" w:eastAsia="Times New Roman" w:hAnsi="Arial" w:cs="Arial"/>
          <w:sz w:val="20"/>
          <w:szCs w:val="20"/>
          <w:lang w:eastAsia="en-IN"/>
        </w:rPr>
        <w:t xml:space="preserve"> seasons.</w:t>
      </w:r>
      <w:r w:rsidR="005602B6" w:rsidRPr="00EE4EE5">
        <w:rPr>
          <w:rFonts w:ascii="Arial" w:eastAsia="Times New Roman" w:hAnsi="Arial" w:cs="Arial"/>
          <w:sz w:val="20"/>
          <w:szCs w:val="20"/>
          <w:lang w:eastAsia="en-IN"/>
        </w:rPr>
        <w:t xml:space="preserve"> </w:t>
      </w:r>
      <w:r w:rsidR="00C55675" w:rsidRPr="00EE4EE5">
        <w:rPr>
          <w:rFonts w:ascii="Arial" w:hAnsi="Arial" w:cs="Arial"/>
          <w:sz w:val="20"/>
          <w:szCs w:val="20"/>
        </w:rPr>
        <w:t xml:space="preserve">Soil samples were placed in a 15 x 25 cm plastic tray, and </w:t>
      </w:r>
      <w:r w:rsidR="007809AF" w:rsidRPr="00EE4EE5">
        <w:rPr>
          <w:rFonts w:ascii="Arial" w:hAnsi="Arial" w:cs="Arial"/>
          <w:sz w:val="20"/>
          <w:szCs w:val="20"/>
        </w:rPr>
        <w:t>hand-picked</w:t>
      </w:r>
      <w:r w:rsidR="00C55675" w:rsidRPr="00EE4EE5">
        <w:rPr>
          <w:rFonts w:ascii="Arial" w:hAnsi="Arial" w:cs="Arial"/>
          <w:sz w:val="20"/>
          <w:szCs w:val="20"/>
        </w:rPr>
        <w:t> the large isopods. The remaining Isopods were extracted in a beaker containing 2 percentage of picric acid with the help of a Berlese Tullgren funnel</w:t>
      </w:r>
      <w:r w:rsidR="005E02D0" w:rsidRPr="00EE4EE5">
        <w:rPr>
          <w:rFonts w:ascii="Arial" w:hAnsi="Arial" w:cs="Arial"/>
          <w:sz w:val="20"/>
          <w:szCs w:val="20"/>
        </w:rPr>
        <w:t xml:space="preserve">. </w:t>
      </w:r>
      <w:r w:rsidR="005E02D0" w:rsidRPr="00EE4EE5">
        <w:rPr>
          <w:rFonts w:ascii="Arial" w:eastAsia="Times New Roman" w:hAnsi="Arial" w:cs="Arial"/>
          <w:sz w:val="20"/>
          <w:szCs w:val="20"/>
          <w:lang w:eastAsia="en-IN"/>
        </w:rPr>
        <w:t xml:space="preserve">The extracted microarthropods were identified using the identification keys given by </w:t>
      </w:r>
      <w:proofErr w:type="spellStart"/>
      <w:r w:rsidR="005E02D0" w:rsidRPr="00EE4EE5">
        <w:rPr>
          <w:rFonts w:ascii="Arial" w:eastAsia="Times New Roman" w:hAnsi="Arial" w:cs="Arial"/>
          <w:sz w:val="20"/>
          <w:szCs w:val="20"/>
          <w:lang w:eastAsia="en-IN"/>
        </w:rPr>
        <w:t>Kuhnelt</w:t>
      </w:r>
      <w:proofErr w:type="spellEnd"/>
      <w:r w:rsidR="005E02D0" w:rsidRPr="00EE4EE5">
        <w:rPr>
          <w:rFonts w:ascii="Arial" w:eastAsia="Times New Roman" w:hAnsi="Arial" w:cs="Arial"/>
          <w:sz w:val="20"/>
          <w:szCs w:val="20"/>
          <w:lang w:eastAsia="en-IN"/>
        </w:rPr>
        <w:t xml:space="preserve"> in 1961. The isopods were preserved using 99.9% ethanol.</w:t>
      </w:r>
      <w:r w:rsidR="009312ED" w:rsidRPr="00EE4EE5">
        <w:rPr>
          <w:rFonts w:ascii="Arial" w:eastAsia="Times New Roman" w:hAnsi="Arial" w:cs="Arial"/>
          <w:sz w:val="20"/>
          <w:szCs w:val="20"/>
          <w:lang w:eastAsia="en-IN"/>
        </w:rPr>
        <w:t xml:space="preserve"> </w:t>
      </w:r>
      <w:r w:rsidR="00D13201" w:rsidRPr="00EE4EE5">
        <w:rPr>
          <w:rFonts w:ascii="Arial" w:eastAsia="Times New Roman" w:hAnsi="Arial" w:cs="Arial"/>
          <w:sz w:val="20"/>
          <w:szCs w:val="20"/>
          <w:lang w:eastAsia="en-IN"/>
        </w:rPr>
        <w:t xml:space="preserve">The population density of isopod species is investigated </w:t>
      </w:r>
      <w:r w:rsidR="00D76E19" w:rsidRPr="00EE4EE5">
        <w:rPr>
          <w:rFonts w:ascii="Arial" w:eastAsia="Times New Roman" w:hAnsi="Arial" w:cs="Arial"/>
          <w:sz w:val="20"/>
          <w:szCs w:val="20"/>
          <w:lang w:eastAsia="en-IN"/>
        </w:rPr>
        <w:t xml:space="preserve">from </w:t>
      </w:r>
      <w:r w:rsidR="00D13201" w:rsidRPr="00EE4EE5">
        <w:rPr>
          <w:rFonts w:ascii="Arial" w:eastAsia="Times New Roman" w:hAnsi="Arial" w:cs="Arial"/>
          <w:sz w:val="20"/>
          <w:szCs w:val="20"/>
          <w:lang w:eastAsia="en-IN"/>
        </w:rPr>
        <w:t>the extracted population from the sample.</w:t>
      </w:r>
      <w:r w:rsidR="007E20AB" w:rsidRPr="00EE4EE5">
        <w:rPr>
          <w:rFonts w:ascii="Arial" w:eastAsia="Times New Roman" w:hAnsi="Arial" w:cs="Arial"/>
          <w:sz w:val="20"/>
          <w:szCs w:val="20"/>
          <w:lang w:eastAsia="en-IN"/>
        </w:rPr>
        <w:t xml:space="preserve"> Major isopods in both habitats have been found by the Important Value Index (IVI) by calculating the </w:t>
      </w:r>
      <w:r w:rsidR="007E20AB" w:rsidRPr="00EE4EE5">
        <w:rPr>
          <w:rFonts w:ascii="Arial" w:hAnsi="Arial" w:cs="Arial"/>
          <w:sz w:val="20"/>
          <w:szCs w:val="20"/>
        </w:rPr>
        <w:t>Relative frequency (RF), Relative density (RD), and Relative area (RA) of each species</w:t>
      </w:r>
      <w:r w:rsidR="000B5396" w:rsidRPr="00EE4EE5">
        <w:rPr>
          <w:rFonts w:ascii="Arial" w:hAnsi="Arial" w:cs="Arial"/>
          <w:color w:val="333333"/>
          <w:sz w:val="20"/>
          <w:szCs w:val="20"/>
        </w:rPr>
        <w:t xml:space="preserve"> (</w:t>
      </w:r>
      <w:r w:rsidR="007E20AB" w:rsidRPr="00EE4EE5">
        <w:rPr>
          <w:rFonts w:ascii="Arial" w:eastAsia="Times New Roman" w:hAnsi="Arial" w:cs="Arial"/>
          <w:sz w:val="20"/>
          <w:szCs w:val="20"/>
          <w:lang w:eastAsia="en-IN"/>
        </w:rPr>
        <w:t>Ismail</w:t>
      </w:r>
      <w:r w:rsidR="000B5396" w:rsidRPr="00EE4EE5">
        <w:rPr>
          <w:rFonts w:ascii="Arial" w:eastAsia="Times New Roman" w:hAnsi="Arial" w:cs="Arial"/>
          <w:sz w:val="20"/>
          <w:szCs w:val="20"/>
          <w:lang w:eastAsia="en-IN"/>
        </w:rPr>
        <w:t xml:space="preserve"> et al., </w:t>
      </w:r>
      <w:r w:rsidR="007E20AB" w:rsidRPr="00EE4EE5">
        <w:rPr>
          <w:rFonts w:ascii="Arial" w:eastAsia="Times New Roman" w:hAnsi="Arial" w:cs="Arial"/>
          <w:sz w:val="20"/>
          <w:szCs w:val="20"/>
          <w:lang w:eastAsia="en-IN"/>
        </w:rPr>
        <w:t>2021</w:t>
      </w:r>
      <w:r w:rsidR="000B5396" w:rsidRPr="00EE4EE5">
        <w:rPr>
          <w:rFonts w:ascii="Arial" w:eastAsia="Times New Roman" w:hAnsi="Arial" w:cs="Arial"/>
          <w:sz w:val="20"/>
          <w:szCs w:val="20"/>
          <w:lang w:eastAsia="en-IN"/>
        </w:rPr>
        <w:t>)</w:t>
      </w:r>
      <w:r w:rsidR="007E20AB" w:rsidRPr="00EE4EE5">
        <w:rPr>
          <w:rFonts w:ascii="Arial" w:eastAsia="Times New Roman" w:hAnsi="Arial" w:cs="Arial"/>
          <w:sz w:val="20"/>
          <w:szCs w:val="20"/>
          <w:lang w:eastAsia="en-IN"/>
        </w:rPr>
        <w:t>.</w:t>
      </w:r>
      <w:r w:rsidR="009312ED" w:rsidRPr="00EE4EE5">
        <w:rPr>
          <w:rFonts w:ascii="Arial" w:eastAsia="Times New Roman" w:hAnsi="Arial" w:cs="Arial"/>
          <w:sz w:val="20"/>
          <w:szCs w:val="20"/>
          <w:lang w:eastAsia="en-IN"/>
        </w:rPr>
        <w:t xml:space="preserve"> </w:t>
      </w:r>
    </w:p>
    <w:p w14:paraId="3CA1DDB9" w14:textId="008DE8ED" w:rsidR="00A73686"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3.2 </w:t>
      </w:r>
      <w:r w:rsidR="00A73686" w:rsidRPr="00EE4EE5">
        <w:rPr>
          <w:rFonts w:ascii="Arial" w:hAnsi="Arial" w:cs="Arial"/>
          <w:b/>
          <w:sz w:val="20"/>
          <w:szCs w:val="20"/>
          <w:lang w:val="en-US"/>
        </w:rPr>
        <w:t>Soil Analysis</w:t>
      </w:r>
    </w:p>
    <w:p w14:paraId="7D8AC561" w14:textId="5E4E0E20" w:rsidR="00E732EB" w:rsidRPr="00EE4EE5" w:rsidRDefault="006D6C10" w:rsidP="00A73686">
      <w:pPr>
        <w:spacing w:after="0" w:line="360" w:lineRule="auto"/>
        <w:jc w:val="both"/>
        <w:rPr>
          <w:rFonts w:ascii="Arial" w:hAnsi="Arial" w:cs="Arial"/>
          <w:sz w:val="20"/>
          <w:szCs w:val="20"/>
        </w:rPr>
      </w:pPr>
      <w:r w:rsidRPr="00EE4EE5">
        <w:rPr>
          <w:rFonts w:ascii="Arial" w:eastAsia="Times New Roman" w:hAnsi="Arial" w:cs="Arial"/>
          <w:sz w:val="20"/>
          <w:szCs w:val="20"/>
          <w:lang w:eastAsia="en-IN"/>
        </w:rPr>
        <w:t>The soil edaphic variables that were examined from the soil samples were temperature, pH, exchangeable</w:t>
      </w:r>
      <w:r w:rsidR="008445C8" w:rsidRPr="00EE4EE5">
        <w:rPr>
          <w:rFonts w:ascii="Arial" w:eastAsia="Times New Roman" w:hAnsi="Arial" w:cs="Arial"/>
          <w:sz w:val="20"/>
          <w:szCs w:val="20"/>
          <w:lang w:eastAsia="en-IN"/>
        </w:rPr>
        <w:t xml:space="preserve"> base</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exchangeable acid</w:t>
      </w:r>
      <w:r w:rsidRPr="00EE4EE5">
        <w:rPr>
          <w:rFonts w:ascii="Arial" w:eastAsia="Times New Roman" w:hAnsi="Arial" w:cs="Arial"/>
          <w:sz w:val="20"/>
          <w:szCs w:val="20"/>
          <w:lang w:eastAsia="en-IN"/>
        </w:rPr>
        <w:t xml:space="preserve">, organic carbon </w:t>
      </w:r>
      <w:r w:rsidR="008445C8" w:rsidRPr="00EE4EE5">
        <w:rPr>
          <w:rFonts w:ascii="Arial" w:eastAsia="Times New Roman" w:hAnsi="Arial" w:cs="Arial"/>
          <w:sz w:val="20"/>
          <w:szCs w:val="20"/>
          <w:lang w:eastAsia="en-IN"/>
        </w:rPr>
        <w:t>matter in soil,</w:t>
      </w:r>
      <w:r w:rsidRPr="00EE4EE5">
        <w:rPr>
          <w:rFonts w:ascii="Arial" w:eastAsia="Times New Roman" w:hAnsi="Arial" w:cs="Arial"/>
          <w:sz w:val="20"/>
          <w:szCs w:val="20"/>
          <w:lang w:eastAsia="en-IN"/>
        </w:rPr>
        <w:t xml:space="preserve"> moisture </w:t>
      </w:r>
      <w:r w:rsidR="008445C8" w:rsidRPr="00EE4EE5">
        <w:rPr>
          <w:rFonts w:ascii="Arial" w:eastAsia="Times New Roman" w:hAnsi="Arial" w:cs="Arial"/>
          <w:sz w:val="20"/>
          <w:szCs w:val="20"/>
          <w:lang w:eastAsia="en-IN"/>
        </w:rPr>
        <w:t>in soil</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 xml:space="preserve">silt, </w:t>
      </w:r>
      <w:r w:rsidRPr="00EE4EE5">
        <w:rPr>
          <w:rFonts w:ascii="Arial" w:eastAsia="Times New Roman" w:hAnsi="Arial" w:cs="Arial"/>
          <w:sz w:val="20"/>
          <w:szCs w:val="20"/>
          <w:lang w:eastAsia="en-IN"/>
        </w:rPr>
        <w:t xml:space="preserve">sand and clay content. The soil's chemical makeup, including amounts of calcium, </w:t>
      </w:r>
      <w:r w:rsidR="008445C8" w:rsidRPr="00EE4EE5">
        <w:rPr>
          <w:rFonts w:ascii="Arial" w:eastAsia="Times New Roman" w:hAnsi="Arial" w:cs="Arial"/>
          <w:sz w:val="20"/>
          <w:szCs w:val="20"/>
          <w:lang w:eastAsia="en-IN"/>
        </w:rPr>
        <w:t xml:space="preserve">phosphorus, </w:t>
      </w:r>
      <w:r w:rsidRPr="00EE4EE5">
        <w:rPr>
          <w:rFonts w:ascii="Arial" w:eastAsia="Times New Roman" w:hAnsi="Arial" w:cs="Arial"/>
          <w:sz w:val="20"/>
          <w:szCs w:val="20"/>
          <w:lang w:eastAsia="en-IN"/>
        </w:rPr>
        <w:t>magnesium,</w:t>
      </w:r>
      <w:r w:rsidR="008445C8"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lastRenderedPageBreak/>
        <w:t>nitrogen and</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potassium</w:t>
      </w:r>
      <w:r w:rsidRPr="00EE4EE5">
        <w:rPr>
          <w:rFonts w:ascii="Arial" w:eastAsia="Times New Roman" w:hAnsi="Arial" w:cs="Arial"/>
          <w:sz w:val="20"/>
          <w:szCs w:val="20"/>
          <w:lang w:eastAsia="en-IN"/>
        </w:rPr>
        <w:t xml:space="preserve">, was investigated. The soil's temperature was measured on-site using a soil thermometer. The soil's pH was measured using a soil pH meter. Exchangeable base and exchangeable acid were measured using </w:t>
      </w:r>
      <w:proofErr w:type="spellStart"/>
      <w:r w:rsidRPr="00EE4EE5">
        <w:rPr>
          <w:rFonts w:ascii="Arial" w:eastAsia="Times New Roman" w:hAnsi="Arial" w:cs="Arial"/>
          <w:sz w:val="20"/>
          <w:szCs w:val="20"/>
          <w:lang w:eastAsia="en-IN"/>
        </w:rPr>
        <w:t>Trivedy</w:t>
      </w:r>
      <w:proofErr w:type="spellEnd"/>
      <w:r w:rsidRPr="00EE4EE5">
        <w:rPr>
          <w:rFonts w:ascii="Arial" w:eastAsia="Times New Roman" w:hAnsi="Arial" w:cs="Arial"/>
          <w:sz w:val="20"/>
          <w:szCs w:val="20"/>
          <w:lang w:eastAsia="en-IN"/>
        </w:rPr>
        <w:t xml:space="preserve"> and Goel's technique</w:t>
      </w:r>
      <w:r w:rsidR="00942432" w:rsidRPr="00EE4EE5">
        <w:rPr>
          <w:rFonts w:ascii="Arial" w:eastAsia="Times New Roman" w:hAnsi="Arial" w:cs="Arial"/>
          <w:sz w:val="20"/>
          <w:szCs w:val="20"/>
          <w:lang w:eastAsia="en-IN"/>
        </w:rPr>
        <w:t xml:space="preserve"> (</w:t>
      </w:r>
      <w:proofErr w:type="spellStart"/>
      <w:r w:rsidR="00942432" w:rsidRPr="00EE4EE5">
        <w:rPr>
          <w:rFonts w:ascii="Arial" w:eastAsia="Times New Roman" w:hAnsi="Arial" w:cs="Arial"/>
          <w:sz w:val="20"/>
          <w:szCs w:val="20"/>
          <w:lang w:eastAsia="en-IN"/>
        </w:rPr>
        <w:t>Trivedy</w:t>
      </w:r>
      <w:proofErr w:type="spellEnd"/>
      <w:r w:rsidR="00942432" w:rsidRPr="00EE4EE5">
        <w:rPr>
          <w:rFonts w:ascii="Arial" w:eastAsia="Times New Roman" w:hAnsi="Arial" w:cs="Arial"/>
          <w:sz w:val="20"/>
          <w:szCs w:val="20"/>
          <w:lang w:eastAsia="en-IN"/>
        </w:rPr>
        <w:t xml:space="preserve"> et al.,1987)</w:t>
      </w:r>
      <w:r w:rsidRPr="00EE4EE5">
        <w:rPr>
          <w:rFonts w:ascii="Arial" w:eastAsia="Times New Roman" w:hAnsi="Arial" w:cs="Arial"/>
          <w:sz w:val="20"/>
          <w:szCs w:val="20"/>
          <w:lang w:eastAsia="en-IN"/>
        </w:rPr>
        <w:t>. The value of organic matter in the soil was measured using the Walkley and Black technique (</w:t>
      </w:r>
      <w:r w:rsidR="00942432" w:rsidRPr="00EE4EE5">
        <w:rPr>
          <w:rFonts w:ascii="Arial" w:eastAsia="Times New Roman" w:hAnsi="Arial" w:cs="Arial"/>
          <w:sz w:val="20"/>
          <w:szCs w:val="20"/>
          <w:lang w:eastAsia="en-IN"/>
        </w:rPr>
        <w:t>Walkley et al.,</w:t>
      </w:r>
      <w:r w:rsidRPr="00EE4EE5">
        <w:rPr>
          <w:rFonts w:ascii="Arial" w:eastAsia="Times New Roman" w:hAnsi="Arial" w:cs="Arial"/>
          <w:sz w:val="20"/>
          <w:szCs w:val="20"/>
          <w:lang w:eastAsia="en-IN"/>
        </w:rPr>
        <w:t xml:space="preserve">1934). </w:t>
      </w:r>
      <w:r w:rsidR="004259CF" w:rsidRPr="00EE4EE5">
        <w:rPr>
          <w:rFonts w:ascii="Arial" w:hAnsi="Arial" w:cs="Arial"/>
          <w:sz w:val="20"/>
          <w:szCs w:val="20"/>
        </w:rPr>
        <w:t xml:space="preserve">The gravimetric technique was employed to quantify the moisture content present within the soil matrix. Soil samples underwent air drying followed by sieving, and various chemical parameters including phosphorus magnesium, nitrogen, potassium and calcium were meticulously </w:t>
      </w:r>
      <w:r w:rsidR="000E2DE0" w:rsidRPr="00EE4EE5">
        <w:rPr>
          <w:rFonts w:ascii="Arial" w:hAnsi="Arial" w:cs="Arial"/>
          <w:sz w:val="20"/>
          <w:szCs w:val="20"/>
        </w:rPr>
        <w:t>analysed</w:t>
      </w:r>
      <w:r w:rsidR="004259CF" w:rsidRPr="00EE4EE5">
        <w:rPr>
          <w:rFonts w:ascii="Arial" w:hAnsi="Arial" w:cs="Arial"/>
          <w:sz w:val="20"/>
          <w:szCs w:val="20"/>
        </w:rPr>
        <w:t xml:space="preserve"> within these samples. The Kjeldahl distillation method was utilized to ascertain the nitrogen concentration, molybdate stannous chloride was employed to evaluate the phosphorus content, and flame photometry was applied to measure the potassium levels</w:t>
      </w:r>
      <w:r w:rsidR="002F0080" w:rsidRPr="00EE4EE5">
        <w:rPr>
          <w:rFonts w:ascii="Arial" w:hAnsi="Arial" w:cs="Arial"/>
          <w:sz w:val="20"/>
          <w:szCs w:val="20"/>
        </w:rPr>
        <w:t xml:space="preserve"> (APHA, 2012</w:t>
      </w:r>
      <w:r w:rsidR="00560016" w:rsidRPr="00EE4EE5">
        <w:rPr>
          <w:rFonts w:ascii="Arial" w:hAnsi="Arial" w:cs="Arial"/>
          <w:sz w:val="20"/>
          <w:szCs w:val="20"/>
        </w:rPr>
        <w:t>). The</w:t>
      </w:r>
      <w:r w:rsidR="004259CF" w:rsidRPr="00EE4EE5">
        <w:rPr>
          <w:rFonts w:ascii="Arial" w:hAnsi="Arial" w:cs="Arial"/>
          <w:sz w:val="20"/>
          <w:szCs w:val="20"/>
        </w:rPr>
        <w:t xml:space="preserve"> EDTA titration method as delineated by Jackson in 1958 was utilized to assess the concentrations of calcium and magnesium in the soil</w:t>
      </w:r>
      <w:r w:rsidR="002A4C08" w:rsidRPr="00EE4EE5">
        <w:rPr>
          <w:rFonts w:ascii="Arial" w:hAnsi="Arial" w:cs="Arial"/>
          <w:sz w:val="20"/>
          <w:szCs w:val="20"/>
        </w:rPr>
        <w:t xml:space="preserve"> (</w:t>
      </w:r>
      <w:r w:rsidR="002A4C08" w:rsidRPr="00EE4EE5">
        <w:rPr>
          <w:rFonts w:ascii="Arial" w:hAnsi="Arial" w:cs="Arial"/>
          <w:color w:val="222222"/>
          <w:sz w:val="20"/>
          <w:szCs w:val="20"/>
          <w:shd w:val="clear" w:color="auto" w:fill="FFFFFF"/>
        </w:rPr>
        <w:t>Jackson M, 1958</w:t>
      </w:r>
      <w:r w:rsidR="002A4C08" w:rsidRPr="00EE4EE5">
        <w:rPr>
          <w:rFonts w:ascii="Arial" w:hAnsi="Arial" w:cs="Arial"/>
          <w:sz w:val="20"/>
          <w:szCs w:val="20"/>
        </w:rPr>
        <w:t>).</w:t>
      </w:r>
    </w:p>
    <w:p w14:paraId="6992C946" w14:textId="38E3AA29"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3.3 </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7122227E" w14:textId="751DEEA8" w:rsidR="001B103E" w:rsidRPr="00EE4EE5" w:rsidRDefault="001B103E" w:rsidP="000E2DE0">
      <w:pPr>
        <w:spacing w:line="360" w:lineRule="auto"/>
        <w:jc w:val="both"/>
        <w:rPr>
          <w:rFonts w:ascii="Arial" w:hAnsi="Arial" w:cs="Arial"/>
          <w:b/>
          <w:sz w:val="20"/>
          <w:szCs w:val="20"/>
          <w:lang w:val="en-US"/>
        </w:rPr>
      </w:pPr>
      <w:r w:rsidRPr="00EE4EE5">
        <w:rPr>
          <w:rFonts w:ascii="Arial" w:hAnsi="Arial" w:cs="Arial"/>
          <w:sz w:val="20"/>
          <w:szCs w:val="20"/>
        </w:rPr>
        <w:t>Microsoft Excel was employed to generate descriptive statistical analyses. Utilizing the SPSS program version 21, a two-way analysis of variance (ANOVA) was executed to ascertain any statistically significant differences in the values of each parameter across various sites and seasons. Principal component analysis (PCA) was conducted using the PAST 4.03 software to examine the correlations between isopod populations, edaphic factors, and chemical variables.</w:t>
      </w:r>
    </w:p>
    <w:p w14:paraId="40BA187F" w14:textId="06C3EECA"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7B52947A" w14:textId="4521EB22" w:rsidR="00AC71D1" w:rsidRPr="00EE4EE5" w:rsidRDefault="00840CA2" w:rsidP="00B75015">
      <w:pPr>
        <w:jc w:val="both"/>
        <w:rPr>
          <w:rFonts w:ascii="Arial" w:hAnsi="Arial" w:cs="Arial"/>
          <w:b/>
          <w:sz w:val="20"/>
          <w:szCs w:val="20"/>
          <w:lang w:val="en-US"/>
        </w:rPr>
      </w:pPr>
      <w:r w:rsidRPr="00EE4EE5">
        <w:rPr>
          <w:rFonts w:ascii="Arial" w:hAnsi="Arial" w:cs="Arial"/>
          <w:b/>
          <w:sz w:val="20"/>
          <w:szCs w:val="20"/>
          <w:lang w:val="en-US"/>
        </w:rPr>
        <w:t xml:space="preserve">4.1 </w:t>
      </w:r>
      <w:r w:rsidR="00AC71D1" w:rsidRPr="00EE4EE5">
        <w:rPr>
          <w:rFonts w:ascii="Arial" w:hAnsi="Arial" w:cs="Arial"/>
          <w:b/>
          <w:sz w:val="20"/>
          <w:szCs w:val="20"/>
          <w:lang w:val="en-US"/>
        </w:rPr>
        <w:t>Major Species</w:t>
      </w:r>
    </w:p>
    <w:p w14:paraId="6FA482A6" w14:textId="7F2BBA68" w:rsidR="00134ADA" w:rsidRPr="00EE4EE5" w:rsidRDefault="00134ADA" w:rsidP="00134AD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Three predominant isopod species have been isolated from coastal soil samples, alongside three distinct major isopod species identified from agricultural soil samples.</w:t>
      </w:r>
      <w:r w:rsidR="00521CF2" w:rsidRPr="00EE4EE5">
        <w:rPr>
          <w:rFonts w:ascii="Arial" w:eastAsia="Times New Roman" w:hAnsi="Arial" w:cs="Arial"/>
          <w:sz w:val="20"/>
          <w:szCs w:val="20"/>
          <w:lang w:eastAsia="en-IN"/>
        </w:rPr>
        <w:t xml:space="preserve"> </w:t>
      </w:r>
      <w:r w:rsidRPr="00EE4EE5">
        <w:rPr>
          <w:rFonts w:ascii="Arial" w:eastAsia="Times New Roman" w:hAnsi="Arial" w:cs="Arial"/>
          <w:sz w:val="20"/>
          <w:szCs w:val="20"/>
          <w:lang w:eastAsia="en-IN"/>
        </w:rPr>
        <w:t xml:space="preserve">The species identified comprise </w:t>
      </w:r>
      <w:r w:rsidRPr="00EE4EE5">
        <w:rPr>
          <w:rFonts w:ascii="Arial" w:eastAsia="Times New Roman" w:hAnsi="Arial" w:cs="Arial"/>
          <w:i/>
          <w:sz w:val="20"/>
          <w:szCs w:val="20"/>
          <w:lang w:eastAsia="en-IN"/>
        </w:rPr>
        <w:t>Philoscia muscorum</w:t>
      </w:r>
      <w:r w:rsidRPr="00EE4EE5">
        <w:rPr>
          <w:rFonts w:ascii="Arial" w:eastAsia="Times New Roman" w:hAnsi="Arial" w:cs="Arial"/>
          <w:sz w:val="20"/>
          <w:szCs w:val="20"/>
          <w:lang w:eastAsia="en-IN"/>
        </w:rPr>
        <w:t xml:space="preserve">, </w:t>
      </w:r>
      <w:r w:rsidRPr="00EE4EE5">
        <w:rPr>
          <w:rFonts w:ascii="Arial" w:eastAsia="Times New Roman" w:hAnsi="Arial" w:cs="Arial"/>
          <w:i/>
          <w:sz w:val="20"/>
          <w:szCs w:val="20"/>
          <w:lang w:eastAsia="en-IN"/>
        </w:rPr>
        <w:t>Porcellio scaber</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Philoscia javanensis</w:t>
      </w:r>
      <w:r w:rsidRPr="00EE4EE5">
        <w:rPr>
          <w:rFonts w:ascii="Arial" w:eastAsia="Times New Roman" w:hAnsi="Arial" w:cs="Arial"/>
          <w:sz w:val="20"/>
          <w:szCs w:val="20"/>
          <w:lang w:eastAsia="en-IN"/>
        </w:rPr>
        <w:t>.</w:t>
      </w:r>
      <w:r w:rsidR="00521CF2" w:rsidRPr="00EE4EE5">
        <w:rPr>
          <w:rFonts w:ascii="Arial" w:eastAsia="Times New Roman" w:hAnsi="Arial" w:cs="Arial"/>
          <w:sz w:val="20"/>
          <w:szCs w:val="20"/>
          <w:lang w:eastAsia="en-IN"/>
        </w:rPr>
        <w:t xml:space="preserve"> </w:t>
      </w:r>
      <w:r w:rsidRPr="00EE4EE5">
        <w:rPr>
          <w:rFonts w:ascii="Arial" w:eastAsia="Times New Roman" w:hAnsi="Arial" w:cs="Arial"/>
          <w:sz w:val="20"/>
          <w:szCs w:val="20"/>
          <w:lang w:eastAsia="en-IN"/>
        </w:rPr>
        <w:t>In the coastal region, the population density of all isopod species exhibits a pronounced peak during the post-monsoon period, while a diminished population peak is observed during the monsoon season (Figure</w:t>
      </w:r>
      <w:r w:rsidR="001F3B2C" w:rsidRPr="00EE4EE5">
        <w:rPr>
          <w:rFonts w:ascii="Arial" w:eastAsia="Times New Roman" w:hAnsi="Arial" w:cs="Arial"/>
          <w:sz w:val="20"/>
          <w:szCs w:val="20"/>
          <w:lang w:eastAsia="en-IN"/>
        </w:rPr>
        <w:t xml:space="preserve"> 1.</w:t>
      </w:r>
      <w:r w:rsidRPr="00EE4EE5">
        <w:rPr>
          <w:rFonts w:ascii="Arial" w:eastAsia="Times New Roman" w:hAnsi="Arial" w:cs="Arial"/>
          <w:sz w:val="20"/>
          <w:szCs w:val="20"/>
          <w:lang w:eastAsia="en-IN"/>
        </w:rPr>
        <w:t xml:space="preserve">). The populations of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are comparatively more prevalent than that of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Two-way ANOVA analysis indicates that there is a statistically significant variation in the population densities of all three species across different seasons (</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&lt;0.05), whereas no significant variation is noted among the samples (</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 xml:space="preserve">&gt;0.05). In the coastal environment,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demonstrate greater dominance, with Importance Value Index (IVI) scores of 310.19 and 271.3134, respectively. Conversely,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with an IVI score of 258.4417, exhibits lesser dominance relative to the other species (Table 1).</w:t>
      </w:r>
    </w:p>
    <w:p w14:paraId="7004E088" w14:textId="7A1CE437" w:rsidR="00261780" w:rsidRPr="00EE4EE5" w:rsidRDefault="00316265" w:rsidP="00134ADA">
      <w:pPr>
        <w:spacing w:before="100" w:beforeAutospacing="1" w:after="100" w:afterAutospacing="1" w:line="360" w:lineRule="auto"/>
        <w:jc w:val="both"/>
        <w:rPr>
          <w:rFonts w:ascii="Arial" w:eastAsia="Times New Roman" w:hAnsi="Arial" w:cs="Arial"/>
          <w:sz w:val="20"/>
          <w:szCs w:val="20"/>
          <w:lang w:eastAsia="en-IN"/>
        </w:rPr>
      </w:pPr>
      <w:r w:rsidRPr="00EE4EE5">
        <w:rPr>
          <w:noProof/>
        </w:rPr>
        <w:lastRenderedPageBreak/>
        <w:drawing>
          <wp:inline distT="0" distB="0" distL="0" distR="0" wp14:anchorId="75C601BC" wp14:editId="483D85AD">
            <wp:extent cx="4572000" cy="2743200"/>
            <wp:effectExtent l="0" t="0" r="0" b="0"/>
            <wp:docPr id="9" name="Chart 9">
              <a:extLst xmlns:a="http://schemas.openxmlformats.org/drawingml/2006/main">
                <a:ext uri="{FF2B5EF4-FFF2-40B4-BE49-F238E27FC236}">
                  <a16:creationId xmlns:a16="http://schemas.microsoft.com/office/drawing/2014/main" id="{30A4816B-6FB4-4694-86CB-1680F00C3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6C0658" w14:textId="3C8E763A"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1. </w:t>
      </w:r>
      <w:r w:rsidR="00E15E5D" w:rsidRPr="00EE4EE5">
        <w:rPr>
          <w:rFonts w:ascii="Arial" w:hAnsi="Arial" w:cs="Arial"/>
          <w:b/>
          <w:sz w:val="20"/>
          <w:szCs w:val="20"/>
          <w:lang w:val="en-US"/>
        </w:rPr>
        <w:t>Population density of different isopod species in different seasons in Coastal Area of Alappuzha District</w:t>
      </w:r>
      <w:r w:rsidR="00E15E5D" w:rsidRPr="00EE4EE5">
        <w:rPr>
          <w:rFonts w:ascii="Times New Roman" w:hAnsi="Times New Roman" w:cs="Times New Roman"/>
          <w:sz w:val="24"/>
          <w:szCs w:val="24"/>
          <w:lang w:val="en-US"/>
        </w:rPr>
        <w:t>.</w:t>
      </w:r>
    </w:p>
    <w:p w14:paraId="452FCEF4" w14:textId="1AEBECB7"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noProof/>
        </w:rPr>
        <w:drawing>
          <wp:inline distT="0" distB="0" distL="0" distR="0" wp14:anchorId="087DC3D6" wp14:editId="5BCE94A6">
            <wp:extent cx="4572000" cy="2743200"/>
            <wp:effectExtent l="0" t="0" r="0" b="0"/>
            <wp:docPr id="10" name="Chart 10">
              <a:extLst xmlns:a="http://schemas.openxmlformats.org/drawingml/2006/main">
                <a:ext uri="{FF2B5EF4-FFF2-40B4-BE49-F238E27FC236}">
                  <a16:creationId xmlns:a16="http://schemas.microsoft.com/office/drawing/2014/main" id="{2723D7F2-A348-4EA6-8EF5-BE4AC819D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4D7E7D" w14:textId="5731410C" w:rsidR="00316265" w:rsidRPr="00EE4EE5" w:rsidRDefault="001F3B2C"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2. </w:t>
      </w:r>
      <w:r w:rsidR="008B4667" w:rsidRPr="00EE4EE5">
        <w:rPr>
          <w:rFonts w:ascii="Arial" w:hAnsi="Arial" w:cs="Arial"/>
          <w:b/>
          <w:sz w:val="20"/>
          <w:szCs w:val="20"/>
          <w:lang w:val="en-US"/>
        </w:rPr>
        <w:t>Population density of different isopod species in different seasons in Agricultural Area of Alappuzha District.</w:t>
      </w:r>
    </w:p>
    <w:p w14:paraId="16D9027C" w14:textId="1779E01C" w:rsidR="00F07833" w:rsidRPr="00EE4EE5" w:rsidRDefault="00134ADA" w:rsidP="00134ADA">
      <w:pPr>
        <w:spacing w:line="360" w:lineRule="auto"/>
        <w:jc w:val="both"/>
        <w:rPr>
          <w:rFonts w:ascii="Arial" w:hAnsi="Arial" w:cs="Arial"/>
          <w:sz w:val="20"/>
          <w:szCs w:val="20"/>
        </w:rPr>
      </w:pPr>
      <w:r w:rsidRPr="00EE4EE5">
        <w:rPr>
          <w:rFonts w:ascii="Arial" w:hAnsi="Arial" w:cs="Arial"/>
          <w:sz w:val="20"/>
          <w:szCs w:val="20"/>
        </w:rPr>
        <w:t>In the domain of agriculture, the population density of all Isopod species exhibits a pronounced peak during the post-monsoon period, while a marked decline in population density is observed during the monsoon season (Figure</w:t>
      </w:r>
      <w:r w:rsidR="001F3B2C" w:rsidRPr="00EE4EE5">
        <w:rPr>
          <w:rFonts w:ascii="Arial" w:hAnsi="Arial" w:cs="Arial"/>
          <w:sz w:val="20"/>
          <w:szCs w:val="20"/>
        </w:rPr>
        <w:t xml:space="preserve"> 2.</w:t>
      </w:r>
      <w:r w:rsidRPr="00EE4EE5">
        <w:rPr>
          <w:rFonts w:ascii="Arial" w:hAnsi="Arial" w:cs="Arial"/>
          <w:sz w:val="20"/>
          <w:szCs w:val="20"/>
        </w:rPr>
        <w:t>). The application of two-way ANOVA indicates that there exists a statistically significant variation in population density among the three species across different seasons (</w:t>
      </w:r>
      <w:r w:rsidRPr="00EE4EE5">
        <w:rPr>
          <w:rFonts w:ascii="Arial" w:hAnsi="Arial" w:cs="Arial"/>
          <w:i/>
          <w:sz w:val="20"/>
          <w:szCs w:val="20"/>
        </w:rPr>
        <w:t>P</w:t>
      </w:r>
      <w:r w:rsidRPr="00EE4EE5">
        <w:rPr>
          <w:rFonts w:ascii="Arial" w:hAnsi="Arial" w:cs="Arial"/>
          <w:sz w:val="20"/>
          <w:szCs w:val="20"/>
        </w:rPr>
        <w:t>&lt;0.05), whereas no significant variation is detected between the samples (</w:t>
      </w:r>
      <w:r w:rsidRPr="00EE4EE5">
        <w:rPr>
          <w:rFonts w:ascii="Arial" w:hAnsi="Arial" w:cs="Arial"/>
          <w:i/>
          <w:sz w:val="20"/>
          <w:szCs w:val="20"/>
        </w:rPr>
        <w:t>P</w:t>
      </w:r>
      <w:r w:rsidRPr="00EE4EE5">
        <w:rPr>
          <w:rFonts w:ascii="Arial" w:hAnsi="Arial" w:cs="Arial"/>
          <w:sz w:val="20"/>
          <w:szCs w:val="20"/>
        </w:rPr>
        <w:t xml:space="preserve">&gt;0.05). Within the agricultural context, all three species demonstrate a pronounced dominance in population. Specifically, </w:t>
      </w:r>
      <w:r w:rsidRPr="00EE4EE5">
        <w:rPr>
          <w:rFonts w:ascii="Arial" w:hAnsi="Arial" w:cs="Arial"/>
          <w:i/>
          <w:sz w:val="20"/>
          <w:szCs w:val="20"/>
        </w:rPr>
        <w:t>P. muscorum</w:t>
      </w:r>
      <w:r w:rsidRPr="00EE4EE5">
        <w:rPr>
          <w:rFonts w:ascii="Arial" w:hAnsi="Arial" w:cs="Arial"/>
          <w:sz w:val="20"/>
          <w:szCs w:val="20"/>
        </w:rPr>
        <w:t xml:space="preserve"> exhibits an Importance Value Index (IVI) of 303.165, </w:t>
      </w:r>
      <w:r w:rsidRPr="00EE4EE5">
        <w:rPr>
          <w:rFonts w:ascii="Arial" w:hAnsi="Arial" w:cs="Arial"/>
          <w:i/>
          <w:sz w:val="20"/>
          <w:szCs w:val="20"/>
        </w:rPr>
        <w:t>P. javanensis</w:t>
      </w:r>
      <w:r w:rsidRPr="00EE4EE5">
        <w:rPr>
          <w:rFonts w:ascii="Arial" w:hAnsi="Arial" w:cs="Arial"/>
          <w:sz w:val="20"/>
          <w:szCs w:val="20"/>
        </w:rPr>
        <w:t xml:space="preserve"> possesses an IVI of </w:t>
      </w:r>
      <w:r w:rsidRPr="00EE4EE5">
        <w:rPr>
          <w:rFonts w:ascii="Arial" w:hAnsi="Arial" w:cs="Arial"/>
          <w:sz w:val="20"/>
          <w:szCs w:val="20"/>
        </w:rPr>
        <w:lastRenderedPageBreak/>
        <w:t xml:space="preserve">296.866, and </w:t>
      </w:r>
      <w:r w:rsidRPr="00EE4EE5">
        <w:rPr>
          <w:rFonts w:ascii="Arial" w:hAnsi="Arial" w:cs="Arial"/>
          <w:i/>
          <w:sz w:val="20"/>
          <w:szCs w:val="20"/>
        </w:rPr>
        <w:t>P. scaber</w:t>
      </w:r>
      <w:r w:rsidRPr="00EE4EE5">
        <w:rPr>
          <w:rFonts w:ascii="Arial" w:hAnsi="Arial" w:cs="Arial"/>
          <w:sz w:val="20"/>
          <w:szCs w:val="20"/>
        </w:rPr>
        <w:t xml:space="preserve"> is recorded with an IVI of 299.969, thereby illustrating their dominance in the agricultural environment (Table 2.).</w:t>
      </w:r>
    </w:p>
    <w:p w14:paraId="1AC9F092" w14:textId="7ED5413C" w:rsidR="009A2723" w:rsidRPr="00EE4EE5" w:rsidRDefault="00575EE4" w:rsidP="00575EE4">
      <w:pPr>
        <w:spacing w:line="360" w:lineRule="auto"/>
        <w:rPr>
          <w:rFonts w:ascii="Arial" w:hAnsi="Arial" w:cs="Arial"/>
          <w:b/>
          <w:sz w:val="20"/>
          <w:szCs w:val="20"/>
          <w:lang w:val="en-US"/>
        </w:rPr>
      </w:pPr>
      <w:r w:rsidRPr="00EE4EE5">
        <w:rPr>
          <w:rFonts w:ascii="Arial" w:hAnsi="Arial" w:cs="Arial"/>
          <w:b/>
          <w:sz w:val="20"/>
          <w:szCs w:val="20"/>
          <w:lang w:val="en-US"/>
        </w:rPr>
        <w:t xml:space="preserve">Table 1. Important Value Index (IVI) of different isopods in different seasons </w:t>
      </w:r>
      <w:r w:rsidR="00845EE5" w:rsidRPr="00EE4EE5">
        <w:rPr>
          <w:rFonts w:ascii="Arial" w:hAnsi="Arial" w:cs="Arial"/>
          <w:b/>
          <w:sz w:val="20"/>
          <w:szCs w:val="20"/>
          <w:lang w:val="en-US"/>
        </w:rPr>
        <w:t>of Coastal</w:t>
      </w:r>
      <w:r w:rsidRPr="00EE4EE5">
        <w:rPr>
          <w:rFonts w:ascii="Arial" w:hAnsi="Arial" w:cs="Arial"/>
          <w:b/>
          <w:sz w:val="20"/>
          <w:szCs w:val="20"/>
          <w:lang w:val="en-US"/>
        </w:rPr>
        <w:t xml:space="preserve"> Area,</w:t>
      </w:r>
      <w:r w:rsidR="004D2B2A" w:rsidRPr="00EE4EE5">
        <w:rPr>
          <w:rFonts w:ascii="Arial" w:hAnsi="Arial" w:cs="Arial"/>
          <w:b/>
          <w:sz w:val="20"/>
          <w:szCs w:val="20"/>
          <w:lang w:val="en-US"/>
        </w:rPr>
        <w:t xml:space="preserve"> Kayamkulam,</w:t>
      </w:r>
      <w:r w:rsidRPr="00EE4EE5">
        <w:rPr>
          <w:rFonts w:ascii="Arial" w:hAnsi="Arial" w:cs="Arial"/>
          <w:b/>
          <w:sz w:val="20"/>
          <w:szCs w:val="20"/>
          <w:lang w:val="en-US"/>
        </w:rPr>
        <w:t xml:space="preserve"> Alappuzha District </w:t>
      </w:r>
    </w:p>
    <w:tbl>
      <w:tblPr>
        <w:tblStyle w:val="TableGrid"/>
        <w:tblW w:w="0" w:type="auto"/>
        <w:tblLook w:val="04A0" w:firstRow="1" w:lastRow="0" w:firstColumn="1" w:lastColumn="0" w:noHBand="0" w:noVBand="1"/>
      </w:tblPr>
      <w:tblGrid>
        <w:gridCol w:w="2425"/>
        <w:gridCol w:w="1890"/>
        <w:gridCol w:w="1080"/>
        <w:gridCol w:w="1260"/>
        <w:gridCol w:w="1080"/>
        <w:gridCol w:w="1260"/>
      </w:tblGrid>
      <w:tr w:rsidR="00AE3CC6" w:rsidRPr="00EE4EE5" w14:paraId="661DB434"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B9AA7C2"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47227958"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680" w:type="dxa"/>
            <w:gridSpan w:val="4"/>
            <w:tcBorders>
              <w:top w:val="single" w:sz="4" w:space="0" w:color="auto"/>
              <w:left w:val="single" w:sz="4" w:space="0" w:color="auto"/>
              <w:bottom w:val="single" w:sz="4" w:space="0" w:color="auto"/>
              <w:right w:val="single" w:sz="4" w:space="0" w:color="auto"/>
            </w:tcBorders>
            <w:hideMark/>
          </w:tcPr>
          <w:p w14:paraId="109603D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E3CC6" w:rsidRPr="00EE4EE5" w14:paraId="793E7177"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C972714" w14:textId="77777777" w:rsidR="00AE3CC6" w:rsidRPr="00EE4EE5" w:rsidRDefault="00AE3CC6" w:rsidP="0057380D">
            <w:pPr>
              <w:spacing w:line="360" w:lineRule="auto"/>
              <w:rPr>
                <w:rFonts w:ascii="Arial" w:hAnsi="Arial" w:cs="Arial"/>
                <w:sz w:val="20"/>
                <w:szCs w:val="20"/>
                <w:lang w:val="en-U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DC2EB3A" w14:textId="77777777" w:rsidR="00AE3CC6" w:rsidRPr="00EE4EE5" w:rsidRDefault="00AE3CC6" w:rsidP="0057380D">
            <w:pPr>
              <w:spacing w:line="360" w:lineRule="auto"/>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hideMark/>
          </w:tcPr>
          <w:p w14:paraId="69C6FC6A"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60" w:type="dxa"/>
            <w:tcBorders>
              <w:top w:val="single" w:sz="4" w:space="0" w:color="auto"/>
              <w:left w:val="single" w:sz="4" w:space="0" w:color="auto"/>
              <w:bottom w:val="single" w:sz="4" w:space="0" w:color="auto"/>
              <w:right w:val="single" w:sz="4" w:space="0" w:color="auto"/>
            </w:tcBorders>
            <w:hideMark/>
          </w:tcPr>
          <w:p w14:paraId="11CE6187"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080" w:type="dxa"/>
            <w:tcBorders>
              <w:top w:val="single" w:sz="4" w:space="0" w:color="auto"/>
              <w:left w:val="single" w:sz="4" w:space="0" w:color="auto"/>
              <w:bottom w:val="single" w:sz="4" w:space="0" w:color="auto"/>
              <w:right w:val="single" w:sz="4" w:space="0" w:color="auto"/>
            </w:tcBorders>
            <w:hideMark/>
          </w:tcPr>
          <w:p w14:paraId="3580248D"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60" w:type="dxa"/>
            <w:tcBorders>
              <w:top w:val="single" w:sz="4" w:space="0" w:color="auto"/>
              <w:left w:val="single" w:sz="4" w:space="0" w:color="auto"/>
              <w:bottom w:val="single" w:sz="4" w:space="0" w:color="auto"/>
              <w:right w:val="single" w:sz="4" w:space="0" w:color="auto"/>
            </w:tcBorders>
            <w:hideMark/>
          </w:tcPr>
          <w:p w14:paraId="10070B0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AE3CC6" w:rsidRPr="00EE4EE5" w14:paraId="4F2F5EAE"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6B93DA57"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90" w:type="dxa"/>
            <w:tcBorders>
              <w:top w:val="single" w:sz="4" w:space="0" w:color="auto"/>
              <w:left w:val="single" w:sz="4" w:space="0" w:color="auto"/>
              <w:bottom w:val="single" w:sz="4" w:space="0" w:color="auto"/>
              <w:right w:val="single" w:sz="4" w:space="0" w:color="auto"/>
            </w:tcBorders>
            <w:hideMark/>
          </w:tcPr>
          <w:p w14:paraId="222C1C0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113C7CC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39.34192</w:t>
            </w:r>
          </w:p>
        </w:tc>
        <w:tc>
          <w:tcPr>
            <w:tcW w:w="1260" w:type="dxa"/>
            <w:tcBorders>
              <w:top w:val="single" w:sz="4" w:space="0" w:color="auto"/>
              <w:left w:val="single" w:sz="4" w:space="0" w:color="auto"/>
              <w:bottom w:val="single" w:sz="4" w:space="0" w:color="auto"/>
              <w:right w:val="single" w:sz="4" w:space="0" w:color="auto"/>
            </w:tcBorders>
            <w:vAlign w:val="bottom"/>
          </w:tcPr>
          <w:p w14:paraId="588BD3A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080" w:type="dxa"/>
            <w:tcBorders>
              <w:top w:val="single" w:sz="4" w:space="0" w:color="auto"/>
              <w:left w:val="single" w:sz="4" w:space="0" w:color="auto"/>
              <w:bottom w:val="single" w:sz="4" w:space="0" w:color="auto"/>
              <w:right w:val="single" w:sz="4" w:space="0" w:color="auto"/>
            </w:tcBorders>
            <w:vAlign w:val="bottom"/>
          </w:tcPr>
          <w:p w14:paraId="0742B29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260" w:type="dxa"/>
            <w:tcBorders>
              <w:top w:val="single" w:sz="4" w:space="0" w:color="auto"/>
              <w:left w:val="single" w:sz="4" w:space="0" w:color="auto"/>
              <w:bottom w:val="single" w:sz="4" w:space="0" w:color="auto"/>
              <w:right w:val="single" w:sz="4" w:space="0" w:color="auto"/>
            </w:tcBorders>
            <w:vAlign w:val="bottom"/>
          </w:tcPr>
          <w:p w14:paraId="24C9077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99.94798</w:t>
            </w:r>
          </w:p>
        </w:tc>
      </w:tr>
      <w:tr w:rsidR="00AE3CC6" w:rsidRPr="00EE4EE5" w14:paraId="2286B00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675010E0"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05A44F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0B7D1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37.58389</w:t>
            </w:r>
          </w:p>
        </w:tc>
        <w:tc>
          <w:tcPr>
            <w:tcW w:w="1260" w:type="dxa"/>
            <w:tcBorders>
              <w:top w:val="single" w:sz="4" w:space="0" w:color="auto"/>
              <w:left w:val="single" w:sz="4" w:space="0" w:color="auto"/>
              <w:bottom w:val="single" w:sz="4" w:space="0" w:color="auto"/>
              <w:right w:val="single" w:sz="4" w:space="0" w:color="auto"/>
            </w:tcBorders>
            <w:vAlign w:val="bottom"/>
          </w:tcPr>
          <w:p w14:paraId="59B1AC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1045B19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CBB8FC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104.2506</w:t>
            </w:r>
          </w:p>
        </w:tc>
      </w:tr>
      <w:tr w:rsidR="00AE3CC6" w:rsidRPr="00EE4EE5" w14:paraId="6BC74392"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41C29B4"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6778AF7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1BF030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39.32814</w:t>
            </w:r>
          </w:p>
        </w:tc>
        <w:tc>
          <w:tcPr>
            <w:tcW w:w="1260" w:type="dxa"/>
            <w:tcBorders>
              <w:top w:val="single" w:sz="4" w:space="0" w:color="auto"/>
              <w:left w:val="single" w:sz="4" w:space="0" w:color="auto"/>
              <w:bottom w:val="single" w:sz="4" w:space="0" w:color="auto"/>
              <w:right w:val="single" w:sz="4" w:space="0" w:color="auto"/>
            </w:tcBorders>
            <w:vAlign w:val="bottom"/>
          </w:tcPr>
          <w:p w14:paraId="68775CF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46374507"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16005B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105.9948</w:t>
            </w:r>
          </w:p>
        </w:tc>
      </w:tr>
      <w:tr w:rsidR="00AE3CC6" w:rsidRPr="00EE4EE5" w14:paraId="37C7DDDD"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567823EF"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5A07773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6B76632E"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310.1934</w:t>
            </w:r>
          </w:p>
        </w:tc>
      </w:tr>
      <w:tr w:rsidR="00AE3CC6" w:rsidRPr="00EE4EE5" w14:paraId="23DEBDC2"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9972E65"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90" w:type="dxa"/>
            <w:tcBorders>
              <w:top w:val="single" w:sz="4" w:space="0" w:color="auto"/>
              <w:left w:val="single" w:sz="4" w:space="0" w:color="auto"/>
              <w:bottom w:val="single" w:sz="4" w:space="0" w:color="auto"/>
              <w:right w:val="single" w:sz="4" w:space="0" w:color="auto"/>
            </w:tcBorders>
            <w:hideMark/>
          </w:tcPr>
          <w:p w14:paraId="07DB9AA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0EC7E656"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0.37196</w:t>
            </w:r>
          </w:p>
        </w:tc>
        <w:tc>
          <w:tcPr>
            <w:tcW w:w="1260" w:type="dxa"/>
            <w:tcBorders>
              <w:top w:val="single" w:sz="4" w:space="0" w:color="auto"/>
              <w:left w:val="single" w:sz="4" w:space="0" w:color="auto"/>
              <w:bottom w:val="single" w:sz="4" w:space="0" w:color="auto"/>
              <w:right w:val="single" w:sz="4" w:space="0" w:color="auto"/>
            </w:tcBorders>
            <w:vAlign w:val="bottom"/>
          </w:tcPr>
          <w:p w14:paraId="25DC2E8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0AF20794"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219690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67.03863</w:t>
            </w:r>
          </w:p>
        </w:tc>
      </w:tr>
      <w:tr w:rsidR="00AE3CC6" w:rsidRPr="00EE4EE5" w14:paraId="6E7E9E51"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33228642"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E85671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6ED0EAB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33.8255</w:t>
            </w:r>
          </w:p>
        </w:tc>
        <w:tc>
          <w:tcPr>
            <w:tcW w:w="1260" w:type="dxa"/>
            <w:tcBorders>
              <w:top w:val="single" w:sz="4" w:space="0" w:color="auto"/>
              <w:left w:val="single" w:sz="4" w:space="0" w:color="auto"/>
              <w:bottom w:val="single" w:sz="4" w:space="0" w:color="auto"/>
              <w:right w:val="single" w:sz="4" w:space="0" w:color="auto"/>
            </w:tcBorders>
            <w:vAlign w:val="bottom"/>
          </w:tcPr>
          <w:p w14:paraId="5FCA71D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747EE20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42B32AD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100.4922</w:t>
            </w:r>
          </w:p>
        </w:tc>
      </w:tr>
      <w:tr w:rsidR="00AE3CC6" w:rsidRPr="00EE4EE5" w14:paraId="44A8E678"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0A8C7613"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99A791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4623439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37.11594</w:t>
            </w:r>
          </w:p>
        </w:tc>
        <w:tc>
          <w:tcPr>
            <w:tcW w:w="1260" w:type="dxa"/>
            <w:tcBorders>
              <w:top w:val="single" w:sz="4" w:space="0" w:color="auto"/>
              <w:left w:val="single" w:sz="4" w:space="0" w:color="auto"/>
              <w:bottom w:val="single" w:sz="4" w:space="0" w:color="auto"/>
              <w:right w:val="single" w:sz="4" w:space="0" w:color="auto"/>
            </w:tcBorders>
            <w:vAlign w:val="bottom"/>
          </w:tcPr>
          <w:p w14:paraId="51E3C29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9AD7F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7FF7133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103.7826</w:t>
            </w:r>
          </w:p>
        </w:tc>
      </w:tr>
      <w:tr w:rsidR="00AE3CC6" w:rsidRPr="00EE4EE5" w14:paraId="3C7A0BA0"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E9E5A25"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3BF4FB0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404F4796"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271.3134</w:t>
            </w:r>
          </w:p>
        </w:tc>
      </w:tr>
      <w:tr w:rsidR="00AE3CC6" w:rsidRPr="00EE4EE5" w14:paraId="2A05539B"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311CD391"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90" w:type="dxa"/>
            <w:tcBorders>
              <w:top w:val="single" w:sz="4" w:space="0" w:color="auto"/>
              <w:left w:val="single" w:sz="4" w:space="0" w:color="auto"/>
              <w:bottom w:val="single" w:sz="4" w:space="0" w:color="auto"/>
              <w:right w:val="single" w:sz="4" w:space="0" w:color="auto"/>
            </w:tcBorders>
            <w:hideMark/>
          </w:tcPr>
          <w:p w14:paraId="39ED1E5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58B2DAE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0.234621</w:t>
            </w:r>
          </w:p>
        </w:tc>
        <w:tc>
          <w:tcPr>
            <w:tcW w:w="1260" w:type="dxa"/>
            <w:tcBorders>
              <w:top w:val="single" w:sz="4" w:space="0" w:color="auto"/>
              <w:left w:val="single" w:sz="4" w:space="0" w:color="auto"/>
              <w:bottom w:val="single" w:sz="4" w:space="0" w:color="auto"/>
              <w:right w:val="single" w:sz="4" w:space="0" w:color="auto"/>
            </w:tcBorders>
            <w:vAlign w:val="bottom"/>
          </w:tcPr>
          <w:p w14:paraId="6085D40B"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080" w:type="dxa"/>
            <w:tcBorders>
              <w:top w:val="single" w:sz="4" w:space="0" w:color="auto"/>
              <w:left w:val="single" w:sz="4" w:space="0" w:color="auto"/>
              <w:bottom w:val="single" w:sz="4" w:space="0" w:color="auto"/>
              <w:right w:val="single" w:sz="4" w:space="0" w:color="auto"/>
            </w:tcBorders>
            <w:vAlign w:val="bottom"/>
          </w:tcPr>
          <w:p w14:paraId="0924A64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260" w:type="dxa"/>
            <w:tcBorders>
              <w:top w:val="single" w:sz="4" w:space="0" w:color="auto"/>
              <w:left w:val="single" w:sz="4" w:space="0" w:color="auto"/>
              <w:bottom w:val="single" w:sz="4" w:space="0" w:color="auto"/>
              <w:right w:val="single" w:sz="4" w:space="0" w:color="auto"/>
            </w:tcBorders>
            <w:vAlign w:val="bottom"/>
          </w:tcPr>
          <w:p w14:paraId="5E0CBEE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72.96189</w:t>
            </w:r>
          </w:p>
        </w:tc>
      </w:tr>
      <w:tr w:rsidR="00AE3CC6" w:rsidRPr="00EE4EE5" w14:paraId="72DF2EEE"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9651C0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26F208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2E2F631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28.5906</w:t>
            </w:r>
          </w:p>
        </w:tc>
        <w:tc>
          <w:tcPr>
            <w:tcW w:w="1260" w:type="dxa"/>
            <w:tcBorders>
              <w:top w:val="single" w:sz="4" w:space="0" w:color="auto"/>
              <w:left w:val="single" w:sz="4" w:space="0" w:color="auto"/>
              <w:bottom w:val="single" w:sz="4" w:space="0" w:color="auto"/>
              <w:right w:val="single" w:sz="4" w:space="0" w:color="auto"/>
            </w:tcBorders>
            <w:vAlign w:val="bottom"/>
          </w:tcPr>
          <w:p w14:paraId="6AF90F3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6FC8C09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391290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95.25726</w:t>
            </w:r>
          </w:p>
        </w:tc>
      </w:tr>
      <w:tr w:rsidR="00AE3CC6" w:rsidRPr="00EE4EE5" w14:paraId="1BEE6064" w14:textId="77777777" w:rsidTr="0057380D">
        <w:trPr>
          <w:trHeight w:val="215"/>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77184E4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7A80EB43"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3ECE5CF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23.55592</w:t>
            </w:r>
          </w:p>
        </w:tc>
        <w:tc>
          <w:tcPr>
            <w:tcW w:w="1260" w:type="dxa"/>
            <w:tcBorders>
              <w:top w:val="single" w:sz="4" w:space="0" w:color="auto"/>
              <w:left w:val="single" w:sz="4" w:space="0" w:color="auto"/>
              <w:bottom w:val="single" w:sz="4" w:space="0" w:color="auto"/>
              <w:right w:val="single" w:sz="4" w:space="0" w:color="auto"/>
            </w:tcBorders>
            <w:vAlign w:val="bottom"/>
          </w:tcPr>
          <w:p w14:paraId="0DD0E0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1536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186CAB2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90.22258</w:t>
            </w:r>
          </w:p>
        </w:tc>
      </w:tr>
      <w:tr w:rsidR="00AE3CC6" w:rsidRPr="00EE4EE5" w14:paraId="6B544BB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2F4ADC7"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1FBB6FC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BBFFE1"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258.4417</w:t>
            </w:r>
          </w:p>
        </w:tc>
      </w:tr>
    </w:tbl>
    <w:p w14:paraId="2535D825" w14:textId="77777777" w:rsidR="00A53652" w:rsidRPr="00EE4EE5" w:rsidRDefault="00A53652" w:rsidP="00A53652">
      <w:pPr>
        <w:spacing w:line="360" w:lineRule="auto"/>
        <w:rPr>
          <w:rFonts w:ascii="Arial" w:hAnsi="Arial" w:cs="Arial"/>
          <w:sz w:val="20"/>
          <w:szCs w:val="20"/>
          <w:lang w:val="en-US"/>
        </w:rPr>
      </w:pPr>
    </w:p>
    <w:p w14:paraId="247E19BF" w14:textId="7033DE46" w:rsidR="007740EE" w:rsidRPr="00EE4EE5" w:rsidRDefault="00A53652" w:rsidP="00A53652">
      <w:pPr>
        <w:spacing w:line="360" w:lineRule="auto"/>
        <w:rPr>
          <w:rFonts w:ascii="Arial" w:hAnsi="Arial" w:cs="Arial"/>
          <w:b/>
          <w:sz w:val="20"/>
          <w:szCs w:val="20"/>
          <w:lang w:val="en-US"/>
        </w:rPr>
      </w:pPr>
      <w:r w:rsidRPr="00EE4EE5">
        <w:rPr>
          <w:rFonts w:ascii="Arial" w:hAnsi="Arial" w:cs="Arial"/>
          <w:b/>
          <w:sz w:val="20"/>
          <w:szCs w:val="20"/>
          <w:lang w:val="en-US"/>
        </w:rPr>
        <w:t xml:space="preserve">Table 2. Important Value Index (IVI) of different isopods in different seasons of </w:t>
      </w:r>
      <w:r w:rsidR="00845EE5" w:rsidRPr="00EE4EE5">
        <w:rPr>
          <w:rFonts w:ascii="Arial" w:hAnsi="Arial" w:cs="Arial"/>
          <w:b/>
          <w:sz w:val="20"/>
          <w:szCs w:val="20"/>
          <w:lang w:val="en-US"/>
        </w:rPr>
        <w:t>Agricultur</w:t>
      </w:r>
      <w:r w:rsidRPr="00EE4EE5">
        <w:rPr>
          <w:rFonts w:ascii="Arial" w:hAnsi="Arial" w:cs="Arial"/>
          <w:b/>
          <w:sz w:val="20"/>
          <w:szCs w:val="20"/>
          <w:lang w:val="en-US"/>
        </w:rPr>
        <w:t xml:space="preserve">al Area, </w:t>
      </w:r>
      <w:r w:rsidR="00845EE5" w:rsidRPr="00EE4EE5">
        <w:rPr>
          <w:rFonts w:ascii="Arial" w:hAnsi="Arial" w:cs="Arial"/>
          <w:b/>
          <w:sz w:val="20"/>
          <w:szCs w:val="20"/>
          <w:lang w:val="en-US"/>
        </w:rPr>
        <w:t>Chengannur</w:t>
      </w:r>
      <w:r w:rsidRPr="00EE4EE5">
        <w:rPr>
          <w:rFonts w:ascii="Arial" w:hAnsi="Arial" w:cs="Arial"/>
          <w:b/>
          <w:sz w:val="20"/>
          <w:szCs w:val="20"/>
          <w:lang w:val="en-US"/>
        </w:rPr>
        <w:t xml:space="preserve">, Alappuzha District </w:t>
      </w:r>
    </w:p>
    <w:tbl>
      <w:tblPr>
        <w:tblStyle w:val="TableGrid"/>
        <w:tblW w:w="0" w:type="auto"/>
        <w:tblLook w:val="04A0" w:firstRow="1" w:lastRow="0" w:firstColumn="1" w:lastColumn="0" w:noHBand="0" w:noVBand="1"/>
      </w:tblPr>
      <w:tblGrid>
        <w:gridCol w:w="2397"/>
        <w:gridCol w:w="1873"/>
        <w:gridCol w:w="1116"/>
        <w:gridCol w:w="1257"/>
        <w:gridCol w:w="1116"/>
        <w:gridCol w:w="1257"/>
      </w:tblGrid>
      <w:tr w:rsidR="00AB0A16" w:rsidRPr="00EE4EE5" w14:paraId="6384888A"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4E92EE0"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73" w:type="dxa"/>
            <w:vMerge w:val="restart"/>
            <w:tcBorders>
              <w:top w:val="single" w:sz="4" w:space="0" w:color="auto"/>
              <w:left w:val="single" w:sz="4" w:space="0" w:color="auto"/>
              <w:bottom w:val="single" w:sz="4" w:space="0" w:color="auto"/>
              <w:right w:val="single" w:sz="4" w:space="0" w:color="auto"/>
            </w:tcBorders>
            <w:hideMark/>
          </w:tcPr>
          <w:p w14:paraId="30B83286"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746" w:type="dxa"/>
            <w:gridSpan w:val="4"/>
            <w:tcBorders>
              <w:top w:val="single" w:sz="4" w:space="0" w:color="auto"/>
              <w:left w:val="single" w:sz="4" w:space="0" w:color="auto"/>
              <w:bottom w:val="single" w:sz="4" w:space="0" w:color="auto"/>
              <w:right w:val="single" w:sz="4" w:space="0" w:color="auto"/>
            </w:tcBorders>
            <w:hideMark/>
          </w:tcPr>
          <w:p w14:paraId="25770EEE"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B0A16" w:rsidRPr="00EE4EE5" w14:paraId="6D6B81F2"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E770C4B" w14:textId="77777777" w:rsidR="00AB0A16" w:rsidRPr="00EE4EE5" w:rsidRDefault="00AB0A16" w:rsidP="0057380D">
            <w:pPr>
              <w:spacing w:line="360" w:lineRule="auto"/>
              <w:rPr>
                <w:rFonts w:ascii="Arial" w:hAnsi="Arial" w:cs="Arial"/>
                <w:sz w:val="20"/>
                <w:szCs w:val="20"/>
                <w:lang w:val="en-US"/>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681F843E" w14:textId="77777777" w:rsidR="00AB0A16" w:rsidRPr="00EE4EE5" w:rsidRDefault="00AB0A16" w:rsidP="0057380D">
            <w:pPr>
              <w:spacing w:line="360" w:lineRule="auto"/>
              <w:rPr>
                <w:rFonts w:ascii="Arial" w:hAnsi="Arial" w:cs="Arial"/>
                <w:sz w:val="20"/>
                <w:szCs w:val="20"/>
                <w:lang w:val="en-US"/>
              </w:rPr>
            </w:pPr>
          </w:p>
        </w:tc>
        <w:tc>
          <w:tcPr>
            <w:tcW w:w="1116" w:type="dxa"/>
            <w:tcBorders>
              <w:top w:val="single" w:sz="4" w:space="0" w:color="auto"/>
              <w:left w:val="single" w:sz="4" w:space="0" w:color="auto"/>
              <w:bottom w:val="single" w:sz="4" w:space="0" w:color="auto"/>
              <w:right w:val="single" w:sz="4" w:space="0" w:color="auto"/>
            </w:tcBorders>
            <w:hideMark/>
          </w:tcPr>
          <w:p w14:paraId="1C21270D"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57" w:type="dxa"/>
            <w:tcBorders>
              <w:top w:val="single" w:sz="4" w:space="0" w:color="auto"/>
              <w:left w:val="single" w:sz="4" w:space="0" w:color="auto"/>
              <w:bottom w:val="single" w:sz="4" w:space="0" w:color="auto"/>
              <w:right w:val="single" w:sz="4" w:space="0" w:color="auto"/>
            </w:tcBorders>
            <w:hideMark/>
          </w:tcPr>
          <w:p w14:paraId="3EE3E01C"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116" w:type="dxa"/>
            <w:tcBorders>
              <w:top w:val="single" w:sz="4" w:space="0" w:color="auto"/>
              <w:left w:val="single" w:sz="4" w:space="0" w:color="auto"/>
              <w:bottom w:val="single" w:sz="4" w:space="0" w:color="auto"/>
              <w:right w:val="single" w:sz="4" w:space="0" w:color="auto"/>
            </w:tcBorders>
            <w:hideMark/>
          </w:tcPr>
          <w:p w14:paraId="47196977"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57" w:type="dxa"/>
            <w:tcBorders>
              <w:top w:val="single" w:sz="4" w:space="0" w:color="auto"/>
              <w:left w:val="single" w:sz="4" w:space="0" w:color="auto"/>
              <w:bottom w:val="single" w:sz="4" w:space="0" w:color="auto"/>
              <w:right w:val="single" w:sz="4" w:space="0" w:color="auto"/>
            </w:tcBorders>
            <w:hideMark/>
          </w:tcPr>
          <w:p w14:paraId="34EFC529"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656337" w:rsidRPr="00EE4EE5" w14:paraId="1CA637CB"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506508C4"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73" w:type="dxa"/>
            <w:tcBorders>
              <w:top w:val="single" w:sz="4" w:space="0" w:color="auto"/>
              <w:left w:val="single" w:sz="4" w:space="0" w:color="auto"/>
              <w:bottom w:val="single" w:sz="4" w:space="0" w:color="auto"/>
              <w:right w:val="single" w:sz="4" w:space="0" w:color="auto"/>
            </w:tcBorders>
            <w:hideMark/>
          </w:tcPr>
          <w:p w14:paraId="4F0E17C0"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6AB204B4" w14:textId="42AA678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36.48184</w:t>
            </w:r>
          </w:p>
        </w:tc>
        <w:tc>
          <w:tcPr>
            <w:tcW w:w="1257" w:type="dxa"/>
            <w:tcBorders>
              <w:top w:val="single" w:sz="4" w:space="0" w:color="auto"/>
              <w:left w:val="single" w:sz="4" w:space="0" w:color="auto"/>
              <w:bottom w:val="single" w:sz="4" w:space="0" w:color="auto"/>
              <w:right w:val="single" w:sz="4" w:space="0" w:color="auto"/>
            </w:tcBorders>
            <w:vAlign w:val="bottom"/>
          </w:tcPr>
          <w:p w14:paraId="4A6B5311" w14:textId="1E52C50B"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25E9FAD" w14:textId="685DFB67"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532063EC" w14:textId="7882986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103.1485</w:t>
            </w:r>
          </w:p>
        </w:tc>
      </w:tr>
      <w:tr w:rsidR="00656337" w:rsidRPr="00EE4EE5" w14:paraId="60FC51E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FB71F2B"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1F3385D8"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6A2856A" w14:textId="48E5E1E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33.40611</w:t>
            </w:r>
          </w:p>
        </w:tc>
        <w:tc>
          <w:tcPr>
            <w:tcW w:w="1257" w:type="dxa"/>
            <w:tcBorders>
              <w:top w:val="single" w:sz="4" w:space="0" w:color="auto"/>
              <w:left w:val="single" w:sz="4" w:space="0" w:color="auto"/>
              <w:bottom w:val="single" w:sz="4" w:space="0" w:color="auto"/>
              <w:right w:val="single" w:sz="4" w:space="0" w:color="auto"/>
            </w:tcBorders>
            <w:vAlign w:val="bottom"/>
          </w:tcPr>
          <w:p w14:paraId="73E4F418" w14:textId="36181FEE"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1752C97" w14:textId="568DAC1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73C57AC" w14:textId="1410359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100.0728</w:t>
            </w:r>
          </w:p>
        </w:tc>
      </w:tr>
      <w:tr w:rsidR="00656337" w:rsidRPr="00EE4EE5" w14:paraId="5AE0D9F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4ADDE9E6"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3E62E922"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3968940" w14:textId="2B4AF3D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33.27703</w:t>
            </w:r>
          </w:p>
        </w:tc>
        <w:tc>
          <w:tcPr>
            <w:tcW w:w="1257" w:type="dxa"/>
            <w:tcBorders>
              <w:top w:val="single" w:sz="4" w:space="0" w:color="auto"/>
              <w:left w:val="single" w:sz="4" w:space="0" w:color="auto"/>
              <w:bottom w:val="single" w:sz="4" w:space="0" w:color="auto"/>
              <w:right w:val="single" w:sz="4" w:space="0" w:color="auto"/>
            </w:tcBorders>
            <w:vAlign w:val="bottom"/>
          </w:tcPr>
          <w:p w14:paraId="711C5C86" w14:textId="7579E5CF"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68167FAE" w14:textId="60721A74"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22D31EB" w14:textId="146DAF7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99.94369</w:t>
            </w:r>
          </w:p>
        </w:tc>
      </w:tr>
      <w:tr w:rsidR="00AB0A16" w:rsidRPr="00EE4EE5" w14:paraId="43417ED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F15B6A8"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7F0D4F80"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CAFE719" w14:textId="5ADF309A"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303.165</w:t>
            </w:r>
          </w:p>
        </w:tc>
      </w:tr>
      <w:tr w:rsidR="00656337" w:rsidRPr="00EE4EE5" w14:paraId="67DBE4FE"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42AB4F33"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73" w:type="dxa"/>
            <w:tcBorders>
              <w:top w:val="single" w:sz="4" w:space="0" w:color="auto"/>
              <w:left w:val="single" w:sz="4" w:space="0" w:color="auto"/>
              <w:bottom w:val="single" w:sz="4" w:space="0" w:color="auto"/>
              <w:right w:val="single" w:sz="4" w:space="0" w:color="auto"/>
            </w:tcBorders>
            <w:hideMark/>
          </w:tcPr>
          <w:p w14:paraId="410A3C9B"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40C3E16C" w14:textId="21BFAF2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31.12811</w:t>
            </w:r>
          </w:p>
        </w:tc>
        <w:tc>
          <w:tcPr>
            <w:tcW w:w="1257" w:type="dxa"/>
            <w:tcBorders>
              <w:top w:val="single" w:sz="4" w:space="0" w:color="auto"/>
              <w:left w:val="single" w:sz="4" w:space="0" w:color="auto"/>
              <w:bottom w:val="single" w:sz="4" w:space="0" w:color="auto"/>
              <w:right w:val="single" w:sz="4" w:space="0" w:color="auto"/>
            </w:tcBorders>
            <w:vAlign w:val="bottom"/>
          </w:tcPr>
          <w:p w14:paraId="35ABC147" w14:textId="51AF60A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922A0DB" w14:textId="501BDFAD"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60819FCA" w14:textId="5860D71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97.79477</w:t>
            </w:r>
          </w:p>
        </w:tc>
      </w:tr>
      <w:tr w:rsidR="00656337" w:rsidRPr="00EE4EE5" w14:paraId="5DCEFFF9"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9ECD197"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0D318E96"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4137C65E" w14:textId="548F03A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34.82533</w:t>
            </w:r>
          </w:p>
        </w:tc>
        <w:tc>
          <w:tcPr>
            <w:tcW w:w="1257" w:type="dxa"/>
            <w:tcBorders>
              <w:top w:val="single" w:sz="4" w:space="0" w:color="auto"/>
              <w:left w:val="single" w:sz="4" w:space="0" w:color="auto"/>
              <w:bottom w:val="single" w:sz="4" w:space="0" w:color="auto"/>
              <w:right w:val="single" w:sz="4" w:space="0" w:color="auto"/>
            </w:tcBorders>
            <w:vAlign w:val="bottom"/>
          </w:tcPr>
          <w:p w14:paraId="13C1CEA1" w14:textId="0D8C6C4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0D20BF19" w14:textId="5F217E6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3C4FD5EF" w14:textId="22FB4D9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101.492</w:t>
            </w:r>
          </w:p>
        </w:tc>
      </w:tr>
      <w:tr w:rsidR="00F95A71" w:rsidRPr="00EE4EE5" w14:paraId="303EA23D"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93EDE9A"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BEEB069"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EF26649" w14:textId="5EB04E87"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30.91216</w:t>
            </w:r>
          </w:p>
        </w:tc>
        <w:tc>
          <w:tcPr>
            <w:tcW w:w="1257" w:type="dxa"/>
            <w:tcBorders>
              <w:top w:val="single" w:sz="4" w:space="0" w:color="auto"/>
              <w:left w:val="single" w:sz="4" w:space="0" w:color="auto"/>
              <w:bottom w:val="single" w:sz="4" w:space="0" w:color="auto"/>
              <w:right w:val="single" w:sz="4" w:space="0" w:color="auto"/>
            </w:tcBorders>
            <w:vAlign w:val="bottom"/>
          </w:tcPr>
          <w:p w14:paraId="344AFCED" w14:textId="2CC18A0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BD5D40F" w14:textId="17D9FBFA"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153513A0" w14:textId="20A464D6"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97.57882</w:t>
            </w:r>
          </w:p>
        </w:tc>
      </w:tr>
      <w:tr w:rsidR="00AB0A16" w:rsidRPr="00EE4EE5" w14:paraId="37D1937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DE2D214"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31A233E4"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6AD7796" w14:textId="6BC392C7"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296.866</w:t>
            </w:r>
          </w:p>
        </w:tc>
      </w:tr>
      <w:tr w:rsidR="00656337" w:rsidRPr="00EE4EE5" w14:paraId="5DCA04E0"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E129A6F"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73" w:type="dxa"/>
            <w:tcBorders>
              <w:top w:val="single" w:sz="4" w:space="0" w:color="auto"/>
              <w:left w:val="single" w:sz="4" w:space="0" w:color="auto"/>
              <w:bottom w:val="single" w:sz="4" w:space="0" w:color="auto"/>
              <w:right w:val="single" w:sz="4" w:space="0" w:color="auto"/>
            </w:tcBorders>
            <w:hideMark/>
          </w:tcPr>
          <w:p w14:paraId="2ABB979A"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79B3AB69" w14:textId="5270ADC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32.39006</w:t>
            </w:r>
          </w:p>
        </w:tc>
        <w:tc>
          <w:tcPr>
            <w:tcW w:w="1257" w:type="dxa"/>
            <w:tcBorders>
              <w:top w:val="single" w:sz="4" w:space="0" w:color="auto"/>
              <w:left w:val="single" w:sz="4" w:space="0" w:color="auto"/>
              <w:bottom w:val="single" w:sz="4" w:space="0" w:color="auto"/>
              <w:right w:val="single" w:sz="4" w:space="0" w:color="auto"/>
            </w:tcBorders>
            <w:vAlign w:val="bottom"/>
          </w:tcPr>
          <w:p w14:paraId="7CC3CB62" w14:textId="47C7D262"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7E5E72B2" w14:textId="57DED5B0"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08631FDD" w14:textId="1AB8A3D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99.05672</w:t>
            </w:r>
          </w:p>
        </w:tc>
      </w:tr>
      <w:tr w:rsidR="00656337" w:rsidRPr="00EE4EE5" w14:paraId="5B70DAB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A29E9EE"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002029"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0DE906D" w14:textId="4464EBFC"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31.76856</w:t>
            </w:r>
          </w:p>
        </w:tc>
        <w:tc>
          <w:tcPr>
            <w:tcW w:w="1257" w:type="dxa"/>
            <w:tcBorders>
              <w:top w:val="single" w:sz="4" w:space="0" w:color="auto"/>
              <w:left w:val="single" w:sz="4" w:space="0" w:color="auto"/>
              <w:bottom w:val="single" w:sz="4" w:space="0" w:color="auto"/>
              <w:right w:val="single" w:sz="4" w:space="0" w:color="auto"/>
            </w:tcBorders>
            <w:vAlign w:val="bottom"/>
          </w:tcPr>
          <w:p w14:paraId="45575CAC" w14:textId="6EBDE92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438AF95E" w14:textId="06A574E1"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58D5E8B" w14:textId="14817FC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98.43522</w:t>
            </w:r>
          </w:p>
        </w:tc>
      </w:tr>
      <w:tr w:rsidR="00F95A71" w:rsidRPr="00EE4EE5" w14:paraId="08EC8CEE" w14:textId="77777777" w:rsidTr="0057380D">
        <w:trPr>
          <w:trHeight w:val="215"/>
        </w:trPr>
        <w:tc>
          <w:tcPr>
            <w:tcW w:w="2397" w:type="dxa"/>
            <w:vMerge/>
            <w:tcBorders>
              <w:top w:val="single" w:sz="4" w:space="0" w:color="auto"/>
              <w:left w:val="single" w:sz="4" w:space="0" w:color="auto"/>
              <w:bottom w:val="single" w:sz="4" w:space="0" w:color="auto"/>
              <w:right w:val="single" w:sz="4" w:space="0" w:color="auto"/>
            </w:tcBorders>
            <w:vAlign w:val="center"/>
            <w:hideMark/>
          </w:tcPr>
          <w:p w14:paraId="13830DED"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B9EB1B"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687D3283" w14:textId="6EF4F8F3"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35.81081</w:t>
            </w:r>
          </w:p>
        </w:tc>
        <w:tc>
          <w:tcPr>
            <w:tcW w:w="1257" w:type="dxa"/>
            <w:tcBorders>
              <w:top w:val="single" w:sz="4" w:space="0" w:color="auto"/>
              <w:left w:val="single" w:sz="4" w:space="0" w:color="auto"/>
              <w:bottom w:val="single" w:sz="4" w:space="0" w:color="auto"/>
              <w:right w:val="single" w:sz="4" w:space="0" w:color="auto"/>
            </w:tcBorders>
            <w:vAlign w:val="bottom"/>
          </w:tcPr>
          <w:p w14:paraId="2607C546" w14:textId="46FF78BD"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327E7AC" w14:textId="51C7CB3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CEF71C5" w14:textId="78CCE888"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102.4775</w:t>
            </w:r>
          </w:p>
        </w:tc>
      </w:tr>
      <w:tr w:rsidR="00AB0A16" w:rsidRPr="00EE4EE5" w14:paraId="49F015F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5E72B66"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4078D6F3"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76DAFB85" w14:textId="2616D1D0"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299.969</w:t>
            </w:r>
          </w:p>
        </w:tc>
      </w:tr>
    </w:tbl>
    <w:p w14:paraId="6236B664" w14:textId="0AF375C3" w:rsidR="00A53868" w:rsidRPr="00EE4EE5" w:rsidRDefault="00A53868" w:rsidP="00A53652">
      <w:pPr>
        <w:spacing w:line="360" w:lineRule="auto"/>
        <w:rPr>
          <w:rFonts w:ascii="Arial" w:hAnsi="Arial" w:cs="Arial"/>
          <w:sz w:val="20"/>
          <w:szCs w:val="20"/>
          <w:lang w:val="en-US"/>
        </w:rPr>
      </w:pPr>
    </w:p>
    <w:p w14:paraId="22F3BEB5" w14:textId="77777777" w:rsidR="00A53320" w:rsidRPr="00EE4EE5" w:rsidRDefault="00A53320" w:rsidP="0094640D">
      <w:pPr>
        <w:spacing w:line="360" w:lineRule="auto"/>
        <w:jc w:val="both"/>
        <w:rPr>
          <w:rFonts w:ascii="Arial" w:hAnsi="Arial" w:cs="Arial"/>
          <w:b/>
          <w:sz w:val="20"/>
          <w:szCs w:val="20"/>
          <w:lang w:val="en-US"/>
        </w:rPr>
      </w:pPr>
    </w:p>
    <w:p w14:paraId="26A10807" w14:textId="3BB8286D" w:rsidR="005E1068" w:rsidRPr="00EE4EE5" w:rsidRDefault="00840CA2" w:rsidP="0094640D">
      <w:pPr>
        <w:spacing w:line="360" w:lineRule="auto"/>
        <w:jc w:val="both"/>
        <w:rPr>
          <w:rFonts w:ascii="Arial" w:hAnsi="Arial" w:cs="Arial"/>
          <w:b/>
          <w:sz w:val="20"/>
          <w:szCs w:val="20"/>
          <w:lang w:val="en-US"/>
        </w:rPr>
      </w:pPr>
      <w:r w:rsidRPr="00EE4EE5">
        <w:rPr>
          <w:rFonts w:ascii="Arial" w:hAnsi="Arial" w:cs="Arial"/>
          <w:b/>
          <w:sz w:val="20"/>
          <w:szCs w:val="20"/>
          <w:lang w:val="en-US"/>
        </w:rPr>
        <w:lastRenderedPageBreak/>
        <w:t xml:space="preserve">4.2 </w:t>
      </w:r>
      <w:r w:rsidR="00C504C5" w:rsidRPr="00EE4EE5">
        <w:rPr>
          <w:rFonts w:ascii="Arial" w:hAnsi="Arial" w:cs="Arial"/>
          <w:b/>
          <w:sz w:val="20"/>
          <w:szCs w:val="20"/>
          <w:lang w:val="en-US"/>
        </w:rPr>
        <w:t>S</w:t>
      </w:r>
      <w:r w:rsidR="00DB3E61" w:rsidRPr="00EE4EE5">
        <w:rPr>
          <w:rFonts w:ascii="Arial" w:hAnsi="Arial" w:cs="Arial"/>
          <w:b/>
          <w:sz w:val="20"/>
          <w:szCs w:val="20"/>
          <w:lang w:val="en-US"/>
        </w:rPr>
        <w:t>oil Analysis</w:t>
      </w:r>
    </w:p>
    <w:p w14:paraId="76A40131" w14:textId="2223BBF7" w:rsidR="00A53868" w:rsidRPr="00EE4EE5" w:rsidRDefault="00AC5A36" w:rsidP="00521BC0">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hAnsi="Arial" w:cs="Arial"/>
          <w:b/>
          <w:sz w:val="20"/>
          <w:szCs w:val="20"/>
          <w:lang w:val="en-US"/>
        </w:rPr>
        <w:t xml:space="preserve">Table </w:t>
      </w:r>
      <w:r w:rsidR="00750CF4">
        <w:rPr>
          <w:rFonts w:ascii="Arial" w:hAnsi="Arial" w:cs="Arial"/>
          <w:b/>
          <w:sz w:val="20"/>
          <w:szCs w:val="20"/>
          <w:lang w:val="en-US"/>
        </w:rPr>
        <w:t>3</w:t>
      </w:r>
      <w:r w:rsidRPr="00EE4EE5">
        <w:rPr>
          <w:rFonts w:ascii="Arial" w:hAnsi="Arial" w:cs="Arial"/>
          <w:b/>
          <w:sz w:val="20"/>
          <w:szCs w:val="20"/>
          <w:lang w:val="en-US"/>
        </w:rPr>
        <w:t xml:space="preserve">. </w:t>
      </w:r>
      <w:r w:rsidR="00A53868" w:rsidRPr="00EE4EE5">
        <w:rPr>
          <w:rFonts w:ascii="Arial" w:hAnsi="Arial" w:cs="Arial"/>
          <w:b/>
          <w:sz w:val="20"/>
          <w:szCs w:val="20"/>
          <w:lang w:val="en-US"/>
        </w:rPr>
        <w:t xml:space="preserve">Mean </w:t>
      </w:r>
      <w:r w:rsidR="00A53868" w:rsidRPr="00EE4EE5">
        <w:rPr>
          <w:rFonts w:ascii="Arial" w:hAnsi="Arial" w:cs="Arial"/>
          <w:b/>
          <w:sz w:val="20"/>
          <w:szCs w:val="20"/>
        </w:rPr>
        <w:t xml:space="preserve">± </w:t>
      </w:r>
      <w:r w:rsidR="00A53868" w:rsidRPr="00EE4EE5">
        <w:rPr>
          <w:rFonts w:ascii="Arial" w:hAnsi="Arial" w:cs="Arial"/>
          <w:b/>
          <w:sz w:val="20"/>
          <w:szCs w:val="20"/>
          <w:lang w:val="en-US"/>
        </w:rPr>
        <w:t>SE of soil factors of Coastal Area- Kayamkulam, Alappuzha District</w:t>
      </w:r>
      <w:r w:rsidR="00FD5D49" w:rsidRPr="00EE4EE5">
        <w:rPr>
          <w:rFonts w:ascii="Arial" w:hAnsi="Arial" w:cs="Arial"/>
          <w:b/>
          <w:sz w:val="20"/>
          <w:szCs w:val="20"/>
          <w:lang w:val="en-US"/>
        </w:rPr>
        <w:t>.</w:t>
      </w:r>
    </w:p>
    <w:tbl>
      <w:tblPr>
        <w:tblStyle w:val="TableGrid"/>
        <w:tblW w:w="0" w:type="auto"/>
        <w:tblLook w:val="04A0" w:firstRow="1" w:lastRow="0" w:firstColumn="1" w:lastColumn="0" w:noHBand="0" w:noVBand="1"/>
      </w:tblPr>
      <w:tblGrid>
        <w:gridCol w:w="2254"/>
        <w:gridCol w:w="2254"/>
        <w:gridCol w:w="2417"/>
        <w:gridCol w:w="2091"/>
      </w:tblGrid>
      <w:tr w:rsidR="00233E25" w:rsidRPr="00EE4EE5" w14:paraId="3E8A490E" w14:textId="77777777" w:rsidTr="0057380D">
        <w:tc>
          <w:tcPr>
            <w:tcW w:w="9016" w:type="dxa"/>
            <w:gridSpan w:val="4"/>
            <w:vAlign w:val="center"/>
          </w:tcPr>
          <w:p w14:paraId="6678ACC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Coastal Area- Kayamkulam, Alappuzha District</w:t>
            </w:r>
          </w:p>
        </w:tc>
      </w:tr>
      <w:tr w:rsidR="00233E25" w:rsidRPr="00EE4EE5" w14:paraId="693ADBB7" w14:textId="77777777" w:rsidTr="0057380D">
        <w:tc>
          <w:tcPr>
            <w:tcW w:w="2254" w:type="dxa"/>
            <w:vAlign w:val="center"/>
          </w:tcPr>
          <w:p w14:paraId="5A217F57"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521F23F7" w14:textId="77777777" w:rsidR="00233E25" w:rsidRPr="00EE4EE5" w:rsidRDefault="00233E25"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0FB3A223"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795FBF4D"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Pre Monsoon</w:t>
            </w:r>
          </w:p>
        </w:tc>
      </w:tr>
      <w:tr w:rsidR="00233E25" w:rsidRPr="00EE4EE5" w14:paraId="58DE3D12" w14:textId="77777777" w:rsidTr="0057380D">
        <w:tc>
          <w:tcPr>
            <w:tcW w:w="2254" w:type="dxa"/>
            <w:vAlign w:val="center"/>
          </w:tcPr>
          <w:p w14:paraId="120BE74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6DB55D6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76.87 </w:t>
            </w:r>
            <w:r w:rsidRPr="00EE4EE5">
              <w:rPr>
                <w:rFonts w:ascii="Arial" w:hAnsi="Arial" w:cs="Arial"/>
                <w:sz w:val="20"/>
                <w:szCs w:val="20"/>
              </w:rPr>
              <w:t xml:space="preserve">± </w:t>
            </w:r>
            <w:r w:rsidRPr="00EE4EE5">
              <w:rPr>
                <w:rFonts w:ascii="Arial" w:hAnsi="Arial" w:cs="Arial"/>
                <w:color w:val="000000"/>
                <w:sz w:val="20"/>
                <w:szCs w:val="20"/>
              </w:rPr>
              <w:t>2.92</w:t>
            </w:r>
          </w:p>
        </w:tc>
        <w:tc>
          <w:tcPr>
            <w:tcW w:w="2417" w:type="dxa"/>
            <w:vAlign w:val="bottom"/>
          </w:tcPr>
          <w:p w14:paraId="61CDDA04"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65.93 </w:t>
            </w:r>
            <w:r w:rsidRPr="00EE4EE5">
              <w:rPr>
                <w:rFonts w:ascii="Arial" w:hAnsi="Arial" w:cs="Arial"/>
                <w:sz w:val="20"/>
                <w:szCs w:val="20"/>
              </w:rPr>
              <w:t xml:space="preserve">± </w:t>
            </w:r>
            <w:r w:rsidRPr="00EE4EE5">
              <w:rPr>
                <w:rFonts w:ascii="Arial" w:hAnsi="Arial" w:cs="Arial"/>
                <w:color w:val="000000"/>
                <w:sz w:val="20"/>
                <w:szCs w:val="20"/>
              </w:rPr>
              <w:t>3.28</w:t>
            </w:r>
          </w:p>
        </w:tc>
        <w:tc>
          <w:tcPr>
            <w:tcW w:w="2091" w:type="dxa"/>
            <w:vAlign w:val="bottom"/>
          </w:tcPr>
          <w:p w14:paraId="3131A6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61.23 </w:t>
            </w:r>
            <w:r w:rsidRPr="00EE4EE5">
              <w:rPr>
                <w:rFonts w:ascii="Arial" w:hAnsi="Arial" w:cs="Arial"/>
                <w:sz w:val="20"/>
                <w:szCs w:val="20"/>
              </w:rPr>
              <w:t xml:space="preserve">± </w:t>
            </w:r>
            <w:r w:rsidRPr="00EE4EE5">
              <w:rPr>
                <w:rFonts w:ascii="Arial" w:hAnsi="Arial" w:cs="Arial"/>
                <w:color w:val="000000"/>
                <w:sz w:val="20"/>
                <w:szCs w:val="20"/>
              </w:rPr>
              <w:t>2.66</w:t>
            </w:r>
          </w:p>
        </w:tc>
      </w:tr>
      <w:tr w:rsidR="00233E25" w:rsidRPr="00EE4EE5" w14:paraId="07B89FF9" w14:textId="77777777" w:rsidTr="0057380D">
        <w:tc>
          <w:tcPr>
            <w:tcW w:w="2254" w:type="dxa"/>
            <w:vAlign w:val="center"/>
          </w:tcPr>
          <w:p w14:paraId="60D9CD5A"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1EA7F287"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22.54 </w:t>
            </w:r>
            <w:r w:rsidRPr="00EE4EE5">
              <w:rPr>
                <w:rFonts w:ascii="Arial" w:hAnsi="Arial" w:cs="Arial"/>
                <w:sz w:val="20"/>
                <w:szCs w:val="20"/>
              </w:rPr>
              <w:t xml:space="preserve">± </w:t>
            </w:r>
            <w:r w:rsidRPr="00EE4EE5">
              <w:rPr>
                <w:rFonts w:ascii="Arial" w:hAnsi="Arial" w:cs="Arial"/>
                <w:color w:val="000000"/>
                <w:sz w:val="20"/>
                <w:szCs w:val="20"/>
              </w:rPr>
              <w:t>1.38</w:t>
            </w:r>
          </w:p>
        </w:tc>
        <w:tc>
          <w:tcPr>
            <w:tcW w:w="2417" w:type="dxa"/>
            <w:vAlign w:val="bottom"/>
          </w:tcPr>
          <w:p w14:paraId="2C0FF00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24.51 </w:t>
            </w:r>
            <w:r w:rsidRPr="00EE4EE5">
              <w:rPr>
                <w:rFonts w:ascii="Arial" w:hAnsi="Arial" w:cs="Arial"/>
                <w:sz w:val="20"/>
                <w:szCs w:val="20"/>
              </w:rPr>
              <w:t xml:space="preserve">± </w:t>
            </w:r>
            <w:r w:rsidRPr="00EE4EE5">
              <w:rPr>
                <w:rFonts w:ascii="Arial" w:hAnsi="Arial" w:cs="Arial"/>
                <w:color w:val="000000"/>
                <w:sz w:val="20"/>
                <w:szCs w:val="20"/>
              </w:rPr>
              <w:t>0.32</w:t>
            </w:r>
          </w:p>
        </w:tc>
        <w:tc>
          <w:tcPr>
            <w:tcW w:w="2091" w:type="dxa"/>
            <w:vAlign w:val="bottom"/>
          </w:tcPr>
          <w:p w14:paraId="7A78CF6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25.64 </w:t>
            </w:r>
            <w:r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0268EC8B" w14:textId="77777777" w:rsidTr="0057380D">
        <w:tc>
          <w:tcPr>
            <w:tcW w:w="2254" w:type="dxa"/>
            <w:vAlign w:val="center"/>
          </w:tcPr>
          <w:p w14:paraId="50DDBDF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65CCA00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5.32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76238EA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4D243DF0" w14:textId="690E6A9C"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3.97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3E7482E9" w14:textId="77777777" w:rsidTr="0057380D">
        <w:tc>
          <w:tcPr>
            <w:tcW w:w="2254" w:type="dxa"/>
            <w:vAlign w:val="center"/>
          </w:tcPr>
          <w:p w14:paraId="0E47477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5F8E930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3.36 </w:t>
            </w:r>
            <w:r w:rsidRPr="00EE4EE5">
              <w:rPr>
                <w:rFonts w:ascii="Arial" w:hAnsi="Arial" w:cs="Arial"/>
                <w:sz w:val="20"/>
                <w:szCs w:val="20"/>
              </w:rPr>
              <w:t xml:space="preserve">± </w:t>
            </w:r>
            <w:r w:rsidRPr="00EE4EE5">
              <w:rPr>
                <w:rFonts w:ascii="Arial" w:hAnsi="Arial" w:cs="Arial"/>
                <w:color w:val="000000"/>
                <w:sz w:val="20"/>
                <w:szCs w:val="20"/>
              </w:rPr>
              <w:t>0.51</w:t>
            </w:r>
          </w:p>
        </w:tc>
        <w:tc>
          <w:tcPr>
            <w:tcW w:w="2417" w:type="dxa"/>
            <w:vAlign w:val="bottom"/>
          </w:tcPr>
          <w:p w14:paraId="7BAC483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4.39 </w:t>
            </w:r>
            <w:r w:rsidRPr="00EE4EE5">
              <w:rPr>
                <w:rFonts w:ascii="Arial" w:hAnsi="Arial" w:cs="Arial"/>
                <w:sz w:val="20"/>
                <w:szCs w:val="20"/>
              </w:rPr>
              <w:t xml:space="preserve">± </w:t>
            </w:r>
            <w:r w:rsidRPr="00EE4EE5">
              <w:rPr>
                <w:rFonts w:ascii="Arial" w:hAnsi="Arial" w:cs="Arial"/>
                <w:color w:val="000000"/>
                <w:sz w:val="20"/>
                <w:szCs w:val="20"/>
              </w:rPr>
              <w:t>0.71</w:t>
            </w:r>
          </w:p>
        </w:tc>
        <w:tc>
          <w:tcPr>
            <w:tcW w:w="2091" w:type="dxa"/>
            <w:vAlign w:val="bottom"/>
          </w:tcPr>
          <w:p w14:paraId="1B5C494B" w14:textId="43C8F719"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4.58</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0.27</w:t>
            </w:r>
          </w:p>
        </w:tc>
      </w:tr>
      <w:tr w:rsidR="00233E25" w:rsidRPr="00EE4EE5" w14:paraId="78ACCCCF" w14:textId="77777777" w:rsidTr="0057380D">
        <w:tc>
          <w:tcPr>
            <w:tcW w:w="2254" w:type="dxa"/>
            <w:vAlign w:val="center"/>
          </w:tcPr>
          <w:p w14:paraId="16CEF51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1C9E5CE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2.11 </w:t>
            </w:r>
            <w:r w:rsidRPr="00EE4EE5">
              <w:rPr>
                <w:rFonts w:ascii="Arial" w:hAnsi="Arial" w:cs="Arial"/>
                <w:sz w:val="20"/>
                <w:szCs w:val="20"/>
              </w:rPr>
              <w:t xml:space="preserve">± </w:t>
            </w:r>
            <w:r w:rsidRPr="00EE4EE5">
              <w:rPr>
                <w:rFonts w:ascii="Arial" w:hAnsi="Arial" w:cs="Arial"/>
                <w:color w:val="000000"/>
                <w:sz w:val="20"/>
                <w:szCs w:val="20"/>
              </w:rPr>
              <w:t>0.15</w:t>
            </w:r>
          </w:p>
        </w:tc>
        <w:tc>
          <w:tcPr>
            <w:tcW w:w="2417" w:type="dxa"/>
            <w:vAlign w:val="bottom"/>
          </w:tcPr>
          <w:p w14:paraId="025E33E8"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2.749 </w:t>
            </w:r>
            <w:r w:rsidRPr="00EE4EE5">
              <w:rPr>
                <w:rFonts w:ascii="Arial" w:hAnsi="Arial" w:cs="Arial"/>
                <w:sz w:val="20"/>
                <w:szCs w:val="20"/>
              </w:rPr>
              <w:t xml:space="preserve">± </w:t>
            </w:r>
            <w:r w:rsidRPr="00EE4EE5">
              <w:rPr>
                <w:rFonts w:ascii="Arial" w:hAnsi="Arial" w:cs="Arial"/>
                <w:color w:val="000000"/>
                <w:sz w:val="20"/>
                <w:szCs w:val="20"/>
              </w:rPr>
              <w:t>0.11</w:t>
            </w:r>
          </w:p>
        </w:tc>
        <w:tc>
          <w:tcPr>
            <w:tcW w:w="2091" w:type="dxa"/>
            <w:vAlign w:val="bottom"/>
          </w:tcPr>
          <w:p w14:paraId="72F9EAAC" w14:textId="03097510"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2.57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0.10</w:t>
            </w:r>
          </w:p>
        </w:tc>
      </w:tr>
      <w:tr w:rsidR="00233E25" w:rsidRPr="00EE4EE5" w14:paraId="1B1ACDA7" w14:textId="77777777" w:rsidTr="0057380D">
        <w:tc>
          <w:tcPr>
            <w:tcW w:w="2254" w:type="dxa"/>
            <w:vAlign w:val="center"/>
          </w:tcPr>
          <w:p w14:paraId="183A0994"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058E274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5.44 </w:t>
            </w:r>
            <w:r w:rsidRPr="00EE4EE5">
              <w:rPr>
                <w:rFonts w:ascii="Arial" w:hAnsi="Arial" w:cs="Arial"/>
                <w:sz w:val="20"/>
                <w:szCs w:val="20"/>
              </w:rPr>
              <w:t xml:space="preserve">± </w:t>
            </w:r>
            <w:r w:rsidRPr="00EE4EE5">
              <w:rPr>
                <w:rFonts w:ascii="Arial" w:hAnsi="Arial" w:cs="Arial"/>
                <w:color w:val="000000"/>
                <w:sz w:val="20"/>
                <w:szCs w:val="20"/>
              </w:rPr>
              <w:t>0.14</w:t>
            </w:r>
          </w:p>
        </w:tc>
        <w:tc>
          <w:tcPr>
            <w:tcW w:w="2417" w:type="dxa"/>
            <w:vAlign w:val="bottom"/>
          </w:tcPr>
          <w:p w14:paraId="398628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10.47 </w:t>
            </w:r>
            <w:r w:rsidRPr="00EE4EE5">
              <w:rPr>
                <w:rFonts w:ascii="Arial" w:hAnsi="Arial" w:cs="Arial"/>
                <w:sz w:val="20"/>
                <w:szCs w:val="20"/>
              </w:rPr>
              <w:t>±</w:t>
            </w:r>
            <w:r w:rsidRPr="00EE4EE5">
              <w:rPr>
                <w:rFonts w:ascii="Arial" w:hAnsi="Arial" w:cs="Arial"/>
                <w:color w:val="000000"/>
                <w:sz w:val="20"/>
                <w:szCs w:val="20"/>
              </w:rPr>
              <w:t>1.10</w:t>
            </w:r>
          </w:p>
        </w:tc>
        <w:tc>
          <w:tcPr>
            <w:tcW w:w="2091" w:type="dxa"/>
            <w:vAlign w:val="bottom"/>
          </w:tcPr>
          <w:p w14:paraId="6AC82405" w14:textId="408EDD34"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4.95</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0.085</w:t>
            </w:r>
          </w:p>
        </w:tc>
      </w:tr>
      <w:tr w:rsidR="00233E25" w:rsidRPr="00EE4EE5" w14:paraId="6926351A" w14:textId="77777777" w:rsidTr="0057380D">
        <w:tc>
          <w:tcPr>
            <w:tcW w:w="2254" w:type="dxa"/>
            <w:vAlign w:val="center"/>
          </w:tcPr>
          <w:p w14:paraId="6E5040A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17CC4CD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82.45 </w:t>
            </w:r>
            <w:r w:rsidRPr="00EE4EE5">
              <w:rPr>
                <w:rFonts w:ascii="Arial" w:hAnsi="Arial" w:cs="Arial"/>
                <w:sz w:val="20"/>
                <w:szCs w:val="20"/>
              </w:rPr>
              <w:t xml:space="preserve">± </w:t>
            </w:r>
            <w:r w:rsidRPr="00EE4EE5">
              <w:rPr>
                <w:rFonts w:ascii="Arial" w:hAnsi="Arial" w:cs="Arial"/>
                <w:color w:val="000000"/>
                <w:sz w:val="20"/>
                <w:szCs w:val="20"/>
              </w:rPr>
              <w:t>1.46</w:t>
            </w:r>
          </w:p>
        </w:tc>
        <w:tc>
          <w:tcPr>
            <w:tcW w:w="2417" w:type="dxa"/>
            <w:vAlign w:val="bottom"/>
          </w:tcPr>
          <w:p w14:paraId="13AC7A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65.53 </w:t>
            </w:r>
            <w:r w:rsidRPr="00EE4EE5">
              <w:rPr>
                <w:rFonts w:ascii="Arial" w:hAnsi="Arial" w:cs="Arial"/>
                <w:sz w:val="20"/>
                <w:szCs w:val="20"/>
              </w:rPr>
              <w:t xml:space="preserve">± </w:t>
            </w:r>
            <w:r w:rsidRPr="00EE4EE5">
              <w:rPr>
                <w:rFonts w:ascii="Arial" w:hAnsi="Arial" w:cs="Arial"/>
                <w:color w:val="000000"/>
                <w:sz w:val="20"/>
                <w:szCs w:val="20"/>
              </w:rPr>
              <w:t>0.28</w:t>
            </w:r>
          </w:p>
        </w:tc>
        <w:tc>
          <w:tcPr>
            <w:tcW w:w="2091" w:type="dxa"/>
            <w:vAlign w:val="bottom"/>
          </w:tcPr>
          <w:p w14:paraId="5AE0479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63.17 </w:t>
            </w:r>
            <w:r w:rsidRPr="00EE4EE5">
              <w:rPr>
                <w:rFonts w:ascii="Arial" w:hAnsi="Arial" w:cs="Arial"/>
                <w:sz w:val="20"/>
                <w:szCs w:val="20"/>
              </w:rPr>
              <w:t xml:space="preserve">± </w:t>
            </w:r>
            <w:r w:rsidRPr="00EE4EE5">
              <w:rPr>
                <w:rFonts w:ascii="Arial" w:hAnsi="Arial" w:cs="Arial"/>
                <w:color w:val="000000"/>
                <w:sz w:val="20"/>
                <w:szCs w:val="20"/>
              </w:rPr>
              <w:t>5.63</w:t>
            </w:r>
          </w:p>
        </w:tc>
      </w:tr>
      <w:tr w:rsidR="00233E25" w:rsidRPr="00EE4EE5" w14:paraId="2FEDCF34" w14:textId="77777777" w:rsidTr="0057380D">
        <w:tc>
          <w:tcPr>
            <w:tcW w:w="2254" w:type="dxa"/>
            <w:vAlign w:val="center"/>
          </w:tcPr>
          <w:p w14:paraId="79D025D2" w14:textId="77777777" w:rsidR="00233E25" w:rsidRPr="00EE4EE5" w:rsidRDefault="00233E25"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4147E1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7.27 </w:t>
            </w:r>
            <w:r w:rsidRPr="00EE4EE5">
              <w:rPr>
                <w:rFonts w:ascii="Arial" w:hAnsi="Arial" w:cs="Arial"/>
                <w:sz w:val="20"/>
                <w:szCs w:val="20"/>
              </w:rPr>
              <w:t xml:space="preserve">± </w:t>
            </w:r>
            <w:r w:rsidRPr="00EE4EE5">
              <w:rPr>
                <w:rFonts w:ascii="Arial" w:hAnsi="Arial" w:cs="Arial"/>
                <w:color w:val="000000"/>
                <w:sz w:val="20"/>
                <w:szCs w:val="20"/>
              </w:rPr>
              <w:t>0.05</w:t>
            </w:r>
          </w:p>
        </w:tc>
        <w:tc>
          <w:tcPr>
            <w:tcW w:w="2417" w:type="dxa"/>
            <w:vAlign w:val="bottom"/>
          </w:tcPr>
          <w:p w14:paraId="7D9EE6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12.66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53FD1A7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10.57 </w:t>
            </w:r>
            <w:r w:rsidRPr="00EE4EE5">
              <w:rPr>
                <w:rFonts w:ascii="Arial" w:hAnsi="Arial" w:cs="Arial"/>
                <w:sz w:val="20"/>
                <w:szCs w:val="20"/>
              </w:rPr>
              <w:t xml:space="preserve">± </w:t>
            </w:r>
            <w:r w:rsidRPr="00EE4EE5">
              <w:rPr>
                <w:rFonts w:ascii="Arial" w:hAnsi="Arial" w:cs="Arial"/>
                <w:color w:val="000000"/>
                <w:sz w:val="20"/>
                <w:szCs w:val="20"/>
              </w:rPr>
              <w:t>0.09</w:t>
            </w:r>
          </w:p>
        </w:tc>
      </w:tr>
      <w:tr w:rsidR="00233E25" w:rsidRPr="00EE4EE5" w14:paraId="2CC02D3D" w14:textId="77777777" w:rsidTr="0057380D">
        <w:tc>
          <w:tcPr>
            <w:tcW w:w="2254" w:type="dxa"/>
            <w:vAlign w:val="center"/>
          </w:tcPr>
          <w:p w14:paraId="5132D4A8" w14:textId="77777777" w:rsidR="00233E25" w:rsidRPr="00EE4EE5" w:rsidRDefault="00233E25"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261517E9"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11.09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1243082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14.00 </w:t>
            </w:r>
            <w:r w:rsidRPr="00EE4EE5">
              <w:rPr>
                <w:rFonts w:ascii="Arial" w:hAnsi="Arial" w:cs="Arial"/>
                <w:sz w:val="20"/>
                <w:szCs w:val="20"/>
              </w:rPr>
              <w:t xml:space="preserve">± </w:t>
            </w:r>
            <w:r w:rsidRPr="00EE4EE5">
              <w:rPr>
                <w:rFonts w:ascii="Arial" w:hAnsi="Arial" w:cs="Arial"/>
                <w:color w:val="000000"/>
                <w:sz w:val="20"/>
                <w:szCs w:val="20"/>
              </w:rPr>
              <w:t>0.31</w:t>
            </w:r>
          </w:p>
        </w:tc>
        <w:tc>
          <w:tcPr>
            <w:tcW w:w="2091" w:type="dxa"/>
            <w:vAlign w:val="bottom"/>
          </w:tcPr>
          <w:p w14:paraId="309DB1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10.87 </w:t>
            </w:r>
            <w:r w:rsidRPr="00EE4EE5">
              <w:rPr>
                <w:rFonts w:ascii="Arial" w:hAnsi="Arial" w:cs="Arial"/>
                <w:sz w:val="20"/>
                <w:szCs w:val="20"/>
              </w:rPr>
              <w:t xml:space="preserve">± </w:t>
            </w:r>
            <w:r w:rsidRPr="00EE4EE5">
              <w:rPr>
                <w:rFonts w:ascii="Arial" w:hAnsi="Arial" w:cs="Arial"/>
                <w:color w:val="000000"/>
                <w:sz w:val="20"/>
                <w:szCs w:val="20"/>
              </w:rPr>
              <w:t>0.19</w:t>
            </w:r>
          </w:p>
        </w:tc>
      </w:tr>
      <w:tr w:rsidR="00233E25" w:rsidRPr="00EE4EE5" w14:paraId="7A1DF3A4" w14:textId="77777777" w:rsidTr="0057380D">
        <w:tc>
          <w:tcPr>
            <w:tcW w:w="2254" w:type="dxa"/>
            <w:vAlign w:val="center"/>
          </w:tcPr>
          <w:p w14:paraId="639449F6" w14:textId="77777777" w:rsidR="00233E25" w:rsidRPr="00EE4EE5" w:rsidRDefault="00233E25"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AE6432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2454.14 </w:t>
            </w:r>
            <w:r w:rsidRPr="00EE4EE5">
              <w:rPr>
                <w:rFonts w:ascii="Arial" w:hAnsi="Arial" w:cs="Arial"/>
                <w:sz w:val="20"/>
                <w:szCs w:val="20"/>
              </w:rPr>
              <w:t xml:space="preserve">± </w:t>
            </w:r>
            <w:r w:rsidRPr="00EE4EE5">
              <w:rPr>
                <w:rFonts w:ascii="Arial" w:hAnsi="Arial" w:cs="Arial"/>
                <w:color w:val="000000"/>
                <w:sz w:val="20"/>
                <w:szCs w:val="20"/>
              </w:rPr>
              <w:t>5.34</w:t>
            </w:r>
          </w:p>
        </w:tc>
        <w:tc>
          <w:tcPr>
            <w:tcW w:w="2417" w:type="dxa"/>
            <w:vAlign w:val="bottom"/>
          </w:tcPr>
          <w:p w14:paraId="7EABE2E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4566.28 </w:t>
            </w:r>
            <w:r w:rsidRPr="00EE4EE5">
              <w:rPr>
                <w:rFonts w:ascii="Arial" w:hAnsi="Arial" w:cs="Arial"/>
                <w:sz w:val="20"/>
                <w:szCs w:val="20"/>
              </w:rPr>
              <w:t xml:space="preserve">± </w:t>
            </w:r>
            <w:r w:rsidRPr="00EE4EE5">
              <w:rPr>
                <w:rFonts w:ascii="Arial" w:hAnsi="Arial" w:cs="Arial"/>
                <w:color w:val="000000"/>
                <w:sz w:val="20"/>
                <w:szCs w:val="20"/>
              </w:rPr>
              <w:t>9.97</w:t>
            </w:r>
          </w:p>
        </w:tc>
        <w:tc>
          <w:tcPr>
            <w:tcW w:w="2091" w:type="dxa"/>
            <w:vAlign w:val="bottom"/>
          </w:tcPr>
          <w:p w14:paraId="232C6B52"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3563.84 </w:t>
            </w:r>
            <w:r w:rsidRPr="00EE4EE5">
              <w:rPr>
                <w:rFonts w:ascii="Arial" w:hAnsi="Arial" w:cs="Arial"/>
                <w:sz w:val="20"/>
                <w:szCs w:val="20"/>
              </w:rPr>
              <w:t xml:space="preserve">± </w:t>
            </w:r>
            <w:r w:rsidRPr="00EE4EE5">
              <w:rPr>
                <w:rFonts w:ascii="Arial" w:hAnsi="Arial" w:cs="Arial"/>
                <w:color w:val="000000"/>
                <w:sz w:val="20"/>
                <w:szCs w:val="20"/>
              </w:rPr>
              <w:t>2.44</w:t>
            </w:r>
          </w:p>
        </w:tc>
      </w:tr>
      <w:tr w:rsidR="00233E25" w:rsidRPr="00EE4EE5" w14:paraId="1634FB2D" w14:textId="77777777" w:rsidTr="0057380D">
        <w:tc>
          <w:tcPr>
            <w:tcW w:w="2254" w:type="dxa"/>
            <w:vAlign w:val="center"/>
          </w:tcPr>
          <w:p w14:paraId="6A18C606" w14:textId="77777777" w:rsidR="00233E25" w:rsidRPr="00EE4EE5" w:rsidRDefault="00233E25"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5371C04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4.25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4DEB27E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5.86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5167CD1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4.34 </w:t>
            </w:r>
            <w:r w:rsidRPr="00EE4EE5">
              <w:rPr>
                <w:rFonts w:ascii="Arial" w:hAnsi="Arial" w:cs="Arial"/>
                <w:sz w:val="20"/>
                <w:szCs w:val="20"/>
              </w:rPr>
              <w:t xml:space="preserve">± </w:t>
            </w:r>
            <w:r w:rsidRPr="00EE4EE5">
              <w:rPr>
                <w:rFonts w:ascii="Arial" w:hAnsi="Arial" w:cs="Arial"/>
                <w:color w:val="000000"/>
                <w:sz w:val="20"/>
                <w:szCs w:val="20"/>
              </w:rPr>
              <w:t>0.13</w:t>
            </w:r>
          </w:p>
        </w:tc>
      </w:tr>
      <w:tr w:rsidR="00233E25" w:rsidRPr="00EE4EE5" w14:paraId="26A5743E" w14:textId="77777777" w:rsidTr="0057380D">
        <w:tc>
          <w:tcPr>
            <w:tcW w:w="2254" w:type="dxa"/>
            <w:vAlign w:val="center"/>
          </w:tcPr>
          <w:p w14:paraId="0994A9D2" w14:textId="77777777" w:rsidR="00233E25" w:rsidRPr="00EE4EE5" w:rsidRDefault="00233E25"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274380C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445.07 ±</w:t>
            </w:r>
            <w:r w:rsidRPr="00EE4EE5">
              <w:rPr>
                <w:rFonts w:ascii="Arial" w:hAnsi="Arial" w:cs="Arial"/>
                <w:sz w:val="20"/>
                <w:szCs w:val="20"/>
              </w:rPr>
              <w:t xml:space="preserve"> </w:t>
            </w:r>
            <w:r w:rsidRPr="00EE4EE5">
              <w:rPr>
                <w:rFonts w:ascii="Arial" w:hAnsi="Arial" w:cs="Arial"/>
                <w:color w:val="000000"/>
                <w:sz w:val="20"/>
                <w:szCs w:val="20"/>
              </w:rPr>
              <w:t>2.275</w:t>
            </w:r>
          </w:p>
        </w:tc>
        <w:tc>
          <w:tcPr>
            <w:tcW w:w="2417" w:type="dxa"/>
            <w:vAlign w:val="bottom"/>
          </w:tcPr>
          <w:p w14:paraId="63B13C6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197.29 </w:t>
            </w:r>
            <w:r w:rsidRPr="00EE4EE5">
              <w:rPr>
                <w:rFonts w:ascii="Arial" w:hAnsi="Arial" w:cs="Arial"/>
                <w:sz w:val="20"/>
                <w:szCs w:val="20"/>
              </w:rPr>
              <w:t xml:space="preserve">± </w:t>
            </w:r>
            <w:r w:rsidRPr="00EE4EE5">
              <w:rPr>
                <w:rFonts w:ascii="Arial" w:hAnsi="Arial" w:cs="Arial"/>
                <w:color w:val="000000"/>
                <w:sz w:val="20"/>
                <w:szCs w:val="20"/>
              </w:rPr>
              <w:t>1.99</w:t>
            </w:r>
          </w:p>
        </w:tc>
        <w:tc>
          <w:tcPr>
            <w:tcW w:w="2091" w:type="dxa"/>
            <w:vAlign w:val="bottom"/>
          </w:tcPr>
          <w:p w14:paraId="2167D00E"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397.74 </w:t>
            </w:r>
            <w:r w:rsidRPr="00EE4EE5">
              <w:rPr>
                <w:rFonts w:ascii="Arial" w:hAnsi="Arial" w:cs="Arial"/>
                <w:sz w:val="20"/>
                <w:szCs w:val="20"/>
              </w:rPr>
              <w:t xml:space="preserve">± </w:t>
            </w:r>
            <w:r w:rsidRPr="00EE4EE5">
              <w:rPr>
                <w:rFonts w:ascii="Arial" w:hAnsi="Arial" w:cs="Arial"/>
                <w:color w:val="000000"/>
                <w:sz w:val="20"/>
                <w:szCs w:val="20"/>
              </w:rPr>
              <w:t>1.63</w:t>
            </w:r>
          </w:p>
        </w:tc>
      </w:tr>
      <w:tr w:rsidR="00233E25" w:rsidRPr="00EE4EE5" w14:paraId="6C86FCC0" w14:textId="77777777" w:rsidTr="0057380D">
        <w:tc>
          <w:tcPr>
            <w:tcW w:w="2254" w:type="dxa"/>
            <w:vAlign w:val="center"/>
          </w:tcPr>
          <w:p w14:paraId="3469291E" w14:textId="77777777" w:rsidR="00233E25" w:rsidRPr="00EE4EE5" w:rsidRDefault="00233E25"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415B3F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453.90 </w:t>
            </w:r>
            <w:r w:rsidRPr="00EE4EE5">
              <w:rPr>
                <w:rFonts w:ascii="Arial" w:hAnsi="Arial" w:cs="Arial"/>
                <w:sz w:val="20"/>
                <w:szCs w:val="20"/>
              </w:rPr>
              <w:t xml:space="preserve">± </w:t>
            </w:r>
            <w:r w:rsidRPr="00EE4EE5">
              <w:rPr>
                <w:rFonts w:ascii="Arial" w:hAnsi="Arial" w:cs="Arial"/>
                <w:color w:val="000000"/>
                <w:sz w:val="20"/>
                <w:szCs w:val="20"/>
              </w:rPr>
              <w:t>4.38</w:t>
            </w:r>
          </w:p>
        </w:tc>
        <w:tc>
          <w:tcPr>
            <w:tcW w:w="2417" w:type="dxa"/>
            <w:vAlign w:val="bottom"/>
          </w:tcPr>
          <w:p w14:paraId="649B8A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217.07 </w:t>
            </w:r>
            <w:r w:rsidRPr="00EE4EE5">
              <w:rPr>
                <w:rFonts w:ascii="Arial" w:hAnsi="Arial" w:cs="Arial"/>
                <w:sz w:val="20"/>
                <w:szCs w:val="20"/>
              </w:rPr>
              <w:t xml:space="preserve">± </w:t>
            </w:r>
            <w:r w:rsidRPr="00EE4EE5">
              <w:rPr>
                <w:rFonts w:ascii="Arial" w:hAnsi="Arial" w:cs="Arial"/>
                <w:color w:val="000000"/>
                <w:sz w:val="20"/>
                <w:szCs w:val="20"/>
              </w:rPr>
              <w:t>2.24</w:t>
            </w:r>
          </w:p>
        </w:tc>
        <w:tc>
          <w:tcPr>
            <w:tcW w:w="2091" w:type="dxa"/>
            <w:vAlign w:val="bottom"/>
          </w:tcPr>
          <w:p w14:paraId="3E1CA8D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491.16 </w:t>
            </w:r>
            <w:r w:rsidRPr="00EE4EE5">
              <w:rPr>
                <w:rFonts w:ascii="Arial" w:hAnsi="Arial" w:cs="Arial"/>
                <w:sz w:val="20"/>
                <w:szCs w:val="20"/>
              </w:rPr>
              <w:t xml:space="preserve">± </w:t>
            </w:r>
            <w:r w:rsidRPr="00EE4EE5">
              <w:rPr>
                <w:rFonts w:ascii="Arial" w:hAnsi="Arial" w:cs="Arial"/>
                <w:color w:val="000000"/>
                <w:sz w:val="20"/>
                <w:szCs w:val="20"/>
              </w:rPr>
              <w:t>4.45</w:t>
            </w:r>
          </w:p>
        </w:tc>
      </w:tr>
      <w:tr w:rsidR="00233E25" w:rsidRPr="00EE4EE5" w14:paraId="7981201D" w14:textId="77777777" w:rsidTr="0057380D">
        <w:tc>
          <w:tcPr>
            <w:tcW w:w="2254" w:type="dxa"/>
            <w:vAlign w:val="center"/>
          </w:tcPr>
          <w:p w14:paraId="119B431F" w14:textId="77777777" w:rsidR="00233E25" w:rsidRPr="00EE4EE5" w:rsidRDefault="00233E25"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0C6AA8F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51.43 ± 1.28</w:t>
            </w:r>
          </w:p>
        </w:tc>
        <w:tc>
          <w:tcPr>
            <w:tcW w:w="2417" w:type="dxa"/>
            <w:vAlign w:val="bottom"/>
          </w:tcPr>
          <w:p w14:paraId="72E202F8" w14:textId="77777777" w:rsidR="00233E25" w:rsidRPr="00EE4EE5" w:rsidRDefault="00233E25" w:rsidP="0057380D">
            <w:pPr>
              <w:jc w:val="both"/>
              <w:rPr>
                <w:rFonts w:ascii="Arial" w:hAnsi="Arial" w:cs="Arial"/>
                <w:sz w:val="20"/>
                <w:szCs w:val="20"/>
              </w:rPr>
            </w:pPr>
            <w:r w:rsidRPr="00EE4EE5">
              <w:rPr>
                <w:rFonts w:ascii="Arial" w:hAnsi="Arial" w:cs="Arial"/>
                <w:color w:val="000000"/>
                <w:sz w:val="20"/>
                <w:szCs w:val="20"/>
              </w:rPr>
              <w:t>44.77 ± 1.58</w:t>
            </w:r>
          </w:p>
        </w:tc>
        <w:tc>
          <w:tcPr>
            <w:tcW w:w="2091" w:type="dxa"/>
            <w:vAlign w:val="bottom"/>
          </w:tcPr>
          <w:p w14:paraId="6398D71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54.84 ± 1.94</w:t>
            </w:r>
          </w:p>
        </w:tc>
      </w:tr>
    </w:tbl>
    <w:p w14:paraId="0A5592D3" w14:textId="77777777" w:rsidR="000A5E03" w:rsidRPr="00EE4EE5" w:rsidRDefault="00FD5D49" w:rsidP="00FD5D49">
      <w:pPr>
        <w:spacing w:line="360" w:lineRule="auto"/>
        <w:rPr>
          <w:rFonts w:ascii="Arial" w:hAnsi="Arial" w:cs="Arial"/>
          <w:sz w:val="20"/>
          <w:szCs w:val="20"/>
          <w:lang w:val="en-US"/>
        </w:rPr>
      </w:pPr>
      <w:r w:rsidRPr="00EE4EE5">
        <w:rPr>
          <w:rFonts w:ascii="Arial" w:hAnsi="Arial" w:cs="Arial"/>
          <w:sz w:val="20"/>
          <w:szCs w:val="20"/>
          <w:lang w:val="en-US"/>
        </w:rPr>
        <w:t xml:space="preserve"> </w:t>
      </w:r>
    </w:p>
    <w:p w14:paraId="527BE19B" w14:textId="44CDD9BB" w:rsidR="00FD5D49" w:rsidRPr="00EE4EE5" w:rsidRDefault="00AC5A36" w:rsidP="00FD5D49">
      <w:pPr>
        <w:spacing w:line="360" w:lineRule="auto"/>
        <w:rPr>
          <w:rFonts w:ascii="Arial" w:hAnsi="Arial" w:cs="Arial"/>
          <w:b/>
          <w:sz w:val="20"/>
          <w:szCs w:val="20"/>
          <w:lang w:val="en-US"/>
        </w:rPr>
      </w:pPr>
      <w:r w:rsidRPr="00EE4EE5">
        <w:rPr>
          <w:rFonts w:ascii="Arial" w:hAnsi="Arial" w:cs="Arial"/>
          <w:b/>
          <w:sz w:val="20"/>
          <w:szCs w:val="20"/>
          <w:lang w:val="en-US"/>
        </w:rPr>
        <w:t xml:space="preserve">Table </w:t>
      </w:r>
      <w:r w:rsidR="00750CF4">
        <w:rPr>
          <w:rFonts w:ascii="Arial" w:hAnsi="Arial" w:cs="Arial"/>
          <w:b/>
          <w:sz w:val="20"/>
          <w:szCs w:val="20"/>
          <w:lang w:val="en-US"/>
        </w:rPr>
        <w:t>4</w:t>
      </w:r>
      <w:r w:rsidRPr="00EE4EE5">
        <w:rPr>
          <w:rFonts w:ascii="Arial" w:hAnsi="Arial" w:cs="Arial"/>
          <w:b/>
          <w:sz w:val="20"/>
          <w:szCs w:val="20"/>
          <w:lang w:val="en-US"/>
        </w:rPr>
        <w:t xml:space="preserve">. </w:t>
      </w:r>
      <w:r w:rsidR="00FD5D49" w:rsidRPr="00EE4EE5">
        <w:rPr>
          <w:rFonts w:ascii="Arial" w:hAnsi="Arial" w:cs="Arial"/>
          <w:b/>
          <w:sz w:val="20"/>
          <w:szCs w:val="20"/>
          <w:lang w:val="en-US"/>
        </w:rPr>
        <w:t xml:space="preserve">Mean </w:t>
      </w:r>
      <w:r w:rsidR="00FD5D49" w:rsidRPr="00EE4EE5">
        <w:rPr>
          <w:rFonts w:ascii="Arial" w:hAnsi="Arial" w:cs="Arial"/>
          <w:b/>
          <w:sz w:val="20"/>
          <w:szCs w:val="20"/>
        </w:rPr>
        <w:t xml:space="preserve">± </w:t>
      </w:r>
      <w:r w:rsidR="00FD5D49" w:rsidRPr="00EE4EE5">
        <w:rPr>
          <w:rFonts w:ascii="Arial" w:hAnsi="Arial" w:cs="Arial"/>
          <w:b/>
          <w:sz w:val="20"/>
          <w:szCs w:val="20"/>
          <w:lang w:val="en-US"/>
        </w:rPr>
        <w:t xml:space="preserve">SE of soil factors of </w:t>
      </w:r>
      <w:r w:rsidR="00F557C5" w:rsidRPr="00EE4EE5">
        <w:rPr>
          <w:rFonts w:ascii="Arial" w:hAnsi="Arial" w:cs="Arial"/>
          <w:b/>
          <w:sz w:val="20"/>
          <w:szCs w:val="20"/>
          <w:lang w:val="en-US"/>
        </w:rPr>
        <w:t xml:space="preserve">Agricultural </w:t>
      </w:r>
      <w:r w:rsidR="00FD5D49" w:rsidRPr="00EE4EE5">
        <w:rPr>
          <w:rFonts w:ascii="Arial" w:hAnsi="Arial" w:cs="Arial"/>
          <w:b/>
          <w:sz w:val="20"/>
          <w:szCs w:val="20"/>
          <w:lang w:val="en-US"/>
        </w:rPr>
        <w:t xml:space="preserve">Area- </w:t>
      </w:r>
      <w:r w:rsidR="00F557C5" w:rsidRPr="00EE4EE5">
        <w:rPr>
          <w:rFonts w:ascii="Arial" w:hAnsi="Arial" w:cs="Arial"/>
          <w:b/>
          <w:sz w:val="20"/>
          <w:szCs w:val="20"/>
          <w:lang w:val="en-US"/>
        </w:rPr>
        <w:t>Chengannur</w:t>
      </w:r>
      <w:r w:rsidR="00FD5D49" w:rsidRPr="00EE4EE5">
        <w:rPr>
          <w:rFonts w:ascii="Arial" w:hAnsi="Arial" w:cs="Arial"/>
          <w:b/>
          <w:sz w:val="20"/>
          <w:szCs w:val="20"/>
          <w:lang w:val="en-US"/>
        </w:rPr>
        <w:t>, Alappuzha District</w:t>
      </w:r>
    </w:p>
    <w:tbl>
      <w:tblPr>
        <w:tblStyle w:val="TableGrid"/>
        <w:tblW w:w="0" w:type="auto"/>
        <w:tblLook w:val="04A0" w:firstRow="1" w:lastRow="0" w:firstColumn="1" w:lastColumn="0" w:noHBand="0" w:noVBand="1"/>
      </w:tblPr>
      <w:tblGrid>
        <w:gridCol w:w="2254"/>
        <w:gridCol w:w="2254"/>
        <w:gridCol w:w="2417"/>
        <w:gridCol w:w="2091"/>
      </w:tblGrid>
      <w:tr w:rsidR="00DB521A" w:rsidRPr="00EE4EE5" w14:paraId="7F6C0BB8" w14:textId="77777777" w:rsidTr="0057380D">
        <w:tc>
          <w:tcPr>
            <w:tcW w:w="9016" w:type="dxa"/>
            <w:gridSpan w:val="4"/>
            <w:vAlign w:val="center"/>
          </w:tcPr>
          <w:p w14:paraId="67A3511F"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Agricultural Area-Chengannur, Alappuzha District</w:t>
            </w:r>
          </w:p>
        </w:tc>
      </w:tr>
      <w:tr w:rsidR="00DB521A" w:rsidRPr="00EE4EE5" w14:paraId="702D63DE" w14:textId="77777777" w:rsidTr="0057380D">
        <w:tc>
          <w:tcPr>
            <w:tcW w:w="2254" w:type="dxa"/>
            <w:vAlign w:val="center"/>
          </w:tcPr>
          <w:p w14:paraId="6F0A7C8A"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0058AD27" w14:textId="77777777" w:rsidR="00DB521A" w:rsidRPr="00EE4EE5" w:rsidRDefault="00DB521A"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64F75DC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00D46B84"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Pre Monsoon</w:t>
            </w:r>
          </w:p>
        </w:tc>
      </w:tr>
      <w:tr w:rsidR="00DB521A" w:rsidRPr="00EE4EE5" w14:paraId="08C2A248" w14:textId="77777777" w:rsidTr="0057380D">
        <w:tc>
          <w:tcPr>
            <w:tcW w:w="2254" w:type="dxa"/>
            <w:vAlign w:val="center"/>
          </w:tcPr>
          <w:p w14:paraId="185D2F5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49EDED0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86.29 </w:t>
            </w:r>
            <w:r w:rsidRPr="00EE4EE5">
              <w:rPr>
                <w:rFonts w:ascii="Arial" w:hAnsi="Arial" w:cs="Arial"/>
                <w:sz w:val="20"/>
                <w:szCs w:val="20"/>
              </w:rPr>
              <w:t xml:space="preserve">± </w:t>
            </w:r>
            <w:r w:rsidRPr="00EE4EE5">
              <w:rPr>
                <w:rFonts w:ascii="Arial" w:hAnsi="Arial" w:cs="Arial"/>
                <w:color w:val="000000"/>
                <w:sz w:val="20"/>
                <w:szCs w:val="20"/>
              </w:rPr>
              <w:t>0.21</w:t>
            </w:r>
          </w:p>
        </w:tc>
        <w:tc>
          <w:tcPr>
            <w:tcW w:w="2417" w:type="dxa"/>
            <w:vAlign w:val="bottom"/>
          </w:tcPr>
          <w:p w14:paraId="47AA156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82.30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303182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77.64 </w:t>
            </w:r>
            <w:r w:rsidRPr="00EE4EE5">
              <w:rPr>
                <w:rFonts w:ascii="Arial" w:hAnsi="Arial" w:cs="Arial"/>
                <w:sz w:val="20"/>
                <w:szCs w:val="20"/>
              </w:rPr>
              <w:t xml:space="preserve">± </w:t>
            </w:r>
            <w:r w:rsidRPr="00EE4EE5">
              <w:rPr>
                <w:rFonts w:ascii="Arial" w:hAnsi="Arial" w:cs="Arial"/>
                <w:color w:val="000000"/>
                <w:sz w:val="20"/>
                <w:szCs w:val="20"/>
              </w:rPr>
              <w:t>0.25</w:t>
            </w:r>
          </w:p>
        </w:tc>
      </w:tr>
      <w:tr w:rsidR="00DB521A" w:rsidRPr="00EE4EE5" w14:paraId="328BD798" w14:textId="77777777" w:rsidTr="0057380D">
        <w:tc>
          <w:tcPr>
            <w:tcW w:w="2254" w:type="dxa"/>
            <w:vAlign w:val="center"/>
          </w:tcPr>
          <w:p w14:paraId="2DD85F4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60CBE65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23.21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095025E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25.14 </w:t>
            </w:r>
            <w:r w:rsidRPr="00EE4EE5">
              <w:rPr>
                <w:rFonts w:ascii="Arial" w:hAnsi="Arial" w:cs="Arial"/>
                <w:sz w:val="20"/>
                <w:szCs w:val="20"/>
              </w:rPr>
              <w:t>±</w:t>
            </w:r>
            <w:r w:rsidRPr="00EE4EE5">
              <w:rPr>
                <w:rFonts w:ascii="Arial" w:hAnsi="Arial" w:cs="Arial"/>
                <w:color w:val="000000"/>
                <w:sz w:val="20"/>
                <w:szCs w:val="20"/>
              </w:rPr>
              <w:t xml:space="preserve"> 0.07</w:t>
            </w:r>
          </w:p>
        </w:tc>
        <w:tc>
          <w:tcPr>
            <w:tcW w:w="2091" w:type="dxa"/>
            <w:vAlign w:val="bottom"/>
          </w:tcPr>
          <w:p w14:paraId="62CB767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26.22 </w:t>
            </w:r>
            <w:r w:rsidRPr="00EE4EE5">
              <w:rPr>
                <w:rFonts w:ascii="Arial" w:hAnsi="Arial" w:cs="Arial"/>
                <w:sz w:val="20"/>
                <w:szCs w:val="20"/>
              </w:rPr>
              <w:t xml:space="preserve">± </w:t>
            </w:r>
            <w:r w:rsidRPr="00EE4EE5">
              <w:rPr>
                <w:rFonts w:ascii="Arial" w:hAnsi="Arial" w:cs="Arial"/>
                <w:color w:val="000000"/>
                <w:sz w:val="20"/>
                <w:szCs w:val="20"/>
              </w:rPr>
              <w:t>0.12</w:t>
            </w:r>
          </w:p>
        </w:tc>
      </w:tr>
      <w:tr w:rsidR="00DB521A" w:rsidRPr="00EE4EE5" w14:paraId="5DD2C745" w14:textId="77777777" w:rsidTr="0057380D">
        <w:tc>
          <w:tcPr>
            <w:tcW w:w="2254" w:type="dxa"/>
            <w:vAlign w:val="center"/>
          </w:tcPr>
          <w:p w14:paraId="39DAB67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1695C6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5.53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AF941DB"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4.52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176020B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4.09 </w:t>
            </w:r>
            <w:r w:rsidRPr="00EE4EE5">
              <w:rPr>
                <w:rFonts w:ascii="Arial" w:hAnsi="Arial" w:cs="Arial"/>
                <w:sz w:val="20"/>
                <w:szCs w:val="20"/>
              </w:rPr>
              <w:t xml:space="preserve">± </w:t>
            </w:r>
            <w:r w:rsidRPr="00EE4EE5">
              <w:rPr>
                <w:rFonts w:ascii="Arial" w:hAnsi="Arial" w:cs="Arial"/>
                <w:color w:val="000000"/>
                <w:sz w:val="20"/>
                <w:szCs w:val="20"/>
              </w:rPr>
              <w:t>0.02</w:t>
            </w:r>
          </w:p>
        </w:tc>
      </w:tr>
      <w:tr w:rsidR="00DB521A" w:rsidRPr="00EE4EE5" w14:paraId="1FA1FC21" w14:textId="77777777" w:rsidTr="0057380D">
        <w:tc>
          <w:tcPr>
            <w:tcW w:w="2254" w:type="dxa"/>
            <w:vAlign w:val="center"/>
          </w:tcPr>
          <w:p w14:paraId="7A3378E8"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23B24A2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4.17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9D2928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4.75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6E4D1EC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5.39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633DEA8" w14:textId="77777777" w:rsidTr="0057380D">
        <w:tc>
          <w:tcPr>
            <w:tcW w:w="2254" w:type="dxa"/>
            <w:vAlign w:val="center"/>
          </w:tcPr>
          <w:p w14:paraId="24523703"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01152A56"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63.14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2405DA3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60.52 </w:t>
            </w:r>
            <w:r w:rsidRPr="00EE4EE5">
              <w:rPr>
                <w:rFonts w:ascii="Arial" w:hAnsi="Arial" w:cs="Arial"/>
                <w:sz w:val="20"/>
                <w:szCs w:val="20"/>
              </w:rPr>
              <w:t xml:space="preserve">± </w:t>
            </w:r>
            <w:r w:rsidRPr="00EE4EE5">
              <w:rPr>
                <w:rFonts w:ascii="Arial" w:hAnsi="Arial" w:cs="Arial"/>
                <w:color w:val="000000"/>
                <w:sz w:val="20"/>
                <w:szCs w:val="20"/>
              </w:rPr>
              <w:t>0.13</w:t>
            </w:r>
          </w:p>
        </w:tc>
        <w:tc>
          <w:tcPr>
            <w:tcW w:w="2091" w:type="dxa"/>
            <w:vAlign w:val="bottom"/>
          </w:tcPr>
          <w:p w14:paraId="0F9159E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66.24 </w:t>
            </w:r>
            <w:r w:rsidRPr="00EE4EE5">
              <w:rPr>
                <w:rFonts w:ascii="Arial" w:hAnsi="Arial" w:cs="Arial"/>
                <w:sz w:val="20"/>
                <w:szCs w:val="20"/>
              </w:rPr>
              <w:t xml:space="preserve">± </w:t>
            </w:r>
            <w:r w:rsidRPr="00EE4EE5">
              <w:rPr>
                <w:rFonts w:ascii="Arial" w:hAnsi="Arial" w:cs="Arial"/>
                <w:color w:val="000000"/>
                <w:sz w:val="20"/>
                <w:szCs w:val="20"/>
              </w:rPr>
              <w:t>0.13</w:t>
            </w:r>
          </w:p>
        </w:tc>
      </w:tr>
      <w:tr w:rsidR="00DB521A" w:rsidRPr="00EE4EE5" w14:paraId="753034FF" w14:textId="77777777" w:rsidTr="0057380D">
        <w:tc>
          <w:tcPr>
            <w:tcW w:w="2254" w:type="dxa"/>
            <w:vAlign w:val="center"/>
          </w:tcPr>
          <w:p w14:paraId="1EF1B766"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3A15967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12.26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693A98A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10.46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7FFA381"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9.48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66922B33" w14:textId="77777777" w:rsidTr="0057380D">
        <w:tc>
          <w:tcPr>
            <w:tcW w:w="2254" w:type="dxa"/>
            <w:vAlign w:val="center"/>
          </w:tcPr>
          <w:p w14:paraId="556E102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7A6D6E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53.08 </w:t>
            </w:r>
            <w:r w:rsidRPr="00EE4EE5">
              <w:rPr>
                <w:rFonts w:ascii="Arial" w:hAnsi="Arial" w:cs="Arial"/>
                <w:sz w:val="20"/>
                <w:szCs w:val="20"/>
              </w:rPr>
              <w:t xml:space="preserve">± </w:t>
            </w:r>
            <w:r w:rsidRPr="00EE4EE5">
              <w:rPr>
                <w:rFonts w:ascii="Arial" w:hAnsi="Arial" w:cs="Arial"/>
                <w:color w:val="000000"/>
                <w:sz w:val="20"/>
                <w:szCs w:val="20"/>
              </w:rPr>
              <w:t>0.17</w:t>
            </w:r>
          </w:p>
        </w:tc>
        <w:tc>
          <w:tcPr>
            <w:tcW w:w="2417" w:type="dxa"/>
            <w:vAlign w:val="bottom"/>
          </w:tcPr>
          <w:p w14:paraId="532C345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55.48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1DFECF4"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58.90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AB05FFB" w14:textId="77777777" w:rsidTr="0057380D">
        <w:tc>
          <w:tcPr>
            <w:tcW w:w="2254" w:type="dxa"/>
            <w:vAlign w:val="center"/>
          </w:tcPr>
          <w:p w14:paraId="10902636" w14:textId="77777777" w:rsidR="00DB521A" w:rsidRPr="00EE4EE5" w:rsidRDefault="00DB521A"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0516A19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20.16 </w:t>
            </w:r>
            <w:r w:rsidRPr="00EE4EE5">
              <w:rPr>
                <w:rFonts w:ascii="Arial" w:hAnsi="Arial" w:cs="Arial"/>
                <w:sz w:val="20"/>
                <w:szCs w:val="20"/>
              </w:rPr>
              <w:t xml:space="preserve">± </w:t>
            </w:r>
            <w:r w:rsidRPr="00EE4EE5">
              <w:rPr>
                <w:rFonts w:ascii="Arial" w:hAnsi="Arial" w:cs="Arial"/>
                <w:color w:val="000000"/>
                <w:sz w:val="20"/>
                <w:szCs w:val="20"/>
              </w:rPr>
              <w:t>0.12</w:t>
            </w:r>
          </w:p>
        </w:tc>
        <w:tc>
          <w:tcPr>
            <w:tcW w:w="2417" w:type="dxa"/>
            <w:vAlign w:val="bottom"/>
          </w:tcPr>
          <w:p w14:paraId="5040D0C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18.15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6196365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17.06 </w:t>
            </w:r>
            <w:r w:rsidRPr="00EE4EE5">
              <w:rPr>
                <w:rFonts w:ascii="Arial" w:hAnsi="Arial" w:cs="Arial"/>
                <w:sz w:val="20"/>
                <w:szCs w:val="20"/>
              </w:rPr>
              <w:t xml:space="preserve">± </w:t>
            </w:r>
            <w:r w:rsidRPr="00EE4EE5">
              <w:rPr>
                <w:rFonts w:ascii="Arial" w:hAnsi="Arial" w:cs="Arial"/>
                <w:color w:val="000000"/>
                <w:sz w:val="20"/>
                <w:szCs w:val="20"/>
              </w:rPr>
              <w:t>0.17</w:t>
            </w:r>
          </w:p>
        </w:tc>
      </w:tr>
      <w:tr w:rsidR="00DB521A" w:rsidRPr="00EE4EE5" w14:paraId="14C6BBAD" w14:textId="77777777" w:rsidTr="0057380D">
        <w:tc>
          <w:tcPr>
            <w:tcW w:w="2254" w:type="dxa"/>
            <w:vAlign w:val="center"/>
          </w:tcPr>
          <w:p w14:paraId="3B5F03FD" w14:textId="77777777" w:rsidR="00DB521A" w:rsidRPr="00EE4EE5" w:rsidRDefault="00DB521A"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4728D8A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25.63 </w:t>
            </w:r>
            <w:r w:rsidRPr="00EE4EE5">
              <w:rPr>
                <w:rFonts w:ascii="Arial" w:hAnsi="Arial" w:cs="Arial"/>
                <w:sz w:val="20"/>
                <w:szCs w:val="20"/>
              </w:rPr>
              <w:t xml:space="preserve">± </w:t>
            </w:r>
            <w:r w:rsidRPr="00EE4EE5">
              <w:rPr>
                <w:rFonts w:ascii="Arial" w:hAnsi="Arial" w:cs="Arial"/>
                <w:color w:val="000000"/>
                <w:sz w:val="20"/>
                <w:szCs w:val="20"/>
              </w:rPr>
              <w:t>0.06</w:t>
            </w:r>
          </w:p>
        </w:tc>
        <w:tc>
          <w:tcPr>
            <w:tcW w:w="2417" w:type="dxa"/>
            <w:vAlign w:val="bottom"/>
          </w:tcPr>
          <w:p w14:paraId="050C4D0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24.06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43F478A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22.64 </w:t>
            </w:r>
            <w:r w:rsidRPr="00EE4EE5">
              <w:rPr>
                <w:rFonts w:ascii="Arial" w:hAnsi="Arial" w:cs="Arial"/>
                <w:sz w:val="20"/>
                <w:szCs w:val="20"/>
              </w:rPr>
              <w:t xml:space="preserve">± </w:t>
            </w:r>
            <w:r w:rsidRPr="00EE4EE5">
              <w:rPr>
                <w:rFonts w:ascii="Arial" w:hAnsi="Arial" w:cs="Arial"/>
                <w:color w:val="000000"/>
                <w:sz w:val="20"/>
                <w:szCs w:val="20"/>
              </w:rPr>
              <w:t>0.14</w:t>
            </w:r>
          </w:p>
        </w:tc>
      </w:tr>
      <w:tr w:rsidR="00DB521A" w:rsidRPr="00EE4EE5" w14:paraId="49E534D6" w14:textId="77777777" w:rsidTr="0057380D">
        <w:tc>
          <w:tcPr>
            <w:tcW w:w="2254" w:type="dxa"/>
            <w:vAlign w:val="center"/>
          </w:tcPr>
          <w:p w14:paraId="271A971E" w14:textId="77777777" w:rsidR="00DB521A" w:rsidRPr="00EE4EE5" w:rsidRDefault="00DB521A"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22427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2738.51 </w:t>
            </w:r>
            <w:r w:rsidRPr="00EE4EE5">
              <w:rPr>
                <w:rFonts w:ascii="Arial" w:hAnsi="Arial" w:cs="Arial"/>
                <w:sz w:val="20"/>
                <w:szCs w:val="20"/>
              </w:rPr>
              <w:t xml:space="preserve">± </w:t>
            </w:r>
            <w:r w:rsidRPr="00EE4EE5">
              <w:rPr>
                <w:rFonts w:ascii="Arial" w:hAnsi="Arial" w:cs="Arial"/>
                <w:color w:val="000000"/>
                <w:sz w:val="20"/>
                <w:szCs w:val="20"/>
              </w:rPr>
              <w:t>3.74</w:t>
            </w:r>
          </w:p>
        </w:tc>
        <w:tc>
          <w:tcPr>
            <w:tcW w:w="2417" w:type="dxa"/>
            <w:vAlign w:val="bottom"/>
          </w:tcPr>
          <w:p w14:paraId="000760AD"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2623.75 ±</w:t>
            </w:r>
            <w:r w:rsidRPr="00EE4EE5">
              <w:rPr>
                <w:rFonts w:ascii="Arial" w:hAnsi="Arial" w:cs="Arial"/>
                <w:sz w:val="20"/>
                <w:szCs w:val="20"/>
              </w:rPr>
              <w:t xml:space="preserve"> </w:t>
            </w:r>
            <w:r w:rsidRPr="00EE4EE5">
              <w:rPr>
                <w:rFonts w:ascii="Arial" w:hAnsi="Arial" w:cs="Arial"/>
                <w:color w:val="000000"/>
                <w:sz w:val="20"/>
                <w:szCs w:val="20"/>
              </w:rPr>
              <w:t>1.63</w:t>
            </w:r>
          </w:p>
        </w:tc>
        <w:tc>
          <w:tcPr>
            <w:tcW w:w="2091" w:type="dxa"/>
            <w:vAlign w:val="bottom"/>
          </w:tcPr>
          <w:p w14:paraId="3614754F"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2642.94 </w:t>
            </w:r>
            <w:r w:rsidRPr="00EE4EE5">
              <w:rPr>
                <w:rFonts w:ascii="Arial" w:hAnsi="Arial" w:cs="Arial"/>
                <w:sz w:val="20"/>
                <w:szCs w:val="20"/>
              </w:rPr>
              <w:t xml:space="preserve">± </w:t>
            </w:r>
            <w:r w:rsidRPr="00EE4EE5">
              <w:rPr>
                <w:rFonts w:ascii="Arial" w:hAnsi="Arial" w:cs="Arial"/>
                <w:color w:val="000000"/>
                <w:sz w:val="20"/>
                <w:szCs w:val="20"/>
              </w:rPr>
              <w:t>9.37</w:t>
            </w:r>
          </w:p>
        </w:tc>
      </w:tr>
      <w:tr w:rsidR="00DB521A" w:rsidRPr="00EE4EE5" w14:paraId="62EB30B1" w14:textId="77777777" w:rsidTr="0057380D">
        <w:tc>
          <w:tcPr>
            <w:tcW w:w="2254" w:type="dxa"/>
            <w:vAlign w:val="center"/>
          </w:tcPr>
          <w:p w14:paraId="7928D4C0" w14:textId="77777777" w:rsidR="00DB521A" w:rsidRPr="00EE4EE5" w:rsidRDefault="00DB521A"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2E76AFE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7.56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1A46146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6.14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D892F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7.99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3E0A3BEB" w14:textId="77777777" w:rsidTr="0057380D">
        <w:tc>
          <w:tcPr>
            <w:tcW w:w="2254" w:type="dxa"/>
            <w:vAlign w:val="center"/>
          </w:tcPr>
          <w:p w14:paraId="73B7E6B1" w14:textId="77777777" w:rsidR="00DB521A" w:rsidRPr="00EE4EE5" w:rsidRDefault="00DB521A"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7119FFD2"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152.82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0.36</w:t>
            </w:r>
          </w:p>
        </w:tc>
        <w:tc>
          <w:tcPr>
            <w:tcW w:w="2417" w:type="dxa"/>
            <w:vAlign w:val="bottom"/>
          </w:tcPr>
          <w:p w14:paraId="0D780E4F"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172.09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0.39</w:t>
            </w:r>
          </w:p>
        </w:tc>
        <w:tc>
          <w:tcPr>
            <w:tcW w:w="2091" w:type="dxa"/>
            <w:vAlign w:val="bottom"/>
          </w:tcPr>
          <w:p w14:paraId="51C99948"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150.57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0.31</w:t>
            </w:r>
          </w:p>
        </w:tc>
      </w:tr>
      <w:tr w:rsidR="00DB521A" w:rsidRPr="00EE4EE5" w14:paraId="52942E94" w14:textId="77777777" w:rsidTr="0057380D">
        <w:tc>
          <w:tcPr>
            <w:tcW w:w="2254" w:type="dxa"/>
            <w:vAlign w:val="center"/>
          </w:tcPr>
          <w:p w14:paraId="29A97B44" w14:textId="77777777" w:rsidR="00DB521A" w:rsidRPr="00EE4EE5" w:rsidRDefault="00DB521A"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65EAB1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1399.50 </w:t>
            </w:r>
            <w:r w:rsidRPr="00EE4EE5">
              <w:rPr>
                <w:rFonts w:ascii="Arial" w:hAnsi="Arial" w:cs="Arial"/>
                <w:sz w:val="20"/>
                <w:szCs w:val="20"/>
              </w:rPr>
              <w:t xml:space="preserve">± </w:t>
            </w:r>
            <w:r w:rsidRPr="00EE4EE5">
              <w:rPr>
                <w:rFonts w:ascii="Arial" w:hAnsi="Arial" w:cs="Arial"/>
                <w:color w:val="000000"/>
                <w:sz w:val="20"/>
                <w:szCs w:val="20"/>
              </w:rPr>
              <w:t>0.44</w:t>
            </w:r>
          </w:p>
        </w:tc>
        <w:tc>
          <w:tcPr>
            <w:tcW w:w="2417" w:type="dxa"/>
            <w:vAlign w:val="bottom"/>
          </w:tcPr>
          <w:p w14:paraId="77B4C87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1347.43 </w:t>
            </w:r>
            <w:r w:rsidRPr="00EE4EE5">
              <w:rPr>
                <w:rFonts w:ascii="Arial" w:hAnsi="Arial" w:cs="Arial"/>
                <w:sz w:val="20"/>
                <w:szCs w:val="20"/>
              </w:rPr>
              <w:t xml:space="preserve">± </w:t>
            </w:r>
            <w:r w:rsidRPr="00EE4EE5">
              <w:rPr>
                <w:rFonts w:ascii="Arial" w:hAnsi="Arial" w:cs="Arial"/>
                <w:color w:val="000000"/>
                <w:sz w:val="20"/>
                <w:szCs w:val="20"/>
              </w:rPr>
              <w:t>0.96</w:t>
            </w:r>
          </w:p>
        </w:tc>
        <w:tc>
          <w:tcPr>
            <w:tcW w:w="2091" w:type="dxa"/>
            <w:vAlign w:val="bottom"/>
          </w:tcPr>
          <w:p w14:paraId="6D7C3F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1440.66 </w:t>
            </w:r>
            <w:r w:rsidRPr="00EE4EE5">
              <w:rPr>
                <w:rFonts w:ascii="Arial" w:hAnsi="Arial" w:cs="Arial"/>
                <w:sz w:val="20"/>
                <w:szCs w:val="20"/>
              </w:rPr>
              <w:t xml:space="preserve">± </w:t>
            </w:r>
            <w:r w:rsidRPr="00EE4EE5">
              <w:rPr>
                <w:rFonts w:ascii="Arial" w:hAnsi="Arial" w:cs="Arial"/>
                <w:color w:val="000000"/>
                <w:sz w:val="20"/>
                <w:szCs w:val="20"/>
              </w:rPr>
              <w:t>1.03</w:t>
            </w:r>
          </w:p>
        </w:tc>
      </w:tr>
      <w:tr w:rsidR="00DB521A" w:rsidRPr="00EE4EE5" w14:paraId="3396A4D9" w14:textId="77777777" w:rsidTr="0057380D">
        <w:tc>
          <w:tcPr>
            <w:tcW w:w="2254" w:type="dxa"/>
            <w:vAlign w:val="center"/>
          </w:tcPr>
          <w:p w14:paraId="19CBCEFE" w14:textId="77777777" w:rsidR="00DB521A" w:rsidRPr="00EE4EE5" w:rsidRDefault="00DB521A"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3AD096F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67.067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6F3CD134"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73.92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0B32B6A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71.92 </w:t>
            </w:r>
            <w:r w:rsidRPr="00EE4EE5">
              <w:rPr>
                <w:rFonts w:ascii="Arial" w:hAnsi="Arial" w:cs="Arial"/>
                <w:sz w:val="20"/>
                <w:szCs w:val="20"/>
              </w:rPr>
              <w:t xml:space="preserve">± </w:t>
            </w:r>
            <w:r w:rsidRPr="00EE4EE5">
              <w:rPr>
                <w:rFonts w:ascii="Arial" w:hAnsi="Arial" w:cs="Arial"/>
                <w:color w:val="000000"/>
                <w:sz w:val="20"/>
                <w:szCs w:val="20"/>
              </w:rPr>
              <w:t>0.16</w:t>
            </w:r>
          </w:p>
        </w:tc>
      </w:tr>
    </w:tbl>
    <w:p w14:paraId="4F400F99" w14:textId="4DA38827" w:rsidR="00DB521A" w:rsidRPr="00EE4EE5" w:rsidRDefault="00DB521A" w:rsidP="00FD5D49">
      <w:pPr>
        <w:spacing w:line="360" w:lineRule="auto"/>
        <w:rPr>
          <w:rFonts w:ascii="Arial" w:hAnsi="Arial" w:cs="Arial"/>
          <w:sz w:val="20"/>
          <w:szCs w:val="20"/>
          <w:lang w:val="en-US"/>
        </w:rPr>
      </w:pPr>
    </w:p>
    <w:p w14:paraId="3CC7011F" w14:textId="796700B7" w:rsidR="00F07833" w:rsidRPr="00EE4EE5" w:rsidRDefault="00F07833" w:rsidP="00A53320">
      <w:pPr>
        <w:spacing w:line="360" w:lineRule="auto"/>
        <w:jc w:val="both"/>
        <w:rPr>
          <w:rFonts w:ascii="Arial" w:hAnsi="Arial" w:cs="Arial"/>
          <w:b/>
          <w:sz w:val="20"/>
          <w:szCs w:val="20"/>
          <w:lang w:val="en-US"/>
        </w:rPr>
      </w:pPr>
      <w:r w:rsidRPr="00EE4EE5">
        <w:rPr>
          <w:rFonts w:ascii="Arial" w:hAnsi="Arial" w:cs="Arial"/>
          <w:sz w:val="20"/>
          <w:szCs w:val="20"/>
        </w:rPr>
        <w:t xml:space="preserve">The findings pertaining to the edaphic and chemical properties of soil in Coastal and Agricultural regions are documented in Table 3 and Table 4, respectively. The mean soil moisture content observed in coastal regions was 76.87% during the monsoon season, 65.93% in the post-monsoon period, and 61.23% in the pre-monsoon phase. Conversely, the mean soil moisture content recorded in agricultural areas was 86.29% during the monsoon, 82.30% in the post-monsoon, and 77.64% in the pre-monsoon. The two-way ANOVA indicated statistically significant variations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 xml:space="preserve">&lt;0.05) </w:t>
      </w:r>
      <w:r w:rsidRPr="00EE4EE5">
        <w:rPr>
          <w:rFonts w:ascii="Arial" w:hAnsi="Arial" w:cs="Arial"/>
          <w:sz w:val="20"/>
          <w:szCs w:val="20"/>
        </w:rPr>
        <w:t xml:space="preserve">and temporal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soil temperature in coastal regions was found to be 22.54°C during the monsoon, 24.51°C in the post-monsoon, and 25.64°C in the pre-monsoon. In contrast, agricultural lands exhibited monsoon temperatures of 23.21°C, post-monsoon temperatures of 25.14°C, and pre-monsoon temperatures of 26.22°C. The two-way ANOVA further elucidated significant </w:t>
      </w:r>
      <w:r w:rsidRPr="00EE4EE5">
        <w:rPr>
          <w:rFonts w:ascii="Arial" w:hAnsi="Arial" w:cs="Arial"/>
          <w:sz w:val="20"/>
          <w:szCs w:val="20"/>
        </w:rPr>
        <w:lastRenderedPageBreak/>
        <w:t xml:space="preserve">differences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seasonal variations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pH level of the soil in coastal regions was recorded at 5.32 during the monsoon season, 4.26 in the post-monsoon phase, and 3.97 in the pre-monsoon period. Conversely, the agricultural land exhibited a pH level of 5.53 during the pre-monsoon, 4.52 in the post-monsoon, and 4.09 throughout the monsoon. The two-way ANOVA indicated that there were statistically significant differences across both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In coastal regions, the average organic matter content of the soil was determined to be 3.36% during the monsoon season, 4.39% in the post-monsoon phase, and 4.58% throughout the pre-monsoon period. The mean organic carbon content in the agricultural sector was observed to be 4.17% during the monsoon, 4.75% in the post-monsoon, and 5.39% during the pre-monsoon. The two-way ANOVA analysis demonstrated significant variances between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across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p>
    <w:p w14:paraId="4676F70E" w14:textId="613CBE6C" w:rsidR="00F07833" w:rsidRPr="00EE4EE5" w:rsidRDefault="00F07833" w:rsidP="00F07833">
      <w:pPr>
        <w:pStyle w:val="NormalWeb"/>
        <w:spacing w:line="360" w:lineRule="auto"/>
        <w:jc w:val="both"/>
        <w:rPr>
          <w:rFonts w:ascii="Arial" w:hAnsi="Arial" w:cs="Arial"/>
          <w:sz w:val="20"/>
          <w:szCs w:val="20"/>
        </w:rPr>
      </w:pPr>
      <w:r w:rsidRPr="00EE4EE5">
        <w:rPr>
          <w:rFonts w:ascii="Arial" w:hAnsi="Arial" w:cs="Arial"/>
          <w:sz w:val="20"/>
          <w:szCs w:val="20"/>
        </w:rPr>
        <w:t>On average, the proportion of exchangeable acid present in coastal regions was recorded at 2.11% during the monsoon season, 2.74% in the post-monsoon period, and 2.57% in the pre-monsoon phase. The mean exchangeable acid concentration within the agricultural sector was observed to be 63.14% during the monsoon, 60.52% following the monsoon, and 66.24% preceding the monsoon.</w:t>
      </w:r>
      <w:r w:rsidR="00DB39F4" w:rsidRPr="00EE4EE5">
        <w:rPr>
          <w:rFonts w:ascii="Arial" w:hAnsi="Arial" w:cs="Arial"/>
          <w:sz w:val="20"/>
          <w:szCs w:val="20"/>
        </w:rPr>
        <w:t xml:space="preserve"> </w:t>
      </w:r>
      <w:r w:rsidRPr="00EE4EE5">
        <w:rPr>
          <w:rFonts w:ascii="Arial" w:hAnsi="Arial" w:cs="Arial"/>
          <w:sz w:val="20"/>
          <w:szCs w:val="20"/>
        </w:rPr>
        <w:t>In terms of exchangeable base, coastal land exhibited an average percentage of 5.44% throughout the monsoon season, 10.47% during the post-monsoon interval, and 4.95% in the pre-monsoon timeframe. The mean value of exchangeable base within the agricultural landscape was determined to be 12.26% during the monsoon, 10.46% in the post-monsoon, and 9.48% prior to the monsoon.</w:t>
      </w:r>
      <w:r w:rsidR="00DB39F4" w:rsidRPr="00EE4EE5">
        <w:rPr>
          <w:rFonts w:ascii="Arial" w:hAnsi="Arial" w:cs="Arial"/>
          <w:sz w:val="20"/>
          <w:szCs w:val="20"/>
        </w:rPr>
        <w:t xml:space="preserve"> </w:t>
      </w:r>
      <w:r w:rsidRPr="00EE4EE5">
        <w:rPr>
          <w:rFonts w:ascii="Arial" w:hAnsi="Arial" w:cs="Arial"/>
          <w:sz w:val="20"/>
          <w:szCs w:val="20"/>
        </w:rPr>
        <w:t>Coastal land demonstrated an average sand content percentage of 82.45% during the monsoon, 65.53% in the post-monsoon, and 63.17% during the pre-monsoon. Conversely, the average sand composition in the agricultural domain was found to be 53.08% during the monsoon, 55.48% in the post-monsoon, and 58.90% in the pre-</w:t>
      </w:r>
      <w:r w:rsidR="00DB39F4" w:rsidRPr="00EE4EE5">
        <w:rPr>
          <w:rFonts w:ascii="Arial" w:hAnsi="Arial" w:cs="Arial"/>
          <w:sz w:val="20"/>
          <w:szCs w:val="20"/>
        </w:rPr>
        <w:t>monsoon. On</w:t>
      </w:r>
      <w:r w:rsidRPr="00EE4EE5">
        <w:rPr>
          <w:rFonts w:ascii="Arial" w:hAnsi="Arial" w:cs="Arial"/>
          <w:sz w:val="20"/>
          <w:szCs w:val="20"/>
        </w:rPr>
        <w:t xml:space="preserve"> average, the calculated proportion of silt content in soil of coastal area was 7.27% prior to the onset of the monsoon, 12.66% during the post-monsoon, and 10.57% amidst the monsoon season. In agricultural regions, the mean silt content is observed to be 20.16% during the monsoon, 18.15% in the post-monsoon period, and 17.06% preceding the </w:t>
      </w:r>
      <w:r w:rsidR="00DB39F4" w:rsidRPr="00EE4EE5">
        <w:rPr>
          <w:rFonts w:ascii="Arial" w:hAnsi="Arial" w:cs="Arial"/>
          <w:sz w:val="20"/>
          <w:szCs w:val="20"/>
        </w:rPr>
        <w:t>monsoon. The</w:t>
      </w:r>
      <w:r w:rsidRPr="00EE4EE5">
        <w:rPr>
          <w:rFonts w:ascii="Arial" w:hAnsi="Arial" w:cs="Arial"/>
          <w:sz w:val="20"/>
          <w:szCs w:val="20"/>
        </w:rPr>
        <w:t xml:space="preserve"> average concentration of clay found within coastal soils was determined to be 11.09% during the monsoon season, 14.00% in the post-monsoon phase, and 10.87% prior to the monsoon. Conversely, the mean clay content in agricultural areas is reported to be 25.63% during the monsoon, 24.06% subsequent to the monsoon, and 22.64% before the commencement of the monsoon. Notable disparities were identified between different habitats </w:t>
      </w:r>
      <w:r w:rsidR="00E250EE" w:rsidRPr="00EE4EE5">
        <w:rPr>
          <w:rFonts w:ascii="Arial" w:hAnsi="Arial" w:cs="Arial"/>
          <w:sz w:val="20"/>
          <w:szCs w:val="20"/>
        </w:rPr>
        <w:t>(</w:t>
      </w:r>
      <w:r w:rsidR="00E250EE" w:rsidRPr="00EE4EE5">
        <w:rPr>
          <w:rFonts w:ascii="Arial" w:hAnsi="Arial" w:cs="Arial"/>
          <w:i/>
          <w:sz w:val="20"/>
          <w:szCs w:val="20"/>
        </w:rPr>
        <w:t>P</w:t>
      </w:r>
      <w:r w:rsidR="00E250EE" w:rsidRPr="00EE4EE5">
        <w:rPr>
          <w:rFonts w:ascii="Arial" w:hAnsi="Arial" w:cs="Arial"/>
          <w:sz w:val="20"/>
          <w:szCs w:val="20"/>
        </w:rPr>
        <w:t>&lt;0.05)</w:t>
      </w:r>
      <w:r w:rsidRPr="00EE4EE5">
        <w:rPr>
          <w:rFonts w:ascii="Arial" w:hAnsi="Arial" w:cs="Arial"/>
          <w:sz w:val="20"/>
          <w:szCs w:val="20"/>
        </w:rPr>
        <w:t xml:space="preserve"> and across various seasons </w:t>
      </w:r>
      <w:r w:rsidR="008326EE" w:rsidRPr="00EE4EE5">
        <w:rPr>
          <w:rFonts w:ascii="Arial" w:hAnsi="Arial" w:cs="Arial"/>
          <w:sz w:val="20"/>
          <w:szCs w:val="20"/>
        </w:rPr>
        <w:t>(</w:t>
      </w:r>
      <w:r w:rsidR="008326EE" w:rsidRPr="00EE4EE5">
        <w:rPr>
          <w:rFonts w:ascii="Arial" w:hAnsi="Arial" w:cs="Arial"/>
          <w:i/>
          <w:sz w:val="20"/>
          <w:szCs w:val="20"/>
        </w:rPr>
        <w:t>P</w:t>
      </w:r>
      <w:r w:rsidR="008326EE" w:rsidRPr="00EE4EE5">
        <w:rPr>
          <w:rFonts w:ascii="Arial" w:hAnsi="Arial" w:cs="Arial"/>
          <w:sz w:val="20"/>
          <w:szCs w:val="20"/>
        </w:rPr>
        <w:t xml:space="preserve">&lt;0.05) </w:t>
      </w:r>
      <w:r w:rsidRPr="00EE4EE5">
        <w:rPr>
          <w:rFonts w:ascii="Arial" w:hAnsi="Arial" w:cs="Arial"/>
          <w:sz w:val="20"/>
          <w:szCs w:val="20"/>
        </w:rPr>
        <w:t>concerning all examined edaphic parameters.</w:t>
      </w:r>
    </w:p>
    <w:p w14:paraId="02F78295" w14:textId="60D9F5CD" w:rsidR="007A2080" w:rsidRPr="00EE4EE5" w:rsidRDefault="00F07833" w:rsidP="00DB39F4">
      <w:pPr>
        <w:pStyle w:val="NormalWeb"/>
        <w:spacing w:line="360" w:lineRule="auto"/>
        <w:jc w:val="both"/>
        <w:rPr>
          <w:rFonts w:ascii="Arial" w:hAnsi="Arial" w:cs="Arial"/>
          <w:sz w:val="20"/>
          <w:szCs w:val="20"/>
        </w:rPr>
      </w:pPr>
      <w:r w:rsidRPr="00EE4EE5">
        <w:rPr>
          <w:rFonts w:ascii="Arial" w:hAnsi="Arial" w:cs="Arial"/>
          <w:sz w:val="20"/>
          <w:szCs w:val="20"/>
        </w:rPr>
        <w:t xml:space="preserve">The chemical constituents, including nitrogen (N), phosphorus (P), potassium (K), calcium (Ca), and magnesium (Mg), were analysed within the designated study regions. The coastal ecosystem displayed an average nitrogen concentration of 2454.14 ppm during the monsoon season, 4566.28 ppm in the post-monsoon phase, and 3563.84 ppm throughout the pre-monsoon period. The agricultural ecosystem exhibited nitrogen levels of 2738.51 ppm during the monsoon, 2623.75 ppm in the post-monsoon, and 2642.94 ppm during the pre-monsoon. The nitrogen concentrations in both agricultural and coastal habitats exhibited significant variability across different habitats </w:t>
      </w:r>
      <w:r w:rsidR="00D235BE" w:rsidRPr="00EE4EE5">
        <w:rPr>
          <w:rFonts w:ascii="Arial" w:hAnsi="Arial" w:cs="Arial"/>
          <w:sz w:val="20"/>
          <w:szCs w:val="20"/>
        </w:rPr>
        <w:t>(</w:t>
      </w:r>
      <w:r w:rsidR="00D235BE" w:rsidRPr="00EE4EE5">
        <w:rPr>
          <w:rFonts w:ascii="Arial" w:hAnsi="Arial" w:cs="Arial"/>
          <w:i/>
          <w:sz w:val="20"/>
          <w:szCs w:val="20"/>
        </w:rPr>
        <w:t>P</w:t>
      </w:r>
      <w:r w:rsidR="00D235BE" w:rsidRPr="00EE4EE5">
        <w:rPr>
          <w:rFonts w:ascii="Arial" w:hAnsi="Arial" w:cs="Arial"/>
          <w:sz w:val="20"/>
          <w:szCs w:val="20"/>
        </w:rPr>
        <w:t xml:space="preserve">&lt;0.05) </w:t>
      </w:r>
      <w:r w:rsidRPr="00EE4EE5">
        <w:rPr>
          <w:rFonts w:ascii="Arial" w:hAnsi="Arial" w:cs="Arial"/>
          <w:sz w:val="20"/>
          <w:szCs w:val="20"/>
        </w:rPr>
        <w:t xml:space="preserve">as well as across </w:t>
      </w:r>
      <w:r w:rsidRPr="00EE4EE5">
        <w:rPr>
          <w:rFonts w:ascii="Arial" w:hAnsi="Arial" w:cs="Arial"/>
          <w:sz w:val="20"/>
          <w:szCs w:val="20"/>
        </w:rPr>
        <w:lastRenderedPageBreak/>
        <w:t>seasonal changes (</w:t>
      </w:r>
      <w:r w:rsidRPr="00EE4EE5">
        <w:rPr>
          <w:rFonts w:ascii="Arial" w:hAnsi="Arial" w:cs="Arial"/>
          <w:i/>
          <w:sz w:val="20"/>
          <w:szCs w:val="20"/>
        </w:rPr>
        <w:t>P</w:t>
      </w:r>
      <w:r w:rsidRPr="00EE4EE5">
        <w:rPr>
          <w:rFonts w:ascii="Arial" w:hAnsi="Arial" w:cs="Arial"/>
          <w:sz w:val="20"/>
          <w:szCs w:val="20"/>
        </w:rPr>
        <w:t xml:space="preserve">&lt;0.05). The average concentration of phosphorus in coastal regions was recorded at 4.25 ppm during the monsoon season, 5.86 ppm in the post-monsoon period, and 4.34 ppm prior to the monsoon. In agricultural ecosystems, phosphorus concentrations exhibited mean values of 7.56 ppm during the monsoon, 6.14 ppm in the post-monsoon, and 7.99 ppm in the pre-monsoon phase. The phosphorus concentrations in forest and plantation habitats demonstrated statistically significant differences both across habitats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Pr="00EE4EE5">
        <w:rPr>
          <w:rFonts w:ascii="Arial" w:hAnsi="Arial" w:cs="Arial"/>
          <w:sz w:val="20"/>
          <w:szCs w:val="20"/>
        </w:rPr>
        <w:t xml:space="preserve"> and seasonal variations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00DB39F4" w:rsidRPr="00EE4EE5">
        <w:rPr>
          <w:rFonts w:ascii="Arial" w:hAnsi="Arial" w:cs="Arial"/>
          <w:sz w:val="20"/>
          <w:szCs w:val="20"/>
        </w:rPr>
        <w:t xml:space="preserve"> </w:t>
      </w:r>
      <w:r w:rsidRPr="00EE4EE5">
        <w:rPr>
          <w:rFonts w:ascii="Arial" w:hAnsi="Arial" w:cs="Arial"/>
          <w:sz w:val="20"/>
          <w:szCs w:val="20"/>
        </w:rPr>
        <w:t xml:space="preserve">An average potassium concentration of 445.07 ppm was observed during the monsoon, 197.29 ppm during the post-monsoon, and 397.74 ppm during the pre-monsoon in coastal environments. The mean potassium concentrations in agricultural habitats varied, measuring 152.82 ppm during the monsoon, 172.09 ppm in the post-monsoon, and 150.57 ppm during the pre-monsoon. The findings revealed a significant disparity between habitats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 xml:space="preserve">&lt;0.05) </w:t>
      </w:r>
      <w:r w:rsidRPr="00EE4EE5">
        <w:rPr>
          <w:rFonts w:ascii="Arial" w:hAnsi="Arial" w:cs="Arial"/>
          <w:sz w:val="20"/>
          <w:szCs w:val="20"/>
        </w:rPr>
        <w:t xml:space="preserve">and across different seasons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&lt;0.05)</w:t>
      </w:r>
      <w:r w:rsidRPr="00EE4EE5">
        <w:rPr>
          <w:rFonts w:ascii="Arial" w:hAnsi="Arial" w:cs="Arial"/>
          <w:sz w:val="20"/>
          <w:szCs w:val="20"/>
        </w:rPr>
        <w:t>.</w:t>
      </w:r>
      <w:r w:rsidR="00DB39F4" w:rsidRPr="00EE4EE5">
        <w:rPr>
          <w:rFonts w:ascii="Arial" w:hAnsi="Arial" w:cs="Arial"/>
          <w:sz w:val="20"/>
          <w:szCs w:val="20"/>
        </w:rPr>
        <w:t xml:space="preserve"> </w:t>
      </w:r>
      <w:r w:rsidRPr="00EE4EE5">
        <w:rPr>
          <w:rFonts w:ascii="Arial" w:hAnsi="Arial" w:cs="Arial"/>
          <w:sz w:val="20"/>
          <w:szCs w:val="20"/>
        </w:rPr>
        <w:t xml:space="preserve">The mean calcium concentration in the coastal region is quantified at 453.90 ppm throughout the monsoon season, 217.07 ppm during the post-monsoon phase, and 491.16 ppm in the pre-monsoon period. Conversely, the mean calcium concentrations within the agricultural sector are recorded at 1399.50 ppm prior to the onset of monsoon, 1347.43 ppm during the monsoon season, and 1440.66 ppm following the monsoon. Notably, significant fluctuations </w:t>
      </w:r>
      <w:r w:rsidR="00F949F2" w:rsidRPr="00EE4EE5">
        <w:rPr>
          <w:rFonts w:ascii="Arial" w:hAnsi="Arial" w:cs="Arial"/>
          <w:sz w:val="20"/>
          <w:szCs w:val="20"/>
        </w:rPr>
        <w:t>(</w:t>
      </w:r>
      <w:r w:rsidR="00F949F2" w:rsidRPr="00EE4EE5">
        <w:rPr>
          <w:rFonts w:ascii="Arial" w:hAnsi="Arial" w:cs="Arial"/>
          <w:i/>
          <w:sz w:val="20"/>
          <w:szCs w:val="20"/>
        </w:rPr>
        <w:t>P</w:t>
      </w:r>
      <w:r w:rsidR="00F949F2" w:rsidRPr="00EE4EE5">
        <w:rPr>
          <w:rFonts w:ascii="Arial" w:hAnsi="Arial" w:cs="Arial"/>
          <w:sz w:val="20"/>
          <w:szCs w:val="20"/>
        </w:rPr>
        <w:t>&lt;0.05)</w:t>
      </w:r>
      <w:r w:rsidRPr="00EE4EE5">
        <w:rPr>
          <w:rFonts w:ascii="Arial" w:hAnsi="Arial" w:cs="Arial"/>
          <w:sz w:val="20"/>
          <w:szCs w:val="20"/>
        </w:rPr>
        <w:t xml:space="preserve"> are observed in the calcium concentrations among the two distinct habitats and across various seasonal </w:t>
      </w:r>
      <w:r w:rsidR="00886B3A" w:rsidRPr="00EE4EE5">
        <w:rPr>
          <w:rFonts w:ascii="Arial" w:hAnsi="Arial" w:cs="Arial"/>
          <w:sz w:val="20"/>
          <w:szCs w:val="20"/>
        </w:rPr>
        <w:t>intervals. The</w:t>
      </w:r>
      <w:r w:rsidRPr="00EE4EE5">
        <w:rPr>
          <w:rFonts w:ascii="Arial" w:hAnsi="Arial" w:cs="Arial"/>
          <w:sz w:val="20"/>
          <w:szCs w:val="20"/>
        </w:rPr>
        <w:t xml:space="preserve"> average magnesium concentration within the coastal region is determined to be 51.43 ppm during the monsoon season, 44.77 ppm in the post-monsoon phase, and 54.84 ppm prior to the monsoon. In the agricultural sector, the average magnesium levels are assessed at 67.067 ppm during the monsoon season, 73.92 ppm in the post-monsoon, and 71.92 ppm during the pre-monsoon. Significant disparities in magnesium concentrations are evident between coastal and agricultural habitats, as well as across the different seasons </w:t>
      </w:r>
      <w:r w:rsidR="003E2939" w:rsidRPr="00EE4EE5">
        <w:rPr>
          <w:rFonts w:ascii="Arial" w:hAnsi="Arial" w:cs="Arial"/>
          <w:sz w:val="20"/>
          <w:szCs w:val="20"/>
        </w:rPr>
        <w:t>(</w:t>
      </w:r>
      <w:r w:rsidR="003E2939" w:rsidRPr="00EE4EE5">
        <w:rPr>
          <w:rFonts w:ascii="Arial" w:hAnsi="Arial" w:cs="Arial"/>
          <w:i/>
          <w:sz w:val="20"/>
          <w:szCs w:val="20"/>
        </w:rPr>
        <w:t>P</w:t>
      </w:r>
      <w:r w:rsidR="003E2939" w:rsidRPr="00EE4EE5">
        <w:rPr>
          <w:rFonts w:ascii="Arial" w:hAnsi="Arial" w:cs="Arial"/>
          <w:sz w:val="20"/>
          <w:szCs w:val="20"/>
        </w:rPr>
        <w:t>&lt;0.05)</w:t>
      </w:r>
      <w:r w:rsidRPr="00EE4EE5">
        <w:rPr>
          <w:rFonts w:ascii="Arial" w:hAnsi="Arial" w:cs="Arial"/>
          <w:sz w:val="20"/>
          <w:szCs w:val="20"/>
        </w:rPr>
        <w:t>.</w:t>
      </w:r>
    </w:p>
    <w:p w14:paraId="57773814" w14:textId="3B99E7E0" w:rsidR="00661CC3" w:rsidRPr="00EE4EE5" w:rsidRDefault="00840CA2" w:rsidP="0094640D">
      <w:pPr>
        <w:spacing w:line="360" w:lineRule="auto"/>
        <w:rPr>
          <w:rFonts w:ascii="Arial" w:hAnsi="Arial" w:cs="Arial"/>
          <w:b/>
          <w:sz w:val="20"/>
          <w:szCs w:val="20"/>
        </w:rPr>
      </w:pPr>
      <w:r w:rsidRPr="00EE4EE5">
        <w:rPr>
          <w:rFonts w:ascii="Arial" w:hAnsi="Arial" w:cs="Arial"/>
          <w:b/>
          <w:sz w:val="20"/>
          <w:szCs w:val="20"/>
        </w:rPr>
        <w:t xml:space="preserve">4.3 </w:t>
      </w:r>
      <w:r w:rsidR="00661CC3" w:rsidRPr="00EE4EE5">
        <w:rPr>
          <w:rFonts w:ascii="Arial" w:hAnsi="Arial" w:cs="Arial"/>
          <w:b/>
          <w:sz w:val="20"/>
          <w:szCs w:val="20"/>
        </w:rPr>
        <w:t>Principal Component Analysis</w:t>
      </w:r>
    </w:p>
    <w:p w14:paraId="4F05A23E" w14:textId="69978A5F" w:rsidR="007A2080" w:rsidRPr="00EE4EE5" w:rsidRDefault="007A2080" w:rsidP="0094640D">
      <w:pPr>
        <w:spacing w:line="360" w:lineRule="auto"/>
        <w:rPr>
          <w:rFonts w:ascii="Arial" w:hAnsi="Arial" w:cs="Arial"/>
          <w:b/>
          <w:sz w:val="20"/>
          <w:szCs w:val="20"/>
        </w:rPr>
      </w:pPr>
      <w:r w:rsidRPr="00EE4EE5">
        <w:rPr>
          <w:noProof/>
        </w:rPr>
        <w:drawing>
          <wp:inline distT="0" distB="0" distL="0" distR="0" wp14:anchorId="0ADE23B2" wp14:editId="4483D42C">
            <wp:extent cx="5572135" cy="2952750"/>
            <wp:effectExtent l="0" t="0" r="9525" b="0"/>
            <wp:docPr id="3" name="Picture 2">
              <a:extLst xmlns:a="http://schemas.openxmlformats.org/drawingml/2006/main">
                <a:ext uri="{FF2B5EF4-FFF2-40B4-BE49-F238E27FC236}">
                  <a16:creationId xmlns:a16="http://schemas.microsoft.com/office/drawing/2014/main" id="{7A2E133A-F99D-47E5-A282-7ED1022554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A2E133A-F99D-47E5-A282-7ED10225542A}"/>
                        </a:ext>
                      </a:extLst>
                    </pic:cNvPr>
                    <pic:cNvPicPr>
                      <a:picLocks noChangeAspect="1"/>
                    </pic:cNvPicPr>
                  </pic:nvPicPr>
                  <pic:blipFill>
                    <a:blip r:embed="rId9"/>
                    <a:stretch>
                      <a:fillRect/>
                    </a:stretch>
                  </pic:blipFill>
                  <pic:spPr>
                    <a:xfrm>
                      <a:off x="0" y="0"/>
                      <a:ext cx="5601471" cy="2968296"/>
                    </a:xfrm>
                    <a:prstGeom prst="rect">
                      <a:avLst/>
                    </a:prstGeom>
                  </pic:spPr>
                </pic:pic>
              </a:graphicData>
            </a:graphic>
          </wp:inline>
        </w:drawing>
      </w:r>
    </w:p>
    <w:p w14:paraId="560E514D" w14:textId="150F295B"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3</w:t>
      </w:r>
      <w:r w:rsidRPr="00EE4EE5">
        <w:rPr>
          <w:rFonts w:ascii="Arial" w:hAnsi="Arial" w:cs="Arial"/>
          <w:b/>
          <w:lang w:val="en-US"/>
        </w:rPr>
        <w:t>. Principal Components Controlling the isopod population in Coastal area during monsoon season</w:t>
      </w:r>
    </w:p>
    <w:p w14:paraId="4B9E3D50" w14:textId="77777777" w:rsidR="007A2080" w:rsidRPr="00EE4EE5" w:rsidRDefault="007A2080" w:rsidP="007503E8">
      <w:pPr>
        <w:spacing w:line="360" w:lineRule="auto"/>
        <w:jc w:val="both"/>
        <w:rPr>
          <w:rFonts w:ascii="Arial" w:hAnsi="Arial" w:cs="Arial"/>
          <w:b/>
          <w:lang w:val="en-US"/>
        </w:rPr>
      </w:pPr>
    </w:p>
    <w:p w14:paraId="436D3913" w14:textId="2E801E7C" w:rsidR="007503E8" w:rsidRPr="00EE4EE5" w:rsidRDefault="007A2080" w:rsidP="007503E8">
      <w:pPr>
        <w:spacing w:line="360" w:lineRule="auto"/>
        <w:jc w:val="both"/>
        <w:rPr>
          <w:rFonts w:ascii="Arial" w:hAnsi="Arial" w:cs="Arial"/>
          <w:b/>
          <w:lang w:val="en-US"/>
        </w:rPr>
      </w:pPr>
      <w:r w:rsidRPr="00EE4EE5">
        <w:rPr>
          <w:noProof/>
        </w:rPr>
        <w:drawing>
          <wp:inline distT="0" distB="0" distL="0" distR="0" wp14:anchorId="4AA5EA20" wp14:editId="4DE85A0B">
            <wp:extent cx="5658145" cy="2867025"/>
            <wp:effectExtent l="0" t="0" r="0" b="0"/>
            <wp:docPr id="2" name="Picture 1">
              <a:extLst xmlns:a="http://schemas.openxmlformats.org/drawingml/2006/main">
                <a:ext uri="{FF2B5EF4-FFF2-40B4-BE49-F238E27FC236}">
                  <a16:creationId xmlns:a16="http://schemas.microsoft.com/office/drawing/2014/main" id="{19EBD855-46EF-42D2-A86E-BD2B38E8F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EBD855-46EF-42D2-A86E-BD2B38E8F9BF}"/>
                        </a:ext>
                      </a:extLst>
                    </pic:cNvPr>
                    <pic:cNvPicPr>
                      <a:picLocks noChangeAspect="1"/>
                    </pic:cNvPicPr>
                  </pic:nvPicPr>
                  <pic:blipFill>
                    <a:blip r:embed="rId10"/>
                    <a:stretch>
                      <a:fillRect/>
                    </a:stretch>
                  </pic:blipFill>
                  <pic:spPr>
                    <a:xfrm>
                      <a:off x="0" y="0"/>
                      <a:ext cx="5720589" cy="2898666"/>
                    </a:xfrm>
                    <a:prstGeom prst="rect">
                      <a:avLst/>
                    </a:prstGeom>
                  </pic:spPr>
                </pic:pic>
              </a:graphicData>
            </a:graphic>
          </wp:inline>
        </w:drawing>
      </w:r>
      <w:r w:rsidR="007503E8" w:rsidRPr="00EE4EE5">
        <w:rPr>
          <w:rFonts w:ascii="Arial" w:hAnsi="Arial" w:cs="Arial"/>
          <w:b/>
          <w:lang w:val="en-US"/>
        </w:rPr>
        <w:t xml:space="preserve">Figure </w:t>
      </w:r>
      <w:r w:rsidR="00323F90">
        <w:rPr>
          <w:rFonts w:ascii="Arial" w:hAnsi="Arial" w:cs="Arial"/>
          <w:b/>
          <w:lang w:val="en-US"/>
        </w:rPr>
        <w:t>4</w:t>
      </w:r>
      <w:r w:rsidR="007503E8" w:rsidRPr="00EE4EE5">
        <w:rPr>
          <w:rFonts w:ascii="Arial" w:hAnsi="Arial" w:cs="Arial"/>
          <w:b/>
          <w:lang w:val="en-US"/>
        </w:rPr>
        <w:t>. Principal Components Controlling the isopod population in Coastal area during post monsoon season</w:t>
      </w:r>
    </w:p>
    <w:p w14:paraId="7AB1B283" w14:textId="77777777" w:rsidR="007A2080" w:rsidRPr="00EE4EE5" w:rsidRDefault="007A2080" w:rsidP="007503E8">
      <w:pPr>
        <w:spacing w:line="360" w:lineRule="auto"/>
        <w:jc w:val="both"/>
        <w:rPr>
          <w:rFonts w:ascii="Arial" w:hAnsi="Arial" w:cs="Arial"/>
          <w:b/>
          <w:lang w:val="en-US"/>
        </w:rPr>
      </w:pPr>
      <w:r w:rsidRPr="00EE4EE5">
        <w:rPr>
          <w:noProof/>
        </w:rPr>
        <w:drawing>
          <wp:inline distT="0" distB="0" distL="0" distR="0" wp14:anchorId="5E3FC3BD" wp14:editId="6B8C29E3">
            <wp:extent cx="6027485" cy="3124200"/>
            <wp:effectExtent l="0" t="0" r="0" b="0"/>
            <wp:docPr id="1" name="Picture 2">
              <a:extLst xmlns:a="http://schemas.openxmlformats.org/drawingml/2006/main">
                <a:ext uri="{FF2B5EF4-FFF2-40B4-BE49-F238E27FC236}">
                  <a16:creationId xmlns:a16="http://schemas.microsoft.com/office/drawing/2014/main" id="{AFBE78DF-F86D-4F26-8E76-01AE5F02D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FBE78DF-F86D-4F26-8E76-01AE5F02D422}"/>
                        </a:ext>
                      </a:extLst>
                    </pic:cNvPr>
                    <pic:cNvPicPr>
                      <a:picLocks noChangeAspect="1"/>
                    </pic:cNvPicPr>
                  </pic:nvPicPr>
                  <pic:blipFill>
                    <a:blip r:embed="rId11"/>
                    <a:stretch>
                      <a:fillRect/>
                    </a:stretch>
                  </pic:blipFill>
                  <pic:spPr>
                    <a:xfrm>
                      <a:off x="0" y="0"/>
                      <a:ext cx="6029451" cy="3125219"/>
                    </a:xfrm>
                    <a:prstGeom prst="rect">
                      <a:avLst/>
                    </a:prstGeom>
                  </pic:spPr>
                </pic:pic>
              </a:graphicData>
            </a:graphic>
          </wp:inline>
        </w:drawing>
      </w:r>
    </w:p>
    <w:p w14:paraId="3C974D62" w14:textId="190AA3E5"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5</w:t>
      </w:r>
      <w:r w:rsidRPr="00EE4EE5">
        <w:rPr>
          <w:rFonts w:ascii="Arial" w:hAnsi="Arial" w:cs="Arial"/>
          <w:b/>
          <w:lang w:val="en-US"/>
        </w:rPr>
        <w:t xml:space="preserve">. Principal Components Controlling the isopod population in Coastal area during </w:t>
      </w:r>
      <w:r w:rsidR="005E6A89" w:rsidRPr="00EE4EE5">
        <w:rPr>
          <w:rFonts w:ascii="Arial" w:hAnsi="Arial" w:cs="Arial"/>
          <w:b/>
          <w:lang w:val="en-US"/>
        </w:rPr>
        <w:t>pre-monsoon</w:t>
      </w:r>
      <w:r w:rsidRPr="00EE4EE5">
        <w:rPr>
          <w:rFonts w:ascii="Arial" w:hAnsi="Arial" w:cs="Arial"/>
          <w:b/>
          <w:lang w:val="en-US"/>
        </w:rPr>
        <w:t xml:space="preserve"> season</w:t>
      </w:r>
    </w:p>
    <w:p w14:paraId="6361D84C" w14:textId="77777777" w:rsidR="007A2080" w:rsidRPr="00EE4EE5" w:rsidRDefault="007A2080" w:rsidP="007503E8">
      <w:pPr>
        <w:spacing w:line="360" w:lineRule="auto"/>
        <w:jc w:val="both"/>
        <w:rPr>
          <w:rFonts w:ascii="Arial" w:hAnsi="Arial" w:cs="Arial"/>
          <w:b/>
          <w:lang w:val="en-US"/>
        </w:rPr>
      </w:pPr>
    </w:p>
    <w:p w14:paraId="25C6E4DB" w14:textId="115AEFCB" w:rsidR="007A2080" w:rsidRPr="00EE4EE5" w:rsidRDefault="007A2080" w:rsidP="007503E8">
      <w:pPr>
        <w:spacing w:line="360" w:lineRule="auto"/>
        <w:jc w:val="both"/>
        <w:rPr>
          <w:rFonts w:ascii="Arial" w:hAnsi="Arial" w:cs="Arial"/>
          <w:b/>
          <w:lang w:val="en-US"/>
        </w:rPr>
      </w:pPr>
      <w:r w:rsidRPr="00EE4EE5">
        <w:rPr>
          <w:noProof/>
        </w:rPr>
        <w:lastRenderedPageBreak/>
        <w:drawing>
          <wp:inline distT="0" distB="0" distL="0" distR="0" wp14:anchorId="68ADFB96" wp14:editId="1E8E3866">
            <wp:extent cx="5768869" cy="3152775"/>
            <wp:effectExtent l="0" t="0" r="3810" b="0"/>
            <wp:docPr id="4" name="Picture 1">
              <a:extLst xmlns:a="http://schemas.openxmlformats.org/drawingml/2006/main">
                <a:ext uri="{FF2B5EF4-FFF2-40B4-BE49-F238E27FC236}">
                  <a16:creationId xmlns:a16="http://schemas.microsoft.com/office/drawing/2014/main" id="{391AC08A-78AF-46E8-9CCD-4F7336C01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91AC08A-78AF-46E8-9CCD-4F7336C01272}"/>
                        </a:ext>
                      </a:extLst>
                    </pic:cNvPr>
                    <pic:cNvPicPr>
                      <a:picLocks noChangeAspect="1"/>
                    </pic:cNvPicPr>
                  </pic:nvPicPr>
                  <pic:blipFill>
                    <a:blip r:embed="rId12"/>
                    <a:stretch>
                      <a:fillRect/>
                    </a:stretch>
                  </pic:blipFill>
                  <pic:spPr>
                    <a:xfrm>
                      <a:off x="0" y="0"/>
                      <a:ext cx="5772792" cy="3154919"/>
                    </a:xfrm>
                    <a:prstGeom prst="rect">
                      <a:avLst/>
                    </a:prstGeom>
                  </pic:spPr>
                </pic:pic>
              </a:graphicData>
            </a:graphic>
          </wp:inline>
        </w:drawing>
      </w:r>
    </w:p>
    <w:p w14:paraId="73A54E28" w14:textId="1866CB12" w:rsidR="007A2080" w:rsidRPr="00EE4EE5" w:rsidRDefault="00181603"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6</w:t>
      </w:r>
      <w:r w:rsidRPr="00EE4EE5">
        <w:rPr>
          <w:rFonts w:ascii="Arial" w:hAnsi="Arial" w:cs="Arial"/>
          <w:b/>
          <w:lang w:val="en-US"/>
        </w:rPr>
        <w:t>. Principal Components Controlling the isopod population in Agricultural area during monsoon season</w:t>
      </w:r>
    </w:p>
    <w:p w14:paraId="4E6572CF" w14:textId="6A8D28A6" w:rsidR="007A2080" w:rsidRPr="00EE4EE5" w:rsidRDefault="007A2080" w:rsidP="005E6A89">
      <w:pPr>
        <w:spacing w:line="360" w:lineRule="auto"/>
        <w:jc w:val="both"/>
        <w:rPr>
          <w:rFonts w:ascii="Arial" w:hAnsi="Arial" w:cs="Arial"/>
          <w:b/>
          <w:lang w:val="en-US"/>
        </w:rPr>
      </w:pPr>
      <w:r w:rsidRPr="00EE4EE5">
        <w:rPr>
          <w:noProof/>
        </w:rPr>
        <w:drawing>
          <wp:inline distT="0" distB="0" distL="0" distR="0" wp14:anchorId="73402B34" wp14:editId="3073EE63">
            <wp:extent cx="5806495" cy="3076575"/>
            <wp:effectExtent l="0" t="0" r="3810" b="0"/>
            <wp:docPr id="5" name="Picture 1">
              <a:extLst xmlns:a="http://schemas.openxmlformats.org/drawingml/2006/main">
                <a:ext uri="{FF2B5EF4-FFF2-40B4-BE49-F238E27FC236}">
                  <a16:creationId xmlns:a16="http://schemas.microsoft.com/office/drawing/2014/main" id="{A35E9887-8660-4648-8A21-357FA6326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35E9887-8660-4648-8A21-357FA6326BF0}"/>
                        </a:ext>
                      </a:extLst>
                    </pic:cNvPr>
                    <pic:cNvPicPr>
                      <a:picLocks noChangeAspect="1"/>
                    </pic:cNvPicPr>
                  </pic:nvPicPr>
                  <pic:blipFill>
                    <a:blip r:embed="rId13"/>
                    <a:stretch>
                      <a:fillRect/>
                    </a:stretch>
                  </pic:blipFill>
                  <pic:spPr>
                    <a:xfrm>
                      <a:off x="0" y="0"/>
                      <a:ext cx="5821469" cy="3084509"/>
                    </a:xfrm>
                    <a:prstGeom prst="rect">
                      <a:avLst/>
                    </a:prstGeom>
                  </pic:spPr>
                </pic:pic>
              </a:graphicData>
            </a:graphic>
          </wp:inline>
        </w:drawing>
      </w:r>
    </w:p>
    <w:p w14:paraId="445D5C98" w14:textId="77777777" w:rsidR="007A2080" w:rsidRPr="00EE4EE5" w:rsidRDefault="007A2080" w:rsidP="005E6A89">
      <w:pPr>
        <w:spacing w:line="360" w:lineRule="auto"/>
        <w:jc w:val="both"/>
        <w:rPr>
          <w:rFonts w:ascii="Arial" w:hAnsi="Arial" w:cs="Arial"/>
          <w:b/>
          <w:lang w:val="en-US"/>
        </w:rPr>
      </w:pPr>
    </w:p>
    <w:p w14:paraId="42322BF3" w14:textId="3A07A001"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7</w:t>
      </w:r>
      <w:r w:rsidRPr="00EE4EE5">
        <w:rPr>
          <w:rFonts w:ascii="Arial" w:hAnsi="Arial" w:cs="Arial"/>
          <w:b/>
          <w:lang w:val="en-US"/>
        </w:rPr>
        <w:t>. Principal Components Controlling the isopod population in Agricultural area during post monsoon season</w:t>
      </w:r>
    </w:p>
    <w:p w14:paraId="0055BA60" w14:textId="218F126D" w:rsidR="007A2080" w:rsidRPr="00EE4EE5" w:rsidRDefault="007A2080" w:rsidP="005E6A89">
      <w:pPr>
        <w:spacing w:line="360" w:lineRule="auto"/>
        <w:jc w:val="both"/>
        <w:rPr>
          <w:rFonts w:ascii="Arial" w:hAnsi="Arial" w:cs="Arial"/>
          <w:b/>
          <w:lang w:val="en-US"/>
        </w:rPr>
      </w:pPr>
      <w:r w:rsidRPr="00EE4EE5">
        <w:rPr>
          <w:noProof/>
        </w:rPr>
        <w:lastRenderedPageBreak/>
        <w:drawing>
          <wp:inline distT="0" distB="0" distL="0" distR="0" wp14:anchorId="4D7743B0" wp14:editId="38EAC4DD">
            <wp:extent cx="5896378" cy="3124200"/>
            <wp:effectExtent l="0" t="0" r="9525" b="0"/>
            <wp:docPr id="6" name="Picture 3">
              <a:extLst xmlns:a="http://schemas.openxmlformats.org/drawingml/2006/main">
                <a:ext uri="{FF2B5EF4-FFF2-40B4-BE49-F238E27FC236}">
                  <a16:creationId xmlns:a16="http://schemas.microsoft.com/office/drawing/2014/main" id="{3D468666-59C8-43B4-A38F-693D510DF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468666-59C8-43B4-A38F-693D510DF12C}"/>
                        </a:ext>
                      </a:extLst>
                    </pic:cNvPr>
                    <pic:cNvPicPr>
                      <a:picLocks noChangeAspect="1"/>
                    </pic:cNvPicPr>
                  </pic:nvPicPr>
                  <pic:blipFill>
                    <a:blip r:embed="rId14"/>
                    <a:stretch>
                      <a:fillRect/>
                    </a:stretch>
                  </pic:blipFill>
                  <pic:spPr>
                    <a:xfrm>
                      <a:off x="0" y="0"/>
                      <a:ext cx="5900825" cy="3126556"/>
                    </a:xfrm>
                    <a:prstGeom prst="rect">
                      <a:avLst/>
                    </a:prstGeom>
                  </pic:spPr>
                </pic:pic>
              </a:graphicData>
            </a:graphic>
          </wp:inline>
        </w:drawing>
      </w:r>
    </w:p>
    <w:p w14:paraId="08C2A5A9" w14:textId="77777777" w:rsidR="007A2080" w:rsidRPr="00EE4EE5" w:rsidRDefault="007A2080" w:rsidP="005E6A89">
      <w:pPr>
        <w:spacing w:line="360" w:lineRule="auto"/>
        <w:jc w:val="both"/>
        <w:rPr>
          <w:rFonts w:ascii="Arial" w:hAnsi="Arial" w:cs="Arial"/>
          <w:b/>
          <w:lang w:val="en-US"/>
        </w:rPr>
      </w:pPr>
    </w:p>
    <w:p w14:paraId="02FA533B" w14:textId="6F20AE98"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8</w:t>
      </w:r>
      <w:r w:rsidRPr="00EE4EE5">
        <w:rPr>
          <w:rFonts w:ascii="Arial" w:hAnsi="Arial" w:cs="Arial"/>
          <w:b/>
          <w:lang w:val="en-US"/>
        </w:rPr>
        <w:t>. Principal Components Controlling the isopod population in Agricultural area during pre-monsoon season</w:t>
      </w:r>
    </w:p>
    <w:p w14:paraId="67FC59AF" w14:textId="606ED73D" w:rsidR="00315242" w:rsidRPr="00EE4EE5" w:rsidRDefault="00315242" w:rsidP="004A6602">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Principal component analysis is conducted to evaluate the influence of edaphic and chemical parameters on the overall isopod population within the designated study area. The biplot elucidates that the total isopod population in the coastal region during the monsoon season (Figure </w:t>
      </w:r>
      <w:r w:rsidR="008B4667" w:rsidRPr="00EE4EE5">
        <w:rPr>
          <w:rFonts w:ascii="Arial" w:eastAsia="Times New Roman" w:hAnsi="Arial" w:cs="Arial"/>
          <w:sz w:val="20"/>
          <w:szCs w:val="20"/>
          <w:lang w:eastAsia="en-IN"/>
        </w:rPr>
        <w:t>3</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the post-monsoon season (Figure </w:t>
      </w:r>
      <w:r w:rsidR="008B4667" w:rsidRPr="00EE4EE5">
        <w:rPr>
          <w:rFonts w:ascii="Arial" w:eastAsia="Times New Roman" w:hAnsi="Arial" w:cs="Arial"/>
          <w:sz w:val="20"/>
          <w:szCs w:val="20"/>
          <w:lang w:eastAsia="en-IN"/>
        </w:rPr>
        <w:t>4</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and the pre-monsoon season (Figure </w:t>
      </w:r>
      <w:r w:rsidR="008B4667" w:rsidRPr="00EE4EE5">
        <w:rPr>
          <w:rFonts w:ascii="Arial" w:eastAsia="Times New Roman" w:hAnsi="Arial" w:cs="Arial"/>
          <w:sz w:val="20"/>
          <w:szCs w:val="20"/>
          <w:lang w:eastAsia="en-IN"/>
        </w:rPr>
        <w:t>5</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is predominantly governed by physical factors such as organic carbon, exchangeable acid, exchangeable base, sand, as well as chemical factors including potassium and magnesium. During the post-monsoon season, the isopod population is positively influenced by moisture, temperature, pH, exchangeable base, and phosphorus.</w:t>
      </w:r>
    </w:p>
    <w:p w14:paraId="4065012E" w14:textId="6DCA9A1B" w:rsidR="006F7F35" w:rsidRPr="00EE4EE5" w:rsidRDefault="00315242" w:rsidP="00DB39F4">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In accordance with the principal component analysis, the total isopod population in agricultural environments is positively influenced by pH, exchangeable base, sand, silt, clay, and nitrogen, potassium, phosphorus, magnesium, and calcium during the monsoon period (Figure </w:t>
      </w:r>
      <w:r w:rsidR="008B4667" w:rsidRPr="00EE4EE5">
        <w:rPr>
          <w:rFonts w:ascii="Arial" w:eastAsia="Times New Roman" w:hAnsi="Arial" w:cs="Arial"/>
          <w:sz w:val="20"/>
          <w:szCs w:val="20"/>
          <w:lang w:eastAsia="en-IN"/>
        </w:rPr>
        <w:t>6</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Throughout the post-monsoon period, the total isopod population is regulated by moisture, exchangeable acid, phosphorus, and calcium within the agricultural habitat (Figure </w:t>
      </w:r>
      <w:r w:rsidR="008B4667" w:rsidRPr="00EE4EE5">
        <w:rPr>
          <w:rFonts w:ascii="Arial" w:eastAsia="Times New Roman" w:hAnsi="Arial" w:cs="Arial"/>
          <w:sz w:val="20"/>
          <w:szCs w:val="20"/>
          <w:lang w:eastAsia="en-IN"/>
        </w:rPr>
        <w:t>7</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In the pre-monsoon period, the total isopod population is influenced by temperature, organic carbon, sand, silt, nitrogen, potassium, calcium, and magnesium contents within the agricultural habitat (Figure </w:t>
      </w:r>
      <w:r w:rsidR="008B4667" w:rsidRPr="00EE4EE5">
        <w:rPr>
          <w:rFonts w:ascii="Arial" w:eastAsia="Times New Roman" w:hAnsi="Arial" w:cs="Arial"/>
          <w:sz w:val="20"/>
          <w:szCs w:val="20"/>
          <w:lang w:eastAsia="en-IN"/>
        </w:rPr>
        <w:t>8</w:t>
      </w:r>
      <w:r w:rsidRPr="00EE4EE5">
        <w:rPr>
          <w:rFonts w:ascii="Arial" w:eastAsia="Times New Roman" w:hAnsi="Arial" w:cs="Arial"/>
          <w:sz w:val="20"/>
          <w:szCs w:val="20"/>
          <w:lang w:eastAsia="en-IN"/>
        </w:rPr>
        <w:t>).</w:t>
      </w:r>
      <w:r w:rsidR="00DB39F4" w:rsidRPr="00EE4EE5">
        <w:rPr>
          <w:rFonts w:ascii="Arial" w:eastAsia="Times New Roman" w:hAnsi="Arial" w:cs="Arial"/>
          <w:sz w:val="20"/>
          <w:szCs w:val="20"/>
          <w:lang w:eastAsia="en-IN"/>
        </w:rPr>
        <w:t xml:space="preserve"> </w:t>
      </w:r>
      <w:r w:rsidR="00033F09" w:rsidRPr="00EE4EE5">
        <w:rPr>
          <w:rFonts w:ascii="Arial" w:hAnsi="Arial" w:cs="Arial"/>
          <w:sz w:val="20"/>
          <w:szCs w:val="20"/>
        </w:rPr>
        <w:t xml:space="preserve">A multitude of determinants, encompassing moisture, organic carbon, exchangeable acids, clay content, exchangeable bases, nitrogen, phosphorus, calcium, and magnesium, significantly influence the spatial distribution of microarthropod populations </w:t>
      </w:r>
      <w:r w:rsidR="00F34C38" w:rsidRPr="00EE4EE5">
        <w:rPr>
          <w:rFonts w:ascii="Arial" w:hAnsi="Arial" w:cs="Arial"/>
          <w:sz w:val="20"/>
          <w:szCs w:val="20"/>
        </w:rPr>
        <w:t>(</w:t>
      </w:r>
      <w:r w:rsidR="00F34C38" w:rsidRPr="00EE4EE5">
        <w:rPr>
          <w:rFonts w:ascii="Arial" w:hAnsi="Arial" w:cs="Arial"/>
          <w:sz w:val="20"/>
          <w:szCs w:val="20"/>
          <w:shd w:val="clear" w:color="auto" w:fill="FFFFFF"/>
        </w:rPr>
        <w:t>Bhavya, L. R. and Sanal Kumar M. G., 2021</w:t>
      </w:r>
      <w:r w:rsidR="00F34C38" w:rsidRPr="00EE4EE5">
        <w:rPr>
          <w:rFonts w:ascii="Arial" w:hAnsi="Arial" w:cs="Arial"/>
          <w:sz w:val="20"/>
          <w:szCs w:val="20"/>
        </w:rPr>
        <w:t xml:space="preserve">). </w:t>
      </w:r>
      <w:r w:rsidR="00033F09" w:rsidRPr="00EE4EE5">
        <w:rPr>
          <w:rFonts w:ascii="Arial" w:hAnsi="Arial" w:cs="Arial"/>
          <w:sz w:val="20"/>
          <w:szCs w:val="20"/>
        </w:rPr>
        <w:t>An augmented level of phosphorus within the soil serves as an indicator of enhanced organic matter decomposition</w:t>
      </w:r>
      <w:r w:rsidR="00A460CC" w:rsidRPr="00EE4EE5">
        <w:rPr>
          <w:rFonts w:ascii="Arial" w:hAnsi="Arial" w:cs="Arial"/>
          <w:sz w:val="20"/>
          <w:szCs w:val="20"/>
        </w:rPr>
        <w:t xml:space="preserve"> </w:t>
      </w:r>
      <w:r w:rsidR="00A460CC" w:rsidRPr="00EE4EE5">
        <w:rPr>
          <w:rFonts w:ascii="Arial" w:hAnsi="Arial" w:cs="Arial"/>
          <w:sz w:val="20"/>
          <w:szCs w:val="20"/>
          <w:shd w:val="clear" w:color="auto" w:fill="FFFFFF"/>
        </w:rPr>
        <w:t>(</w:t>
      </w:r>
      <w:proofErr w:type="spellStart"/>
      <w:r w:rsidR="00A460CC" w:rsidRPr="00EE4EE5">
        <w:rPr>
          <w:rFonts w:ascii="Arial" w:hAnsi="Arial" w:cs="Arial"/>
          <w:sz w:val="20"/>
          <w:szCs w:val="20"/>
          <w:shd w:val="clear" w:color="auto" w:fill="FFFFFF"/>
        </w:rPr>
        <w:t>Oladoye</w:t>
      </w:r>
      <w:proofErr w:type="spellEnd"/>
      <w:r w:rsidR="00BA21D5" w:rsidRPr="00EE4EE5">
        <w:rPr>
          <w:rFonts w:ascii="Arial" w:hAnsi="Arial" w:cs="Arial"/>
          <w:sz w:val="20"/>
          <w:szCs w:val="20"/>
          <w:shd w:val="clear" w:color="auto" w:fill="FFFFFF"/>
        </w:rPr>
        <w:t xml:space="preserve"> </w:t>
      </w:r>
      <w:r w:rsidR="00A460CC" w:rsidRPr="00EE4EE5">
        <w:rPr>
          <w:rFonts w:ascii="Arial" w:hAnsi="Arial" w:cs="Arial"/>
          <w:sz w:val="20"/>
          <w:szCs w:val="20"/>
          <w:shd w:val="clear" w:color="auto" w:fill="FFFFFF"/>
        </w:rPr>
        <w:t>A. O,2015)</w:t>
      </w:r>
      <w:r w:rsidR="00033F09" w:rsidRPr="00EE4EE5">
        <w:rPr>
          <w:rFonts w:ascii="Arial" w:hAnsi="Arial" w:cs="Arial"/>
          <w:sz w:val="20"/>
          <w:szCs w:val="20"/>
        </w:rPr>
        <w:t xml:space="preserve">. </w:t>
      </w:r>
      <w:r w:rsidR="002E61E5" w:rsidRPr="00EE4EE5">
        <w:rPr>
          <w:rFonts w:ascii="Arial" w:hAnsi="Arial" w:cs="Arial"/>
          <w:sz w:val="20"/>
          <w:szCs w:val="20"/>
        </w:rPr>
        <w:t>Analysing</w:t>
      </w:r>
      <w:r w:rsidR="00033F09" w:rsidRPr="00EE4EE5">
        <w:rPr>
          <w:rFonts w:ascii="Arial" w:hAnsi="Arial" w:cs="Arial"/>
          <w:sz w:val="20"/>
          <w:szCs w:val="20"/>
        </w:rPr>
        <w:t xml:space="preserve"> the diversity and abundance of soil arthropods across various habitat types, </w:t>
      </w:r>
      <w:r w:rsidR="002E61E5" w:rsidRPr="00EE4EE5">
        <w:rPr>
          <w:rFonts w:ascii="Arial" w:hAnsi="Arial" w:cs="Arial"/>
          <w:sz w:val="20"/>
          <w:szCs w:val="20"/>
        </w:rPr>
        <w:t>considering</w:t>
      </w:r>
      <w:r w:rsidR="00033F09" w:rsidRPr="00EE4EE5">
        <w:rPr>
          <w:rFonts w:ascii="Arial" w:hAnsi="Arial" w:cs="Arial"/>
          <w:sz w:val="20"/>
          <w:szCs w:val="20"/>
        </w:rPr>
        <w:t xml:space="preserve"> diverse climatic and edaphic conditions, will facilitate an understanding of how abiotic </w:t>
      </w:r>
      <w:r w:rsidR="00033F09" w:rsidRPr="00EE4EE5">
        <w:rPr>
          <w:rFonts w:ascii="Arial" w:hAnsi="Arial" w:cs="Arial"/>
          <w:sz w:val="20"/>
          <w:szCs w:val="20"/>
        </w:rPr>
        <w:lastRenderedPageBreak/>
        <w:t>factors govern both system stability and faunal functionalities</w:t>
      </w:r>
      <w:r w:rsidR="00FB4579" w:rsidRPr="00EE4EE5">
        <w:rPr>
          <w:rFonts w:ascii="Arial" w:hAnsi="Arial" w:cs="Arial"/>
          <w:sz w:val="20"/>
          <w:szCs w:val="20"/>
        </w:rPr>
        <w:t xml:space="preserve"> (</w:t>
      </w:r>
      <w:r w:rsidR="00FB4579" w:rsidRPr="00EE4EE5">
        <w:rPr>
          <w:rFonts w:ascii="Arial" w:hAnsi="Arial" w:cs="Arial"/>
          <w:color w:val="222222"/>
          <w:sz w:val="20"/>
          <w:szCs w:val="20"/>
          <w:shd w:val="clear" w:color="auto" w:fill="FFFFFF"/>
        </w:rPr>
        <w:t>Pramanik et al., 2015)</w:t>
      </w:r>
      <w:r w:rsidR="00033F09" w:rsidRPr="00EE4EE5">
        <w:rPr>
          <w:rFonts w:ascii="Arial" w:hAnsi="Arial" w:cs="Arial"/>
          <w:sz w:val="20"/>
          <w:szCs w:val="20"/>
        </w:rPr>
        <w:t>.</w:t>
      </w:r>
      <w:r w:rsidR="00DB39F4"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Soil moisture content and chemical characteristics are integral to the distribution of isopods, as they exhibit a preference for soils that are dense and capable of retaining moisture. The availability of specific nutrients (Ca</w:t>
      </w:r>
      <w:r w:rsidR="00DB2EBE" w:rsidRPr="00EE4EE5">
        <w:rPr>
          <w:rFonts w:ascii="Arial" w:eastAsia="Times New Roman" w:hAnsi="Arial" w:cs="Arial"/>
          <w:sz w:val="20"/>
          <w:szCs w:val="20"/>
          <w:lang w:eastAsia="en-IN"/>
        </w:rPr>
        <w:t>lcium</w:t>
      </w:r>
      <w:r w:rsidR="002E61E5" w:rsidRPr="00EE4EE5">
        <w:rPr>
          <w:rFonts w:ascii="Arial" w:eastAsia="Times New Roman" w:hAnsi="Arial" w:cs="Arial"/>
          <w:sz w:val="20"/>
          <w:szCs w:val="20"/>
          <w:lang w:eastAsia="en-IN"/>
        </w:rPr>
        <w:t xml:space="preserve"> and M</w:t>
      </w:r>
      <w:r w:rsidR="00DB2EBE" w:rsidRPr="00EE4EE5">
        <w:rPr>
          <w:rFonts w:ascii="Arial" w:eastAsia="Times New Roman" w:hAnsi="Arial" w:cs="Arial"/>
          <w:sz w:val="20"/>
          <w:szCs w:val="20"/>
          <w:lang w:eastAsia="en-IN"/>
        </w:rPr>
        <w:t>agnesium</w:t>
      </w:r>
      <w:r w:rsidR="002E61E5" w:rsidRPr="00EE4EE5">
        <w:rPr>
          <w:rFonts w:ascii="Arial" w:eastAsia="Times New Roman" w:hAnsi="Arial" w:cs="Arial"/>
          <w:sz w:val="20"/>
          <w:szCs w:val="20"/>
          <w:lang w:eastAsia="en-IN"/>
        </w:rPr>
        <w:t>) along with soil pH also plays a critical role in shaping isopod populations, with distinct species demonstrating affinities for certain edaphic conditions (Kula et al., 2016). Isopods display diverse responses to climatic variables, whereby their distribution is intricately correlated with habitat attributes and the availability of moisture (</w:t>
      </w:r>
      <w:proofErr w:type="spellStart"/>
      <w:r w:rsidR="002E61E5" w:rsidRPr="00EE4EE5">
        <w:rPr>
          <w:rFonts w:ascii="Arial" w:eastAsia="Times New Roman" w:hAnsi="Arial" w:cs="Arial"/>
          <w:sz w:val="20"/>
          <w:szCs w:val="20"/>
          <w:lang w:eastAsia="en-IN"/>
        </w:rPr>
        <w:t>Sfenthourakis</w:t>
      </w:r>
      <w:proofErr w:type="spellEnd"/>
      <w:r w:rsidR="00DB2EBE"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w:t>
      </w:r>
      <w:r w:rsidR="0081765F" w:rsidRPr="00EE4EE5">
        <w:rPr>
          <w:rFonts w:ascii="Arial" w:eastAsia="Times New Roman" w:hAnsi="Arial" w:cs="Arial"/>
          <w:sz w:val="20"/>
          <w:szCs w:val="20"/>
          <w:lang w:eastAsia="en-IN"/>
        </w:rPr>
        <w:t xml:space="preserve"> </w:t>
      </w:r>
      <w:r w:rsidR="00DB2EBE" w:rsidRPr="00EE4EE5">
        <w:rPr>
          <w:rFonts w:ascii="Arial" w:eastAsia="Times New Roman" w:hAnsi="Arial" w:cs="Arial"/>
          <w:sz w:val="20"/>
          <w:szCs w:val="20"/>
          <w:lang w:eastAsia="en-IN"/>
        </w:rPr>
        <w:t>and Hornung</w:t>
      </w:r>
      <w:r w:rsidR="002E61E5" w:rsidRPr="00EE4EE5">
        <w:rPr>
          <w:rFonts w:ascii="Arial" w:eastAsia="Times New Roman" w:hAnsi="Arial" w:cs="Arial"/>
          <w:sz w:val="20"/>
          <w:szCs w:val="20"/>
          <w:lang w:eastAsia="en-IN"/>
        </w:rPr>
        <w:t>, E</w:t>
      </w:r>
      <w:r w:rsidR="0081765F"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2018).</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The distribution and population density of isopods are profoundly affected by climatic parameters, particularly humidity and temperature (Warburg, 1984).</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Soil temperature and moisture levels are essential determinants of microarthropod density. For example, elevated densities are frequently observed during the rainy season, attributable to enhanced soil moisture, which facilitates microarthropod activity (Acharya et al.,</w:t>
      </w:r>
      <w:r w:rsidR="0081765F" w:rsidRPr="00EE4EE5">
        <w:rPr>
          <w:rFonts w:ascii="Arial" w:eastAsia="Times New Roman" w:hAnsi="Arial" w:cs="Arial"/>
          <w:sz w:val="20"/>
          <w:szCs w:val="20"/>
          <w:lang w:eastAsia="en-IN"/>
        </w:rPr>
        <w:t xml:space="preserve"> 2020,</w:t>
      </w:r>
      <w:r w:rsidR="002E61E5" w:rsidRPr="00EE4EE5">
        <w:rPr>
          <w:rFonts w:ascii="Arial" w:eastAsia="Times New Roman" w:hAnsi="Arial" w:cs="Arial"/>
          <w:sz w:val="20"/>
          <w:szCs w:val="20"/>
          <w:lang w:eastAsia="en-IN"/>
        </w:rPr>
        <w:t xml:space="preserve"> Reddy, 1984).</w:t>
      </w:r>
    </w:p>
    <w:p w14:paraId="43AF60F9" w14:textId="166F4ABB" w:rsidR="00122A61" w:rsidRPr="00EE4EE5" w:rsidRDefault="00122A61" w:rsidP="00DB2EBE">
      <w:pPr>
        <w:spacing w:after="0" w:line="360" w:lineRule="auto"/>
        <w:jc w:val="both"/>
        <w:rPr>
          <w:rFonts w:ascii="Arial" w:hAnsi="Arial" w:cs="Arial"/>
          <w:sz w:val="20"/>
          <w:szCs w:val="20"/>
        </w:rPr>
      </w:pPr>
      <w:r w:rsidRPr="00EE4EE5">
        <w:rPr>
          <w:rFonts w:ascii="Arial" w:hAnsi="Arial" w:cs="Arial"/>
          <w:sz w:val="20"/>
          <w:szCs w:val="20"/>
        </w:rPr>
        <w:t xml:space="preserve">The population density of all identified isopod species exhibits elevations during the post-monsoon season </w:t>
      </w:r>
      <w:r w:rsidR="0036721A" w:rsidRPr="00EE4EE5">
        <w:rPr>
          <w:rFonts w:ascii="Arial" w:hAnsi="Arial" w:cs="Arial"/>
          <w:sz w:val="20"/>
          <w:szCs w:val="20"/>
        </w:rPr>
        <w:t>(</w:t>
      </w:r>
      <w:r w:rsidR="0036721A" w:rsidRPr="00EE4EE5">
        <w:rPr>
          <w:rFonts w:ascii="Arial" w:hAnsi="Arial" w:cs="Arial"/>
          <w:sz w:val="20"/>
          <w:szCs w:val="20"/>
          <w:shd w:val="clear" w:color="auto" w:fill="FFFFFF"/>
        </w:rPr>
        <w:t xml:space="preserve">Manjary S. and </w:t>
      </w:r>
      <w:proofErr w:type="spellStart"/>
      <w:r w:rsidR="0036721A" w:rsidRPr="00EE4EE5">
        <w:rPr>
          <w:rFonts w:ascii="Arial" w:hAnsi="Arial" w:cs="Arial"/>
          <w:sz w:val="20"/>
          <w:szCs w:val="20"/>
          <w:shd w:val="clear" w:color="auto" w:fill="FFFFFF"/>
        </w:rPr>
        <w:t>Sanalkumar</w:t>
      </w:r>
      <w:proofErr w:type="spellEnd"/>
      <w:r w:rsidR="0036721A" w:rsidRPr="00EE4EE5">
        <w:rPr>
          <w:rFonts w:ascii="Arial" w:hAnsi="Arial" w:cs="Arial"/>
          <w:sz w:val="20"/>
          <w:szCs w:val="20"/>
          <w:shd w:val="clear" w:color="auto" w:fill="FFFFFF"/>
        </w:rPr>
        <w:t xml:space="preserve"> M. G</w:t>
      </w:r>
      <w:r w:rsidRPr="00EE4EE5">
        <w:rPr>
          <w:rFonts w:ascii="Arial" w:hAnsi="Arial" w:cs="Arial"/>
          <w:sz w:val="20"/>
          <w:szCs w:val="20"/>
        </w:rPr>
        <w:t>.</w:t>
      </w:r>
      <w:r w:rsidR="0036721A" w:rsidRPr="00EE4EE5">
        <w:rPr>
          <w:rFonts w:ascii="Arial" w:hAnsi="Arial" w:cs="Arial"/>
          <w:sz w:val="20"/>
          <w:szCs w:val="20"/>
        </w:rPr>
        <w:t>,2021)</w:t>
      </w:r>
      <w:r w:rsidRPr="00EE4EE5">
        <w:rPr>
          <w:rFonts w:ascii="Arial" w:hAnsi="Arial" w:cs="Arial"/>
          <w:sz w:val="20"/>
          <w:szCs w:val="20"/>
        </w:rPr>
        <w:t xml:space="preserve"> The overall size of the microarthropod population demonstrated a significant positive correlation with both the temperature and moisture content of the soil at the time of sampling, among all factors considered </w:t>
      </w:r>
      <w:r w:rsidR="00EA1185" w:rsidRPr="00EE4EE5">
        <w:rPr>
          <w:rFonts w:ascii="Arial" w:hAnsi="Arial" w:cs="Arial"/>
          <w:sz w:val="20"/>
          <w:szCs w:val="20"/>
        </w:rPr>
        <w:t>(</w:t>
      </w:r>
      <w:r w:rsidR="00EA1185" w:rsidRPr="00EE4EE5">
        <w:rPr>
          <w:rFonts w:ascii="Arial" w:hAnsi="Arial" w:cs="Arial"/>
          <w:color w:val="222222"/>
          <w:sz w:val="20"/>
          <w:szCs w:val="20"/>
          <w:shd w:val="clear" w:color="auto" w:fill="FFFFFF"/>
        </w:rPr>
        <w:t>Bhattacharya and Raychaudhuri, 1981)</w:t>
      </w:r>
      <w:r w:rsidRPr="00EE4EE5">
        <w:rPr>
          <w:rFonts w:ascii="Arial" w:hAnsi="Arial" w:cs="Arial"/>
          <w:sz w:val="20"/>
          <w:szCs w:val="20"/>
        </w:rPr>
        <w:t xml:space="preserve">. For soil-dwelling organisms, calcium serves as a crucial nutritional component that is indispensable for plant sustenance and the stabilization of soil organic matter </w:t>
      </w:r>
      <w:r w:rsidR="00EA1185" w:rsidRPr="00EE4EE5">
        <w:rPr>
          <w:rFonts w:ascii="Arial" w:hAnsi="Arial" w:cs="Arial"/>
          <w:b/>
          <w:sz w:val="20"/>
          <w:szCs w:val="20"/>
        </w:rPr>
        <w:t>(</w:t>
      </w:r>
      <w:r w:rsidR="00EA1185" w:rsidRPr="00EE4EE5">
        <w:rPr>
          <w:rStyle w:val="Strong"/>
          <w:rFonts w:ascii="Arial" w:hAnsi="Arial" w:cs="Arial"/>
          <w:b w:val="0"/>
          <w:sz w:val="20"/>
          <w:szCs w:val="20"/>
        </w:rPr>
        <w:t>Prietzel et al., 2021</w:t>
      </w:r>
      <w:r w:rsidR="00EA1185" w:rsidRPr="00EE4EE5">
        <w:rPr>
          <w:rFonts w:ascii="Arial" w:hAnsi="Arial" w:cs="Arial"/>
          <w:sz w:val="20"/>
          <w:szCs w:val="20"/>
          <w:shd w:val="clear" w:color="auto" w:fill="FFFFFF"/>
        </w:rPr>
        <w:t>)</w:t>
      </w:r>
      <w:r w:rsidRPr="00EE4EE5">
        <w:rPr>
          <w:rFonts w:ascii="Arial" w:hAnsi="Arial" w:cs="Arial"/>
          <w:sz w:val="20"/>
          <w:szCs w:val="20"/>
        </w:rPr>
        <w:t xml:space="preserve">. The concentrations of organic matter and clay within the soil significantly influence its capacity for nutrient exchange </w:t>
      </w:r>
      <w:r w:rsidR="0036721A" w:rsidRPr="00EE4EE5">
        <w:rPr>
          <w:rFonts w:ascii="Arial" w:hAnsi="Arial" w:cs="Arial"/>
          <w:sz w:val="20"/>
          <w:szCs w:val="20"/>
        </w:rPr>
        <w:t>(Bini et al., 2015)</w:t>
      </w:r>
      <w:r w:rsidRPr="00EE4EE5">
        <w:rPr>
          <w:rFonts w:ascii="Arial" w:hAnsi="Arial" w:cs="Arial"/>
          <w:sz w:val="20"/>
          <w:szCs w:val="20"/>
        </w:rPr>
        <w:t xml:space="preserve">. Temperature and soil moisture emerge as critical determinants in regulating the diversity and abundance of microarthropods </w:t>
      </w:r>
      <w:r w:rsidR="00EA1185" w:rsidRPr="00EE4EE5">
        <w:rPr>
          <w:rStyle w:val="Strong"/>
          <w:rFonts w:ascii="Arial" w:hAnsi="Arial" w:cs="Arial"/>
          <w:b w:val="0"/>
          <w:sz w:val="20"/>
          <w:szCs w:val="20"/>
        </w:rPr>
        <w:t>(</w:t>
      </w:r>
      <w:r w:rsidR="00EA1185" w:rsidRPr="00EE4EE5">
        <w:rPr>
          <w:rFonts w:ascii="Arial" w:hAnsi="Arial" w:cs="Arial"/>
          <w:bCs/>
          <w:sz w:val="20"/>
          <w:szCs w:val="20"/>
        </w:rPr>
        <w:t xml:space="preserve">Ruby </w:t>
      </w:r>
      <w:proofErr w:type="spellStart"/>
      <w:r w:rsidR="00EA1185" w:rsidRPr="00EE4EE5">
        <w:rPr>
          <w:rFonts w:ascii="Arial" w:hAnsi="Arial" w:cs="Arial"/>
          <w:bCs/>
          <w:sz w:val="20"/>
          <w:szCs w:val="20"/>
        </w:rPr>
        <w:t>Angurana</w:t>
      </w:r>
      <w:proofErr w:type="spellEnd"/>
      <w:r w:rsidR="00EA1185" w:rsidRPr="00EE4EE5">
        <w:rPr>
          <w:rFonts w:ascii="Arial" w:hAnsi="Arial" w:cs="Arial"/>
          <w:bCs/>
          <w:sz w:val="20"/>
          <w:szCs w:val="20"/>
        </w:rPr>
        <w:t xml:space="preserve"> et al., 2022</w:t>
      </w:r>
      <w:r w:rsidR="00EA1185" w:rsidRPr="00EE4EE5">
        <w:rPr>
          <w:rStyle w:val="Strong"/>
          <w:rFonts w:ascii="Arial" w:hAnsi="Arial" w:cs="Arial"/>
          <w:b w:val="0"/>
          <w:sz w:val="20"/>
          <w:szCs w:val="20"/>
        </w:rPr>
        <w:t>)</w:t>
      </w:r>
      <w:r w:rsidRPr="00EE4EE5">
        <w:rPr>
          <w:rFonts w:ascii="Arial" w:hAnsi="Arial" w:cs="Arial"/>
          <w:sz w:val="20"/>
          <w:szCs w:val="20"/>
        </w:rPr>
        <w:t xml:space="preserve">. The density of soil microarthropods is affected by numerous variables, including soil moisture, temperature, soil pH, and available food sources. Consequently, the proliferation of soil microarthropod populations is attributable to both seasonal fluctuations and edaphic conditions. The diversity of soil microarthropods is profoundly shaped by the physical properties and chemical properties of the soil </w:t>
      </w:r>
      <w:r w:rsidR="00EA1185" w:rsidRPr="00EE4EE5">
        <w:rPr>
          <w:rStyle w:val="Strong"/>
          <w:rFonts w:ascii="Arial" w:hAnsi="Arial" w:cs="Arial"/>
          <w:b w:val="0"/>
          <w:sz w:val="20"/>
          <w:szCs w:val="20"/>
        </w:rPr>
        <w:t>(</w:t>
      </w:r>
      <w:r w:rsidR="00EA1185" w:rsidRPr="00EE4EE5">
        <w:rPr>
          <w:rFonts w:ascii="Arial" w:hAnsi="Arial" w:cs="Arial"/>
          <w:sz w:val="20"/>
          <w:szCs w:val="20"/>
          <w:shd w:val="clear" w:color="auto" w:fill="FFFFFF"/>
        </w:rPr>
        <w:t>Abbas M. J. and Parwez, H, 2012)</w:t>
      </w:r>
      <w:r w:rsidRPr="00EE4EE5">
        <w:rPr>
          <w:rFonts w:ascii="Arial" w:hAnsi="Arial" w:cs="Arial"/>
          <w:sz w:val="20"/>
          <w:szCs w:val="20"/>
        </w:rPr>
        <w:t>.</w:t>
      </w:r>
    </w:p>
    <w:p w14:paraId="5A621DC9" w14:textId="16EBEDC0" w:rsidR="001E285B" w:rsidRPr="00EE4EE5" w:rsidRDefault="001E285B" w:rsidP="001E285B">
      <w:pPr>
        <w:pStyle w:val="ConcHead"/>
        <w:spacing w:after="0"/>
        <w:jc w:val="both"/>
        <w:rPr>
          <w:rFonts w:ascii="Arial" w:hAnsi="Arial" w:cs="Arial"/>
        </w:rPr>
      </w:pPr>
      <w:r w:rsidRPr="00EE4EE5">
        <w:rPr>
          <w:rFonts w:ascii="Arial" w:hAnsi="Arial" w:cs="Arial"/>
        </w:rPr>
        <w:t>5. Conclusion</w:t>
      </w:r>
    </w:p>
    <w:p w14:paraId="0F1E28CD" w14:textId="77777777" w:rsidR="00C93DBD" w:rsidRPr="00EE4EE5" w:rsidRDefault="00C93DBD" w:rsidP="001E285B">
      <w:pPr>
        <w:pStyle w:val="Body"/>
        <w:spacing w:after="0"/>
        <w:rPr>
          <w:rFonts w:ascii="Arial" w:hAnsi="Arial" w:cs="Arial"/>
          <w:b/>
          <w:caps/>
          <w:sz w:val="22"/>
        </w:rPr>
      </w:pPr>
    </w:p>
    <w:p w14:paraId="67DCFA9F" w14:textId="504CACB0" w:rsidR="001E285B" w:rsidRPr="00EE4EE5" w:rsidRDefault="00C93DBD" w:rsidP="00C93DBD">
      <w:pPr>
        <w:pStyle w:val="Body"/>
        <w:spacing w:after="0" w:line="360" w:lineRule="auto"/>
        <w:rPr>
          <w:rFonts w:ascii="Arial" w:hAnsi="Arial" w:cs="Arial"/>
        </w:rPr>
      </w:pPr>
      <w:r w:rsidRPr="00EE4EE5">
        <w:rPr>
          <w:rFonts w:ascii="Arial" w:hAnsi="Arial" w:cs="Arial"/>
        </w:rPr>
        <w:t xml:space="preserve">In the coastal and agricultural regions, the post-monsoon period exhibited the highest density of isopod populations. The predominant species in the coastal environment comprise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00526E6B" w:rsidRPr="00EE4EE5">
        <w:rPr>
          <w:rFonts w:ascii="Arial" w:hAnsi="Arial" w:cs="Arial"/>
          <w:i/>
        </w:rPr>
        <w:t>Porcellio scaber</w:t>
      </w:r>
      <w:r w:rsidRPr="00EE4EE5">
        <w:rPr>
          <w:rFonts w:ascii="Arial" w:hAnsi="Arial" w:cs="Arial"/>
        </w:rPr>
        <w:t xml:space="preserve">. Conversely, in the agricultural zone, the dominant species include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Pr="00EE4EE5">
        <w:rPr>
          <w:rFonts w:ascii="Arial" w:hAnsi="Arial" w:cs="Arial"/>
          <w:i/>
        </w:rPr>
        <w:t>Porcellio scaber</w:t>
      </w:r>
      <w:r w:rsidRPr="00EE4EE5">
        <w:rPr>
          <w:rFonts w:ascii="Arial" w:hAnsi="Arial" w:cs="Arial"/>
        </w:rPr>
        <w:t>. According to the results derived from the Principal Component Analysis (PCA), it is apparent that the overall isopod population is significantly affected by chemical constituents such as nitrogen, potassium, phosphorus, calcium, and magnesium, in conjunction with physical parameters including temperature, moisture, pH, organic carbon, exchangeable acids, exchangeable bases, sand, silt, and clay. The intrinsic characteristics of the soil must be preserved to ensure the survival of soil biota, which are critical components of the soil ecosystem.</w:t>
      </w:r>
    </w:p>
    <w:p w14:paraId="675ED3D1" w14:textId="77777777" w:rsidR="00C93DBD" w:rsidRPr="00EE4EE5" w:rsidRDefault="00C93DBD" w:rsidP="001E285B">
      <w:pPr>
        <w:pStyle w:val="Body"/>
        <w:spacing w:after="0"/>
        <w:rPr>
          <w:rFonts w:ascii="Arial" w:hAnsi="Arial" w:cs="Arial"/>
        </w:rPr>
      </w:pPr>
    </w:p>
    <w:p w14:paraId="4BF78E8B" w14:textId="77777777" w:rsidR="00A76108" w:rsidRPr="00A76108" w:rsidRDefault="00A76108" w:rsidP="001E285B">
      <w:pPr>
        <w:pStyle w:val="ReferHead"/>
        <w:spacing w:after="0"/>
        <w:jc w:val="both"/>
        <w:rPr>
          <w:rFonts w:ascii="Arial" w:hAnsi="Arial" w:cs="Arial"/>
          <w:b w:val="0"/>
          <w:caps w:val="0"/>
          <w:sz w:val="20"/>
          <w:shd w:val="clear" w:color="auto" w:fill="FFFFFF"/>
        </w:rPr>
      </w:pPr>
      <w:bookmarkStart w:id="0" w:name="_GoBack"/>
      <w:bookmarkEnd w:id="0"/>
    </w:p>
    <w:p w14:paraId="4B82CF62" w14:textId="77777777" w:rsidR="001E285B" w:rsidRPr="00EE4EE5" w:rsidRDefault="001E285B" w:rsidP="001E285B">
      <w:pPr>
        <w:pStyle w:val="ReferHead"/>
        <w:spacing w:after="0"/>
        <w:jc w:val="both"/>
        <w:rPr>
          <w:rFonts w:ascii="Arial" w:hAnsi="Arial" w:cs="Arial"/>
          <w:b w:val="0"/>
          <w:caps w:val="0"/>
          <w:sz w:val="20"/>
        </w:rPr>
      </w:pPr>
    </w:p>
    <w:p w14:paraId="745AB458" w14:textId="7330049F" w:rsidR="001E285B" w:rsidRPr="00EE4EE5" w:rsidRDefault="001E285B" w:rsidP="001E285B">
      <w:pPr>
        <w:pStyle w:val="ReferHead"/>
        <w:spacing w:after="0"/>
        <w:jc w:val="both"/>
        <w:rPr>
          <w:rFonts w:ascii="Arial" w:hAnsi="Arial" w:cs="Arial"/>
        </w:rPr>
      </w:pPr>
      <w:r w:rsidRPr="00EE4EE5">
        <w:rPr>
          <w:rFonts w:ascii="Arial" w:hAnsi="Arial" w:cs="Arial"/>
        </w:rPr>
        <w:t>References</w:t>
      </w:r>
    </w:p>
    <w:p w14:paraId="142E3409" w14:textId="77777777" w:rsidR="00B2211F" w:rsidRPr="00EE4EE5" w:rsidRDefault="00B2211F" w:rsidP="001E285B">
      <w:pPr>
        <w:pStyle w:val="ReferHead"/>
        <w:spacing w:after="0"/>
        <w:jc w:val="both"/>
        <w:rPr>
          <w:rFonts w:ascii="Arial" w:hAnsi="Arial" w:cs="Arial"/>
        </w:rPr>
      </w:pPr>
    </w:p>
    <w:p w14:paraId="66E17472" w14:textId="77777777" w:rsidR="00E97A86" w:rsidRPr="00EE4EE5" w:rsidRDefault="00E97A86"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Wolters, V. (1997).</w:t>
      </w:r>
      <w:r w:rsidRPr="00EE4EE5">
        <w:rPr>
          <w:rFonts w:ascii="Arial" w:hAnsi="Arial" w:cs="Arial"/>
          <w:sz w:val="20"/>
          <w:szCs w:val="20"/>
        </w:rPr>
        <w:t xml:space="preserve"> The good, the bad and the ugly: Is there more to say about soil biodiversity in soil? In V. Wolters (Ed.), </w:t>
      </w:r>
      <w:r w:rsidRPr="00EE4EE5">
        <w:rPr>
          <w:rStyle w:val="Emphasis"/>
          <w:rFonts w:ascii="Arial" w:hAnsi="Arial" w:cs="Arial"/>
          <w:sz w:val="20"/>
          <w:szCs w:val="20"/>
        </w:rPr>
        <w:t>Ecosystems research report No. 24</w:t>
      </w:r>
      <w:r w:rsidRPr="00EE4EE5">
        <w:rPr>
          <w:rFonts w:ascii="Arial" w:hAnsi="Arial" w:cs="Arial"/>
          <w:sz w:val="20"/>
          <w:szCs w:val="20"/>
        </w:rPr>
        <w:t xml:space="preserve"> (pp. 3–9). Luxembourg: Office for Official Publications of the European Communities.</w:t>
      </w:r>
    </w:p>
    <w:p w14:paraId="32A00579" w14:textId="77777777" w:rsidR="00E97A86" w:rsidRPr="00EE4EE5" w:rsidRDefault="00E97A86"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Bini, B., Sanal Kumar, M. G., &amp; Vinod, P. (2015).</w:t>
      </w:r>
      <w:r w:rsidRPr="00EE4EE5">
        <w:rPr>
          <w:rFonts w:ascii="Arial" w:hAnsi="Arial" w:cs="Arial"/>
          <w:sz w:val="20"/>
          <w:szCs w:val="20"/>
        </w:rPr>
        <w:t xml:space="preserve"> Comparative study on the seasonal variations in the soil edaphic and chemical factors of agricultural and grassland habitats of central Travancore, Kerala. </w:t>
      </w:r>
      <w:r w:rsidRPr="00EE4EE5">
        <w:rPr>
          <w:rStyle w:val="Emphasis"/>
          <w:rFonts w:ascii="Arial" w:hAnsi="Arial" w:cs="Arial"/>
          <w:sz w:val="20"/>
          <w:szCs w:val="20"/>
        </w:rPr>
        <w:t>International Journal of Science and Research (IJSR), 4</w:t>
      </w:r>
      <w:r w:rsidRPr="00EE4EE5">
        <w:rPr>
          <w:rFonts w:ascii="Arial" w:hAnsi="Arial" w:cs="Arial"/>
          <w:sz w:val="20"/>
          <w:szCs w:val="20"/>
        </w:rPr>
        <w:t>(1), 387–391.</w:t>
      </w:r>
    </w:p>
    <w:p w14:paraId="55BC847F" w14:textId="77777777" w:rsidR="00E97A86" w:rsidRPr="00EE4EE5" w:rsidRDefault="00E97A86"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 xml:space="preserve">Manjary, S., &amp; </w:t>
      </w:r>
      <w:proofErr w:type="spellStart"/>
      <w:r w:rsidRPr="00EE4EE5">
        <w:rPr>
          <w:rStyle w:val="Strong"/>
          <w:rFonts w:ascii="Arial" w:hAnsi="Arial" w:cs="Arial"/>
          <w:sz w:val="20"/>
          <w:szCs w:val="20"/>
        </w:rPr>
        <w:t>Sanalkumar</w:t>
      </w:r>
      <w:proofErr w:type="spellEnd"/>
      <w:r w:rsidRPr="00EE4EE5">
        <w:rPr>
          <w:rStyle w:val="Strong"/>
          <w:rFonts w:ascii="Arial" w:hAnsi="Arial" w:cs="Arial"/>
          <w:sz w:val="20"/>
          <w:szCs w:val="20"/>
        </w:rPr>
        <w:t>, M. G. (2021).</w:t>
      </w:r>
      <w:r w:rsidRPr="00EE4EE5">
        <w:rPr>
          <w:rFonts w:ascii="Arial" w:hAnsi="Arial" w:cs="Arial"/>
          <w:sz w:val="20"/>
          <w:szCs w:val="20"/>
        </w:rPr>
        <w:t xml:space="preserve"> </w:t>
      </w:r>
      <w:proofErr w:type="spellStart"/>
      <w:r w:rsidRPr="00EE4EE5">
        <w:rPr>
          <w:rFonts w:ascii="Arial" w:hAnsi="Arial" w:cs="Arial"/>
          <w:sz w:val="20"/>
          <w:szCs w:val="20"/>
        </w:rPr>
        <w:t>Spatio</w:t>
      </w:r>
      <w:proofErr w:type="spellEnd"/>
      <w:r w:rsidRPr="00EE4EE5">
        <w:rPr>
          <w:rFonts w:ascii="Arial" w:hAnsi="Arial" w:cs="Arial"/>
          <w:sz w:val="20"/>
          <w:szCs w:val="20"/>
        </w:rPr>
        <w:t xml:space="preserve">-temporal variations in population density of terrestrial isopod, </w:t>
      </w:r>
      <w:r w:rsidRPr="00EE4EE5">
        <w:rPr>
          <w:rStyle w:val="Emphasis"/>
          <w:rFonts w:ascii="Arial" w:hAnsi="Arial" w:cs="Arial"/>
          <w:sz w:val="20"/>
          <w:szCs w:val="20"/>
        </w:rPr>
        <w:t>Philoscia muscorum</w:t>
      </w:r>
      <w:r w:rsidRPr="00EE4EE5">
        <w:rPr>
          <w:rFonts w:ascii="Arial" w:hAnsi="Arial" w:cs="Arial"/>
          <w:sz w:val="20"/>
          <w:szCs w:val="20"/>
        </w:rPr>
        <w:t xml:space="preserve">, with reference to soil edaphic factors at selected areas of Thiruvananthapuram district, Kerala. </w:t>
      </w:r>
      <w:r w:rsidRPr="00EE4EE5">
        <w:rPr>
          <w:rStyle w:val="Emphasis"/>
          <w:rFonts w:ascii="Arial" w:hAnsi="Arial" w:cs="Arial"/>
          <w:sz w:val="20"/>
          <w:szCs w:val="20"/>
        </w:rPr>
        <w:t>Uttar Pradesh Journal of Zoology, 42</w:t>
      </w:r>
      <w:r w:rsidRPr="00EE4EE5">
        <w:rPr>
          <w:rFonts w:ascii="Arial" w:hAnsi="Arial" w:cs="Arial"/>
          <w:sz w:val="20"/>
          <w:szCs w:val="20"/>
        </w:rPr>
        <w:t>(8), 1–8.</w:t>
      </w:r>
    </w:p>
    <w:p w14:paraId="681C4889" w14:textId="62C36BFD" w:rsidR="00B4732C" w:rsidRPr="00EE4EE5" w:rsidRDefault="00B4732C"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Kühnelt, W. (1955).</w:t>
      </w:r>
      <w:r w:rsidRPr="00EE4EE5">
        <w:rPr>
          <w:rFonts w:ascii="Arial" w:hAnsi="Arial" w:cs="Arial"/>
          <w:sz w:val="20"/>
          <w:szCs w:val="20"/>
        </w:rPr>
        <w:t xml:space="preserve"> In D. K. </w:t>
      </w:r>
      <w:proofErr w:type="spellStart"/>
      <w:r w:rsidRPr="00EE4EE5">
        <w:rPr>
          <w:rFonts w:ascii="Arial" w:hAnsi="Arial" w:cs="Arial"/>
          <w:sz w:val="20"/>
          <w:szCs w:val="20"/>
        </w:rPr>
        <w:t>McE</w:t>
      </w:r>
      <w:proofErr w:type="spellEnd"/>
      <w:r w:rsidRPr="00EE4EE5">
        <w:rPr>
          <w:rFonts w:ascii="Arial" w:hAnsi="Arial" w:cs="Arial"/>
          <w:sz w:val="20"/>
          <w:szCs w:val="20"/>
        </w:rPr>
        <w:t xml:space="preserve">. Kevan (Ed.), </w:t>
      </w:r>
      <w:r w:rsidRPr="00EE4EE5">
        <w:rPr>
          <w:rStyle w:val="Emphasis"/>
          <w:rFonts w:ascii="Arial" w:hAnsi="Arial" w:cs="Arial"/>
          <w:sz w:val="20"/>
          <w:szCs w:val="20"/>
        </w:rPr>
        <w:t>Soil zoology</w:t>
      </w:r>
      <w:r w:rsidRPr="00EE4EE5">
        <w:rPr>
          <w:rFonts w:ascii="Arial" w:hAnsi="Arial" w:cs="Arial"/>
          <w:sz w:val="20"/>
          <w:szCs w:val="20"/>
        </w:rPr>
        <w:t xml:space="preserve"> (pp. 397–411).</w:t>
      </w:r>
    </w:p>
    <w:p w14:paraId="0D91AED4" w14:textId="0F9ED547" w:rsidR="00E71366" w:rsidRPr="00EE4EE5" w:rsidRDefault="00B4732C" w:rsidP="00B4732C">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 xml:space="preserve">Ismail, </w:t>
      </w:r>
      <w:proofErr w:type="spellStart"/>
      <w:r w:rsidRPr="00EE4EE5">
        <w:rPr>
          <w:rStyle w:val="Strong"/>
          <w:rFonts w:ascii="Arial" w:hAnsi="Arial" w:cs="Arial"/>
          <w:sz w:val="20"/>
          <w:szCs w:val="20"/>
        </w:rPr>
        <w:t>Sulistiono</w:t>
      </w:r>
      <w:proofErr w:type="spellEnd"/>
      <w:r w:rsidRPr="00EE4EE5">
        <w:rPr>
          <w:rStyle w:val="Strong"/>
          <w:rFonts w:ascii="Arial" w:hAnsi="Arial" w:cs="Arial"/>
          <w:sz w:val="20"/>
          <w:szCs w:val="20"/>
        </w:rPr>
        <w:t xml:space="preserve">, </w:t>
      </w:r>
      <w:proofErr w:type="spellStart"/>
      <w:r w:rsidRPr="00EE4EE5">
        <w:rPr>
          <w:rStyle w:val="Strong"/>
          <w:rFonts w:ascii="Arial" w:hAnsi="Arial" w:cs="Arial"/>
          <w:sz w:val="20"/>
          <w:szCs w:val="20"/>
        </w:rPr>
        <w:t>Hariyadi</w:t>
      </w:r>
      <w:proofErr w:type="spellEnd"/>
      <w:r w:rsidRPr="00EE4EE5">
        <w:rPr>
          <w:rStyle w:val="Strong"/>
          <w:rFonts w:ascii="Arial" w:hAnsi="Arial" w:cs="Arial"/>
          <w:sz w:val="20"/>
          <w:szCs w:val="20"/>
        </w:rPr>
        <w:t xml:space="preserve">, S., &amp; </w:t>
      </w:r>
      <w:proofErr w:type="spellStart"/>
      <w:r w:rsidRPr="00EE4EE5">
        <w:rPr>
          <w:rStyle w:val="Strong"/>
          <w:rFonts w:ascii="Arial" w:hAnsi="Arial" w:cs="Arial"/>
          <w:sz w:val="20"/>
          <w:szCs w:val="20"/>
        </w:rPr>
        <w:t>Madduppa</w:t>
      </w:r>
      <w:proofErr w:type="spellEnd"/>
      <w:r w:rsidRPr="00EE4EE5">
        <w:rPr>
          <w:rStyle w:val="Strong"/>
          <w:rFonts w:ascii="Arial" w:hAnsi="Arial" w:cs="Arial"/>
          <w:sz w:val="20"/>
          <w:szCs w:val="20"/>
        </w:rPr>
        <w:t>, H. (2021).</w:t>
      </w:r>
      <w:r w:rsidRPr="00EE4EE5">
        <w:rPr>
          <w:rFonts w:ascii="Arial" w:hAnsi="Arial" w:cs="Arial"/>
          <w:sz w:val="20"/>
          <w:szCs w:val="20"/>
        </w:rPr>
        <w:t xml:space="preserve"> Diversity, density, and Importance Value Index of mangroves in the </w:t>
      </w:r>
      <w:proofErr w:type="spellStart"/>
      <w:r w:rsidRPr="00EE4EE5">
        <w:rPr>
          <w:rFonts w:ascii="Arial" w:hAnsi="Arial" w:cs="Arial"/>
          <w:sz w:val="20"/>
          <w:szCs w:val="20"/>
        </w:rPr>
        <w:t>Segara</w:t>
      </w:r>
      <w:proofErr w:type="spellEnd"/>
      <w:r w:rsidRPr="00EE4EE5">
        <w:rPr>
          <w:rFonts w:ascii="Arial" w:hAnsi="Arial" w:cs="Arial"/>
          <w:sz w:val="20"/>
          <w:szCs w:val="20"/>
        </w:rPr>
        <w:t xml:space="preserve"> </w:t>
      </w:r>
      <w:proofErr w:type="spellStart"/>
      <w:r w:rsidRPr="00EE4EE5">
        <w:rPr>
          <w:rFonts w:ascii="Arial" w:hAnsi="Arial" w:cs="Arial"/>
          <w:sz w:val="20"/>
          <w:szCs w:val="20"/>
        </w:rPr>
        <w:t>Anakan</w:t>
      </w:r>
      <w:proofErr w:type="spellEnd"/>
      <w:r w:rsidRPr="00EE4EE5">
        <w:rPr>
          <w:rFonts w:ascii="Arial" w:hAnsi="Arial" w:cs="Arial"/>
          <w:sz w:val="20"/>
          <w:szCs w:val="20"/>
        </w:rPr>
        <w:t xml:space="preserve"> lagoon and its surrounding area, </w:t>
      </w:r>
      <w:proofErr w:type="spellStart"/>
      <w:r w:rsidRPr="00EE4EE5">
        <w:rPr>
          <w:rFonts w:ascii="Arial" w:hAnsi="Arial" w:cs="Arial"/>
          <w:sz w:val="20"/>
          <w:szCs w:val="20"/>
        </w:rPr>
        <w:t>Cilacap</w:t>
      </w:r>
      <w:proofErr w:type="spellEnd"/>
      <w:r w:rsidRPr="00EE4EE5">
        <w:rPr>
          <w:rFonts w:ascii="Arial" w:hAnsi="Arial" w:cs="Arial"/>
          <w:sz w:val="20"/>
          <w:szCs w:val="20"/>
        </w:rPr>
        <w:t xml:space="preserve"> Regency, Indonesia. In </w:t>
      </w:r>
      <w:r w:rsidRPr="00EE4EE5">
        <w:rPr>
          <w:rStyle w:val="Emphasis"/>
          <w:rFonts w:ascii="Arial" w:hAnsi="Arial" w:cs="Arial"/>
          <w:sz w:val="20"/>
          <w:szCs w:val="20"/>
        </w:rPr>
        <w:t>IOP Conference Series: Earth and Environmental Science, 744</w:t>
      </w:r>
      <w:r w:rsidRPr="00EE4EE5">
        <w:rPr>
          <w:rFonts w:ascii="Arial" w:hAnsi="Arial" w:cs="Arial"/>
          <w:sz w:val="20"/>
          <w:szCs w:val="20"/>
        </w:rPr>
        <w:t>(1), 012034. IOP Publishing.</w:t>
      </w:r>
    </w:p>
    <w:p w14:paraId="7A526201" w14:textId="715AF80D" w:rsidR="00B4732C" w:rsidRPr="00EE4EE5" w:rsidRDefault="00B4732C" w:rsidP="00E71366">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EE4EE5">
        <w:rPr>
          <w:rStyle w:val="Strong"/>
          <w:rFonts w:ascii="Arial" w:hAnsi="Arial" w:cs="Arial"/>
          <w:sz w:val="20"/>
          <w:szCs w:val="20"/>
        </w:rPr>
        <w:t>Trivedy</w:t>
      </w:r>
      <w:proofErr w:type="spellEnd"/>
      <w:r w:rsidRPr="00EE4EE5">
        <w:rPr>
          <w:rStyle w:val="Strong"/>
          <w:rFonts w:ascii="Arial" w:hAnsi="Arial" w:cs="Arial"/>
          <w:sz w:val="20"/>
          <w:szCs w:val="20"/>
        </w:rPr>
        <w:t xml:space="preserve">, R. K., Goel, P. K., &amp; </w:t>
      </w:r>
      <w:proofErr w:type="spellStart"/>
      <w:r w:rsidRPr="00EE4EE5">
        <w:rPr>
          <w:rStyle w:val="Strong"/>
          <w:rFonts w:ascii="Arial" w:hAnsi="Arial" w:cs="Arial"/>
          <w:sz w:val="20"/>
          <w:szCs w:val="20"/>
        </w:rPr>
        <w:t>Trisal</w:t>
      </w:r>
      <w:proofErr w:type="spellEnd"/>
      <w:r w:rsidRPr="00EE4EE5">
        <w:rPr>
          <w:rStyle w:val="Strong"/>
          <w:rFonts w:ascii="Arial" w:hAnsi="Arial" w:cs="Arial"/>
          <w:sz w:val="20"/>
          <w:szCs w:val="20"/>
        </w:rPr>
        <w:t>, C. L. (1987).</w:t>
      </w:r>
      <w:r w:rsidRPr="00EE4EE5">
        <w:rPr>
          <w:rFonts w:ascii="Arial" w:hAnsi="Arial" w:cs="Arial"/>
          <w:sz w:val="20"/>
          <w:szCs w:val="20"/>
        </w:rPr>
        <w:t xml:space="preserve"> </w:t>
      </w:r>
      <w:r w:rsidRPr="00EE4EE5">
        <w:rPr>
          <w:rStyle w:val="Emphasis"/>
          <w:rFonts w:ascii="Arial" w:hAnsi="Arial" w:cs="Arial"/>
          <w:sz w:val="20"/>
          <w:szCs w:val="20"/>
        </w:rPr>
        <w:t>Practical methods in ecology and environmental science,</w:t>
      </w:r>
      <w:r w:rsidRPr="00EE4EE5">
        <w:rPr>
          <w:rFonts w:ascii="Arial" w:hAnsi="Arial" w:cs="Arial"/>
          <w:sz w:val="20"/>
          <w:szCs w:val="20"/>
        </w:rPr>
        <w:t xml:space="preserve"> Environmental Publications. (340 pp.). </w:t>
      </w:r>
    </w:p>
    <w:p w14:paraId="710B036A" w14:textId="60C74AD9" w:rsidR="00B4732C" w:rsidRPr="00EE4EE5" w:rsidRDefault="00B4732C"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Walkley, A., &amp; Black, I. A. (1934).</w:t>
      </w:r>
      <w:r w:rsidRPr="00EE4EE5">
        <w:rPr>
          <w:rFonts w:ascii="Arial" w:hAnsi="Arial" w:cs="Arial"/>
          <w:sz w:val="20"/>
          <w:szCs w:val="20"/>
        </w:rPr>
        <w:t xml:space="preserve"> An examination of the </w:t>
      </w:r>
      <w:proofErr w:type="spellStart"/>
      <w:r w:rsidRPr="00EE4EE5">
        <w:rPr>
          <w:rFonts w:ascii="Arial" w:hAnsi="Arial" w:cs="Arial"/>
          <w:sz w:val="20"/>
          <w:szCs w:val="20"/>
        </w:rPr>
        <w:t>Degtjareff</w:t>
      </w:r>
      <w:proofErr w:type="spellEnd"/>
      <w:r w:rsidRPr="00EE4EE5">
        <w:rPr>
          <w:rFonts w:ascii="Arial" w:hAnsi="Arial" w:cs="Arial"/>
          <w:sz w:val="20"/>
          <w:szCs w:val="20"/>
        </w:rPr>
        <w:t xml:space="preserve"> method for determining soil organic matter, and a proposed modification of the chromic acid titration method. </w:t>
      </w:r>
      <w:r w:rsidRPr="00EE4EE5">
        <w:rPr>
          <w:rStyle w:val="Emphasis"/>
          <w:rFonts w:ascii="Arial" w:hAnsi="Arial" w:cs="Arial"/>
          <w:sz w:val="20"/>
          <w:szCs w:val="20"/>
        </w:rPr>
        <w:t>Soil Science, 37</w:t>
      </w:r>
      <w:r w:rsidRPr="00EE4EE5">
        <w:rPr>
          <w:rFonts w:ascii="Arial" w:hAnsi="Arial" w:cs="Arial"/>
          <w:sz w:val="20"/>
          <w:szCs w:val="20"/>
        </w:rPr>
        <w:t>(1), 29–38.</w:t>
      </w:r>
    </w:p>
    <w:p w14:paraId="798FFFF9" w14:textId="3B165EBF" w:rsidR="00FC49FD" w:rsidRPr="00EE4EE5" w:rsidRDefault="00FC49FD" w:rsidP="006B1A37">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American Public Health Association. (2012).</w:t>
      </w:r>
      <w:r w:rsidRPr="00EE4EE5">
        <w:rPr>
          <w:rFonts w:ascii="Arial" w:hAnsi="Arial" w:cs="Arial"/>
          <w:sz w:val="20"/>
          <w:szCs w:val="20"/>
        </w:rPr>
        <w:t xml:space="preserve"> </w:t>
      </w:r>
      <w:r w:rsidRPr="00EE4EE5">
        <w:rPr>
          <w:rStyle w:val="Emphasis"/>
          <w:rFonts w:ascii="Arial" w:hAnsi="Arial" w:cs="Arial"/>
          <w:sz w:val="20"/>
          <w:szCs w:val="20"/>
        </w:rPr>
        <w:t>Standard methods for the examination of water and wastewater</w:t>
      </w:r>
      <w:r w:rsidRPr="00EE4EE5">
        <w:rPr>
          <w:rFonts w:ascii="Arial" w:hAnsi="Arial" w:cs="Arial"/>
          <w:sz w:val="20"/>
          <w:szCs w:val="20"/>
        </w:rPr>
        <w:t xml:space="preserve"> (22nd ed.). American Public Health Association.</w:t>
      </w:r>
      <w:r w:rsidRPr="00EE4EE5">
        <w:rPr>
          <w:rFonts w:ascii="Arial" w:hAnsi="Arial" w:cs="Arial"/>
          <w:color w:val="222222"/>
          <w:sz w:val="20"/>
          <w:szCs w:val="20"/>
          <w:shd w:val="clear" w:color="auto" w:fill="FFFFFF"/>
        </w:rPr>
        <w:t xml:space="preserve">  2013 pp.</w:t>
      </w:r>
    </w:p>
    <w:p w14:paraId="038D13C0" w14:textId="4A6D4939" w:rsidR="00E71366" w:rsidRPr="00EE4EE5" w:rsidRDefault="00E71366" w:rsidP="006B1A37">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color w:val="222222"/>
          <w:sz w:val="20"/>
          <w:szCs w:val="20"/>
          <w:shd w:val="clear" w:color="auto" w:fill="FFFFFF"/>
        </w:rPr>
        <w:t>Jackson, M.</w:t>
      </w:r>
      <w:r w:rsidR="00A303BA" w:rsidRPr="00EE4EE5">
        <w:rPr>
          <w:rFonts w:ascii="Arial" w:hAnsi="Arial" w:cs="Arial"/>
          <w:color w:val="222222"/>
          <w:sz w:val="20"/>
          <w:szCs w:val="20"/>
          <w:shd w:val="clear" w:color="auto" w:fill="FFFFFF"/>
        </w:rPr>
        <w:t xml:space="preserve"> 1958)</w:t>
      </w:r>
      <w:r w:rsidRPr="00EE4EE5">
        <w:rPr>
          <w:rFonts w:ascii="Arial" w:hAnsi="Arial" w:cs="Arial"/>
          <w:color w:val="222222"/>
          <w:sz w:val="20"/>
          <w:szCs w:val="20"/>
          <w:shd w:val="clear" w:color="auto" w:fill="FFFFFF"/>
        </w:rPr>
        <w:t xml:space="preserve"> Soil chemical analysis prentice Hall. </w:t>
      </w:r>
      <w:r w:rsidRPr="00EE4EE5">
        <w:rPr>
          <w:rFonts w:ascii="Arial" w:hAnsi="Arial" w:cs="Arial"/>
          <w:i/>
          <w:iCs/>
          <w:color w:val="222222"/>
          <w:sz w:val="20"/>
          <w:szCs w:val="20"/>
          <w:shd w:val="clear" w:color="auto" w:fill="FFFFFF"/>
        </w:rPr>
        <w:t>Inc., Englewood Cliffs, NJ</w:t>
      </w:r>
      <w:r w:rsidRPr="00EE4EE5">
        <w:rPr>
          <w:rFonts w:ascii="Arial" w:hAnsi="Arial" w:cs="Arial"/>
          <w:color w:val="222222"/>
          <w:sz w:val="20"/>
          <w:szCs w:val="20"/>
          <w:shd w:val="clear" w:color="auto" w:fill="FFFFFF"/>
        </w:rPr>
        <w:t>, </w:t>
      </w:r>
      <w:r w:rsidRPr="00EE4EE5">
        <w:rPr>
          <w:rFonts w:ascii="Arial" w:hAnsi="Arial" w:cs="Arial"/>
          <w:i/>
          <w:iCs/>
          <w:color w:val="222222"/>
          <w:sz w:val="20"/>
          <w:szCs w:val="20"/>
          <w:shd w:val="clear" w:color="auto" w:fill="FFFFFF"/>
        </w:rPr>
        <w:t xml:space="preserve">498 </w:t>
      </w:r>
      <w:r w:rsidRPr="00EE4EE5">
        <w:rPr>
          <w:rFonts w:ascii="Arial" w:hAnsi="Arial" w:cs="Arial"/>
          <w:color w:val="222222"/>
          <w:sz w:val="20"/>
          <w:szCs w:val="20"/>
          <w:shd w:val="clear" w:color="auto" w:fill="FFFFFF"/>
        </w:rPr>
        <w:t>(, 183-204.</w:t>
      </w:r>
    </w:p>
    <w:p w14:paraId="288EF91E" w14:textId="59BDDA0E" w:rsidR="00DD75F6" w:rsidRPr="00EE4EE5" w:rsidRDefault="00DD75F6" w:rsidP="00AA3357">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Bhavya, L. R., &amp; Sanal Kumar, M. G. (2021).</w:t>
      </w:r>
      <w:r w:rsidRPr="00EE4EE5">
        <w:rPr>
          <w:rFonts w:ascii="Arial" w:hAnsi="Arial" w:cs="Arial"/>
          <w:sz w:val="20"/>
          <w:szCs w:val="20"/>
        </w:rPr>
        <w:t xml:space="preserve"> Effect of soil edaphic and chemical factors on the population density of a terrestrial detritivore collembolan—</w:t>
      </w:r>
      <w:proofErr w:type="spellStart"/>
      <w:r w:rsidRPr="00EE4EE5">
        <w:rPr>
          <w:rStyle w:val="Emphasis"/>
          <w:rFonts w:ascii="Arial" w:hAnsi="Arial" w:cs="Arial"/>
          <w:sz w:val="20"/>
          <w:szCs w:val="20"/>
        </w:rPr>
        <w:t>Cyphoderus</w:t>
      </w:r>
      <w:proofErr w:type="spellEnd"/>
      <w:r w:rsidRPr="00EE4EE5">
        <w:rPr>
          <w:rStyle w:val="Emphasis"/>
          <w:rFonts w:ascii="Arial" w:hAnsi="Arial" w:cs="Arial"/>
          <w:sz w:val="20"/>
          <w:szCs w:val="20"/>
        </w:rPr>
        <w:t xml:space="preserve"> </w:t>
      </w:r>
      <w:proofErr w:type="spellStart"/>
      <w:r w:rsidRPr="00EE4EE5">
        <w:rPr>
          <w:rStyle w:val="Emphasis"/>
          <w:rFonts w:ascii="Arial" w:hAnsi="Arial" w:cs="Arial"/>
          <w:sz w:val="20"/>
          <w:szCs w:val="20"/>
        </w:rPr>
        <w:t>javanus</w:t>
      </w:r>
      <w:proofErr w:type="spellEnd"/>
      <w:r w:rsidRPr="00EE4EE5">
        <w:rPr>
          <w:rFonts w:ascii="Arial" w:hAnsi="Arial" w:cs="Arial"/>
          <w:sz w:val="20"/>
          <w:szCs w:val="20"/>
        </w:rPr>
        <w:t xml:space="preserve"> in different places of Thiruvananthapuram district. </w:t>
      </w:r>
      <w:r w:rsidRPr="00EE4EE5">
        <w:rPr>
          <w:rStyle w:val="Emphasis"/>
          <w:rFonts w:ascii="Arial" w:hAnsi="Arial" w:cs="Arial"/>
          <w:sz w:val="20"/>
          <w:szCs w:val="20"/>
        </w:rPr>
        <w:t>Uttar Pradesh Journal of Zoology, 42</w:t>
      </w:r>
      <w:r w:rsidRPr="00EE4EE5">
        <w:rPr>
          <w:rFonts w:ascii="Arial" w:hAnsi="Arial" w:cs="Arial"/>
          <w:sz w:val="20"/>
          <w:szCs w:val="20"/>
        </w:rPr>
        <w:t>(13), 22–31</w:t>
      </w:r>
    </w:p>
    <w:p w14:paraId="1ADD1149" w14:textId="40C55D57" w:rsidR="00F67A24" w:rsidRPr="00EE4EE5" w:rsidRDefault="00717063" w:rsidP="00722A25">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EE4EE5">
        <w:rPr>
          <w:rStyle w:val="Strong"/>
          <w:rFonts w:ascii="Arial" w:hAnsi="Arial" w:cs="Arial"/>
          <w:sz w:val="20"/>
          <w:szCs w:val="20"/>
        </w:rPr>
        <w:t>Oladoye</w:t>
      </w:r>
      <w:proofErr w:type="spellEnd"/>
      <w:r w:rsidRPr="00EE4EE5">
        <w:rPr>
          <w:rStyle w:val="Strong"/>
          <w:rFonts w:ascii="Arial" w:hAnsi="Arial" w:cs="Arial"/>
          <w:sz w:val="20"/>
          <w:szCs w:val="20"/>
        </w:rPr>
        <w:t>, A. O. (2015).</w:t>
      </w:r>
      <w:r w:rsidRPr="00EE4EE5">
        <w:rPr>
          <w:rFonts w:ascii="Arial" w:hAnsi="Arial" w:cs="Arial"/>
          <w:sz w:val="20"/>
          <w:szCs w:val="20"/>
        </w:rPr>
        <w:t xml:space="preserve"> Physicochemical properties of soil under two different depths in a tropical forest of International Institute of Tropical Agriculture, Abeokuta, Ibadan, Nigeria. </w:t>
      </w:r>
      <w:r w:rsidRPr="00EE4EE5">
        <w:rPr>
          <w:rStyle w:val="Emphasis"/>
          <w:rFonts w:ascii="Arial" w:hAnsi="Arial" w:cs="Arial"/>
          <w:sz w:val="20"/>
          <w:szCs w:val="20"/>
        </w:rPr>
        <w:t>Journal of Research in Forestry, Wildlife and Environment, 7</w:t>
      </w:r>
      <w:r w:rsidRPr="00EE4EE5">
        <w:rPr>
          <w:rFonts w:ascii="Arial" w:hAnsi="Arial" w:cs="Arial"/>
          <w:sz w:val="20"/>
          <w:szCs w:val="20"/>
        </w:rPr>
        <w:t>(1), 40–54.</w:t>
      </w:r>
    </w:p>
    <w:p w14:paraId="1F42DA91" w14:textId="23B5ABC3" w:rsidR="003E27CA" w:rsidRPr="00EE4EE5" w:rsidRDefault="003E27CA"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sz w:val="20"/>
          <w:szCs w:val="20"/>
        </w:rPr>
        <w:t>Pramanik</w:t>
      </w:r>
      <w:r w:rsidRPr="00EE4EE5">
        <w:rPr>
          <w:rStyle w:val="Strong"/>
        </w:rPr>
        <w:t>, R., Sarkar, K., &amp; Joy, V. C. (2001).</w:t>
      </w:r>
      <w:r w:rsidRPr="00EE4EE5">
        <w:t xml:space="preserve"> Efficiency of detritivore soil arthropods in mobilizing nutrients from leaf litter. </w:t>
      </w:r>
      <w:r w:rsidRPr="00EE4EE5">
        <w:rPr>
          <w:rStyle w:val="Emphasis"/>
        </w:rPr>
        <w:t>Tropical Ecology, 42</w:t>
      </w:r>
      <w:r w:rsidRPr="00EE4EE5">
        <w:t>(1), 51–58.</w:t>
      </w:r>
    </w:p>
    <w:p w14:paraId="3A6655EF" w14:textId="0E2E220D" w:rsidR="00F67A24" w:rsidRPr="00EE4EE5" w:rsidRDefault="00F67A24"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color w:val="222222"/>
          <w:sz w:val="20"/>
          <w:szCs w:val="20"/>
          <w:shd w:val="clear" w:color="auto" w:fill="FFFFFF"/>
        </w:rPr>
        <w:t>Kula, E., &amp; Lazorik, M. (2016). Centipedes, millipedes, terrestrial isopods and their relationships to physical and chemical properties of forest soils. </w:t>
      </w:r>
      <w:proofErr w:type="spellStart"/>
      <w:r w:rsidRPr="00EE4EE5">
        <w:rPr>
          <w:rFonts w:ascii="Arial" w:hAnsi="Arial" w:cs="Arial"/>
          <w:i/>
          <w:iCs/>
          <w:color w:val="222222"/>
          <w:sz w:val="20"/>
          <w:szCs w:val="20"/>
          <w:shd w:val="clear" w:color="auto" w:fill="FFFFFF"/>
        </w:rPr>
        <w:t>Entomologica</w:t>
      </w:r>
      <w:proofErr w:type="spellEnd"/>
      <w:r w:rsidRPr="00EE4EE5">
        <w:rPr>
          <w:rFonts w:ascii="Arial" w:hAnsi="Arial" w:cs="Arial"/>
          <w:i/>
          <w:iCs/>
          <w:color w:val="222222"/>
          <w:sz w:val="20"/>
          <w:szCs w:val="20"/>
          <w:shd w:val="clear" w:color="auto" w:fill="FFFFFF"/>
        </w:rPr>
        <w:t xml:space="preserve"> </w:t>
      </w:r>
      <w:proofErr w:type="spellStart"/>
      <w:r w:rsidRPr="00EE4EE5">
        <w:rPr>
          <w:rFonts w:ascii="Arial" w:hAnsi="Arial" w:cs="Arial"/>
          <w:i/>
          <w:iCs/>
          <w:color w:val="222222"/>
          <w:sz w:val="20"/>
          <w:szCs w:val="20"/>
          <w:shd w:val="clear" w:color="auto" w:fill="FFFFFF"/>
        </w:rPr>
        <w:t>Fennica</w:t>
      </w:r>
      <w:proofErr w:type="spellEnd"/>
      <w:r w:rsidRPr="00EE4EE5">
        <w:rPr>
          <w:rFonts w:ascii="Arial" w:hAnsi="Arial" w:cs="Arial"/>
          <w:color w:val="222222"/>
          <w:sz w:val="20"/>
          <w:szCs w:val="20"/>
          <w:shd w:val="clear" w:color="auto" w:fill="FFFFFF"/>
        </w:rPr>
        <w:t>, </w:t>
      </w:r>
      <w:r w:rsidRPr="00EE4EE5">
        <w:rPr>
          <w:rFonts w:ascii="Arial" w:hAnsi="Arial" w:cs="Arial"/>
          <w:i/>
          <w:iCs/>
          <w:color w:val="222222"/>
          <w:sz w:val="20"/>
          <w:szCs w:val="20"/>
          <w:shd w:val="clear" w:color="auto" w:fill="FFFFFF"/>
        </w:rPr>
        <w:t>27</w:t>
      </w:r>
      <w:r w:rsidRPr="00EE4EE5">
        <w:rPr>
          <w:rFonts w:ascii="Arial" w:hAnsi="Arial" w:cs="Arial"/>
          <w:color w:val="222222"/>
          <w:sz w:val="20"/>
          <w:szCs w:val="20"/>
          <w:shd w:val="clear" w:color="auto" w:fill="FFFFFF"/>
        </w:rPr>
        <w:t xml:space="preserve">(1), 33-51. </w:t>
      </w:r>
    </w:p>
    <w:p w14:paraId="08AB7E16" w14:textId="11742A90" w:rsidR="00F67A24" w:rsidRPr="00EE4EE5" w:rsidRDefault="00F67A24" w:rsidP="00F67A24">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EE4EE5">
        <w:rPr>
          <w:rFonts w:ascii="Arial" w:hAnsi="Arial" w:cs="Arial"/>
          <w:sz w:val="20"/>
          <w:szCs w:val="20"/>
        </w:rPr>
        <w:t>Sfenthourakis</w:t>
      </w:r>
      <w:proofErr w:type="spellEnd"/>
      <w:r w:rsidRPr="00EE4EE5">
        <w:rPr>
          <w:rFonts w:ascii="Arial" w:hAnsi="Arial" w:cs="Arial"/>
          <w:sz w:val="20"/>
          <w:szCs w:val="20"/>
        </w:rPr>
        <w:t xml:space="preserve">, S., &amp; Hornung, E. (2018). Isopod distribution and climate change. </w:t>
      </w:r>
      <w:proofErr w:type="spellStart"/>
      <w:r w:rsidRPr="00EE4EE5">
        <w:rPr>
          <w:rStyle w:val="Emphasis"/>
          <w:rFonts w:ascii="Arial" w:hAnsi="Arial" w:cs="Arial"/>
          <w:sz w:val="20"/>
          <w:szCs w:val="20"/>
        </w:rPr>
        <w:t>ZooKeys</w:t>
      </w:r>
      <w:proofErr w:type="spellEnd"/>
      <w:r w:rsidRPr="00EE4EE5">
        <w:rPr>
          <w:rFonts w:ascii="Arial" w:hAnsi="Arial" w:cs="Arial"/>
          <w:sz w:val="20"/>
          <w:szCs w:val="20"/>
        </w:rPr>
        <w:t xml:space="preserve">, </w:t>
      </w:r>
      <w:r w:rsidRPr="00EE4EE5">
        <w:rPr>
          <w:rStyle w:val="Emphasis"/>
          <w:rFonts w:ascii="Arial" w:hAnsi="Arial" w:cs="Arial"/>
          <w:sz w:val="20"/>
          <w:szCs w:val="20"/>
        </w:rPr>
        <w:t>(801)</w:t>
      </w:r>
      <w:r w:rsidRPr="00EE4EE5">
        <w:rPr>
          <w:rFonts w:ascii="Arial" w:hAnsi="Arial" w:cs="Arial"/>
          <w:sz w:val="20"/>
          <w:szCs w:val="20"/>
        </w:rPr>
        <w:t>, 25–61.</w:t>
      </w:r>
    </w:p>
    <w:p w14:paraId="309186CB" w14:textId="56E4F356" w:rsidR="004C1594" w:rsidRPr="00EE4EE5" w:rsidRDefault="004C1594"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sz w:val="20"/>
          <w:szCs w:val="20"/>
        </w:rPr>
        <w:lastRenderedPageBreak/>
        <w:t xml:space="preserve">Warburg, M. R., </w:t>
      </w:r>
      <w:proofErr w:type="spellStart"/>
      <w:r w:rsidRPr="00EE4EE5">
        <w:rPr>
          <w:rFonts w:ascii="Arial" w:hAnsi="Arial" w:cs="Arial"/>
          <w:sz w:val="20"/>
          <w:szCs w:val="20"/>
        </w:rPr>
        <w:t>Linsenmair</w:t>
      </w:r>
      <w:proofErr w:type="spellEnd"/>
      <w:r w:rsidRPr="00EE4EE5">
        <w:rPr>
          <w:rFonts w:ascii="Arial" w:hAnsi="Arial" w:cs="Arial"/>
          <w:sz w:val="20"/>
          <w:szCs w:val="20"/>
        </w:rPr>
        <w:t xml:space="preserve">, K. E., &amp; Bercovitz, K. (1984). The effect of climate on the distribution and abundance of isopods. </w:t>
      </w:r>
      <w:r w:rsidRPr="00EE4EE5">
        <w:rPr>
          <w:rStyle w:val="Emphasis"/>
          <w:rFonts w:ascii="Arial" w:hAnsi="Arial" w:cs="Arial"/>
          <w:sz w:val="20"/>
          <w:szCs w:val="20"/>
        </w:rPr>
        <w:t>Journal of Animal Ecology, 53</w:t>
      </w:r>
      <w:r w:rsidRPr="00EE4EE5">
        <w:rPr>
          <w:rFonts w:ascii="Arial" w:hAnsi="Arial" w:cs="Arial"/>
          <w:sz w:val="20"/>
          <w:szCs w:val="20"/>
        </w:rPr>
        <w:t>(3), 753–761.</w:t>
      </w:r>
    </w:p>
    <w:p w14:paraId="2857FE17" w14:textId="4BAE24B7" w:rsidR="004C1594" w:rsidRPr="00EE4EE5" w:rsidRDefault="0043065D"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b w:val="0"/>
          <w:sz w:val="20"/>
          <w:szCs w:val="20"/>
        </w:rPr>
        <w:t>Acharya, P., Samal, S., &amp; Mishra, C. S. K. (2020).</w:t>
      </w:r>
      <w:r w:rsidRPr="00EE4EE5">
        <w:rPr>
          <w:rFonts w:ascii="Arial" w:hAnsi="Arial" w:cs="Arial"/>
          <w:sz w:val="20"/>
          <w:szCs w:val="20"/>
        </w:rPr>
        <w:t xml:space="preserve"> Microarthropod population dynamics in a subtropical deciduous forest of the Eastern-Ghat hill range in India in response to variation in edaphic factors. </w:t>
      </w:r>
      <w:r w:rsidRPr="00EE4EE5">
        <w:rPr>
          <w:rStyle w:val="Emphasis"/>
          <w:rFonts w:ascii="Arial" w:hAnsi="Arial" w:cs="Arial"/>
          <w:sz w:val="20"/>
          <w:szCs w:val="20"/>
        </w:rPr>
        <w:t>Tropical Ecology, 61</w:t>
      </w:r>
      <w:r w:rsidRPr="00EE4EE5">
        <w:rPr>
          <w:rFonts w:ascii="Arial" w:hAnsi="Arial" w:cs="Arial"/>
          <w:sz w:val="20"/>
          <w:szCs w:val="20"/>
        </w:rPr>
        <w:t>(2), 230–241.</w:t>
      </w:r>
    </w:p>
    <w:p w14:paraId="72F185A0" w14:textId="77777777" w:rsidR="00126EB0" w:rsidRPr="00EE4EE5" w:rsidRDefault="0043065D" w:rsidP="00126EB0">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b w:val="0"/>
          <w:sz w:val="20"/>
          <w:szCs w:val="20"/>
        </w:rPr>
        <w:t>Reddy, M. V. (1984).</w:t>
      </w:r>
      <w:r w:rsidRPr="00EE4EE5">
        <w:rPr>
          <w:rFonts w:ascii="Arial" w:hAnsi="Arial" w:cs="Arial"/>
          <w:sz w:val="20"/>
          <w:szCs w:val="20"/>
        </w:rPr>
        <w:t xml:space="preserve"> Seasonal fluctuation of different edaphic microarthropod population densities in relation to soil moisture and temperature in a pine, </w:t>
      </w:r>
      <w:r w:rsidRPr="00EE4EE5">
        <w:rPr>
          <w:rStyle w:val="Emphasis"/>
          <w:rFonts w:ascii="Arial" w:hAnsi="Arial" w:cs="Arial"/>
          <w:sz w:val="20"/>
          <w:szCs w:val="20"/>
        </w:rPr>
        <w:t xml:space="preserve">Pinus </w:t>
      </w:r>
      <w:proofErr w:type="spellStart"/>
      <w:r w:rsidRPr="00EE4EE5">
        <w:rPr>
          <w:rStyle w:val="Emphasis"/>
          <w:rFonts w:ascii="Arial" w:hAnsi="Arial" w:cs="Arial"/>
          <w:sz w:val="20"/>
          <w:szCs w:val="20"/>
        </w:rPr>
        <w:t>kesiya</w:t>
      </w:r>
      <w:proofErr w:type="spellEnd"/>
      <w:r w:rsidRPr="00EE4EE5">
        <w:rPr>
          <w:rFonts w:ascii="Arial" w:hAnsi="Arial" w:cs="Arial"/>
          <w:sz w:val="20"/>
          <w:szCs w:val="20"/>
        </w:rPr>
        <w:t xml:space="preserve"> </w:t>
      </w:r>
      <w:proofErr w:type="spellStart"/>
      <w:r w:rsidRPr="00EE4EE5">
        <w:rPr>
          <w:rFonts w:ascii="Arial" w:hAnsi="Arial" w:cs="Arial"/>
          <w:sz w:val="20"/>
          <w:szCs w:val="20"/>
        </w:rPr>
        <w:t>Royle</w:t>
      </w:r>
      <w:proofErr w:type="spellEnd"/>
      <w:r w:rsidRPr="00EE4EE5">
        <w:rPr>
          <w:rFonts w:ascii="Arial" w:hAnsi="Arial" w:cs="Arial"/>
          <w:sz w:val="20"/>
          <w:szCs w:val="20"/>
        </w:rPr>
        <w:t xml:space="preserve"> plantation ecosystem. </w:t>
      </w:r>
      <w:r w:rsidRPr="00EE4EE5">
        <w:rPr>
          <w:rStyle w:val="Emphasis"/>
          <w:rFonts w:ascii="Arial" w:hAnsi="Arial" w:cs="Arial"/>
          <w:sz w:val="20"/>
          <w:szCs w:val="20"/>
        </w:rPr>
        <w:t>International Journal of Biometeorology, 28</w:t>
      </w:r>
      <w:r w:rsidRPr="00EE4EE5">
        <w:rPr>
          <w:rFonts w:ascii="Arial" w:hAnsi="Arial" w:cs="Arial"/>
          <w:sz w:val="20"/>
          <w:szCs w:val="20"/>
        </w:rPr>
        <w:t xml:space="preserve">(1), 55–59. </w:t>
      </w:r>
    </w:p>
    <w:p w14:paraId="0DF3DD20" w14:textId="77777777" w:rsidR="00126EB0" w:rsidRPr="00EE4EE5" w:rsidRDefault="00126EB0" w:rsidP="00126EB0">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b w:val="0"/>
          <w:sz w:val="20"/>
          <w:szCs w:val="20"/>
        </w:rPr>
        <w:t xml:space="preserve">Prietzel, J., </w:t>
      </w:r>
      <w:proofErr w:type="spellStart"/>
      <w:r w:rsidRPr="00EE4EE5">
        <w:rPr>
          <w:rStyle w:val="Strong"/>
          <w:rFonts w:ascii="Arial" w:hAnsi="Arial" w:cs="Arial"/>
          <w:b w:val="0"/>
          <w:sz w:val="20"/>
          <w:szCs w:val="20"/>
        </w:rPr>
        <w:t>Klysubun</w:t>
      </w:r>
      <w:proofErr w:type="spellEnd"/>
      <w:r w:rsidRPr="00EE4EE5">
        <w:rPr>
          <w:rStyle w:val="Strong"/>
          <w:rFonts w:ascii="Arial" w:hAnsi="Arial" w:cs="Arial"/>
          <w:b w:val="0"/>
          <w:sz w:val="20"/>
          <w:szCs w:val="20"/>
        </w:rPr>
        <w:t>, W., &amp; Hurtarte, L. C. C. (2021).</w:t>
      </w:r>
      <w:r w:rsidRPr="00EE4EE5">
        <w:rPr>
          <w:rFonts w:ascii="Arial" w:hAnsi="Arial" w:cs="Arial"/>
          <w:sz w:val="20"/>
          <w:szCs w:val="20"/>
        </w:rPr>
        <w:t xml:space="preserve"> The fate of calcium in temperate forest soils: A Ca K-edge XANES study. </w:t>
      </w:r>
      <w:r w:rsidRPr="00EE4EE5">
        <w:rPr>
          <w:rStyle w:val="Emphasis"/>
          <w:rFonts w:ascii="Arial" w:hAnsi="Arial" w:cs="Arial"/>
          <w:sz w:val="20"/>
          <w:szCs w:val="20"/>
        </w:rPr>
        <w:t>Biogeochemistry, 152</w:t>
      </w:r>
      <w:r w:rsidRPr="00EE4EE5">
        <w:rPr>
          <w:rFonts w:ascii="Arial" w:hAnsi="Arial" w:cs="Arial"/>
          <w:sz w:val="20"/>
          <w:szCs w:val="20"/>
        </w:rPr>
        <w:t xml:space="preserve">(2), 195–222. </w:t>
      </w:r>
    </w:p>
    <w:p w14:paraId="2C6464E9" w14:textId="77777777" w:rsidR="00B2211F" w:rsidRPr="00EE4EE5" w:rsidRDefault="00126EB0" w:rsidP="00B2211F">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Fonts w:ascii="Arial" w:hAnsi="Arial" w:cs="Arial"/>
          <w:bCs/>
          <w:sz w:val="20"/>
          <w:szCs w:val="20"/>
        </w:rPr>
        <w:t xml:space="preserve">Ruby </w:t>
      </w:r>
      <w:proofErr w:type="spellStart"/>
      <w:r w:rsidRPr="00EE4EE5">
        <w:rPr>
          <w:rFonts w:ascii="Arial" w:hAnsi="Arial" w:cs="Arial"/>
          <w:bCs/>
          <w:sz w:val="20"/>
          <w:szCs w:val="20"/>
        </w:rPr>
        <w:t>Angurana</w:t>
      </w:r>
      <w:proofErr w:type="spellEnd"/>
      <w:r w:rsidRPr="00EE4EE5">
        <w:rPr>
          <w:rFonts w:ascii="Arial" w:hAnsi="Arial" w:cs="Arial"/>
          <w:bCs/>
          <w:sz w:val="20"/>
          <w:szCs w:val="20"/>
        </w:rPr>
        <w:t xml:space="preserve">, </w:t>
      </w:r>
      <w:proofErr w:type="spellStart"/>
      <w:r w:rsidRPr="00EE4EE5">
        <w:rPr>
          <w:rFonts w:ascii="Arial" w:hAnsi="Arial" w:cs="Arial"/>
          <w:bCs/>
          <w:sz w:val="20"/>
          <w:szCs w:val="20"/>
        </w:rPr>
        <w:t>Joydeep</w:t>
      </w:r>
      <w:proofErr w:type="spellEnd"/>
      <w:r w:rsidRPr="00EE4EE5">
        <w:rPr>
          <w:rFonts w:ascii="Arial" w:hAnsi="Arial" w:cs="Arial"/>
          <w:bCs/>
          <w:sz w:val="20"/>
          <w:szCs w:val="20"/>
        </w:rPr>
        <w:t xml:space="preserve"> Dutta and Najitha Banu A (2022).</w:t>
      </w:r>
      <w:r w:rsidRPr="00EE4EE5">
        <w:rPr>
          <w:rFonts w:ascii="Arial" w:eastAsia="Times New Roman" w:hAnsi="Arial" w:cs="Arial"/>
          <w:sz w:val="20"/>
          <w:szCs w:val="20"/>
          <w:lang w:eastAsia="en-IN"/>
        </w:rPr>
        <w:t xml:space="preserve"> Evaluation of the effects of edaphic factors on population diversity of soil arthropods: A case study of Punjab (India). </w:t>
      </w:r>
      <w:r w:rsidRPr="00EE4EE5">
        <w:rPr>
          <w:rFonts w:ascii="Arial" w:hAnsi="Arial" w:cs="Arial"/>
          <w:bCs/>
          <w:i/>
          <w:sz w:val="20"/>
          <w:szCs w:val="20"/>
        </w:rPr>
        <w:t>International Journal of Entomology Research</w:t>
      </w:r>
      <w:r w:rsidRPr="00EE4EE5">
        <w:rPr>
          <w:rFonts w:ascii="Arial" w:hAnsi="Arial" w:cs="Arial"/>
          <w:bCs/>
          <w:sz w:val="20"/>
          <w:szCs w:val="20"/>
        </w:rPr>
        <w:t xml:space="preserve">. 2021; </w:t>
      </w:r>
      <w:r w:rsidRPr="00EE4EE5">
        <w:rPr>
          <w:rFonts w:ascii="Arial" w:eastAsia="Times New Roman" w:hAnsi="Arial" w:cs="Arial"/>
          <w:sz w:val="20"/>
          <w:szCs w:val="20"/>
          <w:lang w:eastAsia="en-IN"/>
        </w:rPr>
        <w:t>7(8). 80-86.</w:t>
      </w:r>
    </w:p>
    <w:p w14:paraId="0D1FC551" w14:textId="70A05587" w:rsidR="00B2211F" w:rsidRPr="00EE4EE5" w:rsidRDefault="00B2211F" w:rsidP="00B2211F">
      <w:pPr>
        <w:pStyle w:val="ListParagraph"/>
        <w:numPr>
          <w:ilvl w:val="0"/>
          <w:numId w:val="1"/>
        </w:numPr>
        <w:spacing w:after="0" w:line="360" w:lineRule="auto"/>
        <w:ind w:left="720"/>
        <w:jc w:val="both"/>
        <w:rPr>
          <w:rFonts w:ascii="Arial" w:hAnsi="Arial" w:cs="Arial"/>
          <w:sz w:val="20"/>
          <w:szCs w:val="20"/>
          <w:shd w:val="clear" w:color="auto" w:fill="FFFFFF"/>
        </w:rPr>
      </w:pPr>
      <w:r w:rsidRPr="00EE4EE5">
        <w:rPr>
          <w:rStyle w:val="Strong"/>
          <w:rFonts w:ascii="Arial" w:hAnsi="Arial" w:cs="Arial"/>
          <w:b w:val="0"/>
          <w:sz w:val="20"/>
          <w:szCs w:val="20"/>
        </w:rPr>
        <w:t>Abbas, M. J., and Parwez, H. (2012).</w:t>
      </w:r>
      <w:r w:rsidRPr="00EE4EE5">
        <w:rPr>
          <w:rFonts w:ascii="Arial" w:hAnsi="Arial" w:cs="Arial"/>
          <w:sz w:val="20"/>
          <w:szCs w:val="20"/>
        </w:rPr>
        <w:t xml:space="preserve"> Impact of edaphic factors on the diversity of soil microarthropods in an agricultural ecosystem at Aligarh. </w:t>
      </w:r>
      <w:r w:rsidRPr="00EE4EE5">
        <w:rPr>
          <w:rStyle w:val="Emphasis"/>
          <w:rFonts w:ascii="Arial" w:hAnsi="Arial" w:cs="Arial"/>
          <w:sz w:val="20"/>
          <w:szCs w:val="20"/>
        </w:rPr>
        <w:t>Indian Journal of Fundamental and Applied Life Sciences, 2</w:t>
      </w:r>
      <w:r w:rsidRPr="00EE4EE5">
        <w:rPr>
          <w:rFonts w:ascii="Arial" w:hAnsi="Arial" w:cs="Arial"/>
          <w:sz w:val="20"/>
          <w:szCs w:val="20"/>
        </w:rPr>
        <w:t>, 185–191.</w:t>
      </w:r>
    </w:p>
    <w:p w14:paraId="01B17165" w14:textId="77777777" w:rsidR="00126EB0" w:rsidRPr="00B2211F" w:rsidRDefault="00126EB0" w:rsidP="00B2211F">
      <w:pPr>
        <w:spacing w:after="0" w:line="360" w:lineRule="auto"/>
        <w:ind w:left="360"/>
        <w:jc w:val="both"/>
        <w:rPr>
          <w:rFonts w:ascii="Times New Roman" w:hAnsi="Times New Roman" w:cs="Times New Roman"/>
          <w:sz w:val="20"/>
          <w:szCs w:val="20"/>
          <w:shd w:val="clear" w:color="auto" w:fill="FFFFFF"/>
        </w:rPr>
      </w:pPr>
    </w:p>
    <w:p w14:paraId="18487407" w14:textId="77777777" w:rsidR="0021705B" w:rsidRDefault="0021705B" w:rsidP="00DB2EBE">
      <w:pPr>
        <w:spacing w:after="0" w:line="360" w:lineRule="auto"/>
        <w:jc w:val="both"/>
        <w:rPr>
          <w:rFonts w:ascii="Arial" w:eastAsia="Times New Roman" w:hAnsi="Arial" w:cs="Arial"/>
          <w:sz w:val="20"/>
          <w:szCs w:val="20"/>
          <w:lang w:eastAsia="en-IN"/>
        </w:rPr>
      </w:pPr>
    </w:p>
    <w:p w14:paraId="64F5A4D9" w14:textId="77777777" w:rsidR="006F7F35" w:rsidRDefault="006F7F35" w:rsidP="00DB2EBE">
      <w:pPr>
        <w:spacing w:after="0" w:line="360" w:lineRule="auto"/>
        <w:jc w:val="both"/>
        <w:rPr>
          <w:rFonts w:ascii="Arial" w:eastAsia="Times New Roman" w:hAnsi="Arial" w:cs="Arial"/>
          <w:sz w:val="20"/>
          <w:szCs w:val="20"/>
          <w:lang w:eastAsia="en-IN"/>
        </w:rPr>
      </w:pPr>
    </w:p>
    <w:p w14:paraId="1990B5EB" w14:textId="77777777" w:rsidR="002E61E5" w:rsidRPr="00DB689A" w:rsidRDefault="002E61E5" w:rsidP="002E61E5">
      <w:pPr>
        <w:jc w:val="both"/>
        <w:rPr>
          <w:rFonts w:ascii="Arial" w:hAnsi="Arial" w:cs="Arial"/>
          <w:sz w:val="24"/>
          <w:szCs w:val="24"/>
          <w:lang w:val="en-US"/>
        </w:rPr>
      </w:pPr>
    </w:p>
    <w:p w14:paraId="0F351BB7" w14:textId="0374E49F" w:rsidR="00222448" w:rsidRDefault="00222448" w:rsidP="00942432">
      <w:pPr>
        <w:spacing w:after="0" w:line="360" w:lineRule="auto"/>
        <w:jc w:val="both"/>
        <w:rPr>
          <w:rFonts w:ascii="Times New Roman" w:hAnsi="Times New Roman" w:cs="Times New Roman"/>
          <w:color w:val="222222"/>
          <w:sz w:val="24"/>
          <w:szCs w:val="24"/>
          <w:shd w:val="clear" w:color="auto" w:fill="FFFFFF"/>
        </w:rPr>
      </w:pPr>
    </w:p>
    <w:p w14:paraId="36735086" w14:textId="00E4F754" w:rsidR="00222448" w:rsidRDefault="00222448" w:rsidP="00942432">
      <w:pPr>
        <w:spacing w:after="0" w:line="360" w:lineRule="auto"/>
        <w:jc w:val="both"/>
        <w:rPr>
          <w:rFonts w:ascii="Times New Roman" w:hAnsi="Times New Roman" w:cs="Times New Roman"/>
          <w:color w:val="222222"/>
          <w:sz w:val="24"/>
          <w:szCs w:val="24"/>
          <w:shd w:val="clear" w:color="auto" w:fill="FFFFFF"/>
        </w:rPr>
      </w:pPr>
    </w:p>
    <w:p w14:paraId="6AF11267" w14:textId="77777777" w:rsidR="00222448" w:rsidRPr="00942432" w:rsidRDefault="00222448" w:rsidP="00942432">
      <w:pPr>
        <w:spacing w:after="0" w:line="360" w:lineRule="auto"/>
        <w:jc w:val="both"/>
        <w:rPr>
          <w:rFonts w:ascii="Times New Roman" w:hAnsi="Times New Roman" w:cs="Times New Roman"/>
          <w:color w:val="222222"/>
          <w:sz w:val="24"/>
          <w:szCs w:val="24"/>
          <w:shd w:val="clear" w:color="auto" w:fill="FFFFFF"/>
        </w:rPr>
      </w:pPr>
    </w:p>
    <w:p w14:paraId="5A0CA692" w14:textId="77777777" w:rsidR="00F34C38" w:rsidRPr="00AB2A41" w:rsidRDefault="00F34C38" w:rsidP="00F34C38">
      <w:pPr>
        <w:spacing w:after="0" w:line="360" w:lineRule="auto"/>
        <w:jc w:val="both"/>
        <w:rPr>
          <w:rFonts w:ascii="Times New Roman" w:hAnsi="Times New Roman" w:cs="Times New Roman"/>
          <w:color w:val="222222"/>
          <w:sz w:val="24"/>
          <w:szCs w:val="24"/>
          <w:shd w:val="clear" w:color="auto" w:fill="FFFFFF"/>
        </w:rPr>
      </w:pPr>
    </w:p>
    <w:p w14:paraId="443F4C63" w14:textId="77777777" w:rsidR="002E61E5" w:rsidRPr="00DB689A" w:rsidRDefault="002E61E5" w:rsidP="002E61E5">
      <w:pPr>
        <w:spacing w:after="0" w:line="360" w:lineRule="auto"/>
        <w:jc w:val="both"/>
        <w:rPr>
          <w:rFonts w:ascii="Arial" w:hAnsi="Arial" w:cs="Arial"/>
          <w:sz w:val="24"/>
          <w:szCs w:val="24"/>
          <w:shd w:val="clear" w:color="auto" w:fill="FFFFFF"/>
        </w:rPr>
      </w:pPr>
    </w:p>
    <w:p w14:paraId="4BD17647" w14:textId="77777777" w:rsidR="002E61E5" w:rsidRPr="00DB689A" w:rsidRDefault="002E61E5" w:rsidP="00B75015">
      <w:pPr>
        <w:jc w:val="both"/>
        <w:rPr>
          <w:rFonts w:ascii="Arial" w:hAnsi="Arial" w:cs="Arial"/>
        </w:rPr>
      </w:pPr>
    </w:p>
    <w:p w14:paraId="40E62BC5" w14:textId="77777777" w:rsidR="002E61E5" w:rsidRPr="00DB689A" w:rsidRDefault="002E61E5" w:rsidP="00B75015">
      <w:pPr>
        <w:jc w:val="both"/>
        <w:rPr>
          <w:rFonts w:ascii="Arial" w:hAnsi="Arial" w:cs="Arial"/>
          <w:sz w:val="24"/>
          <w:szCs w:val="24"/>
          <w:lang w:val="en-US"/>
        </w:rPr>
      </w:pPr>
    </w:p>
    <w:sectPr w:rsidR="002E61E5" w:rsidRPr="00DB68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7C54" w14:textId="77777777" w:rsidR="00341BF5" w:rsidRDefault="00341BF5" w:rsidP="00F6626D">
      <w:pPr>
        <w:spacing w:after="0" w:line="240" w:lineRule="auto"/>
      </w:pPr>
      <w:r>
        <w:separator/>
      </w:r>
    </w:p>
  </w:endnote>
  <w:endnote w:type="continuationSeparator" w:id="0">
    <w:p w14:paraId="6EEA216E" w14:textId="77777777" w:rsidR="00341BF5" w:rsidRDefault="00341BF5"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D8F6" w14:textId="77777777" w:rsidR="007D365B" w:rsidRDefault="007D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6C57" w14:textId="77777777" w:rsidR="007D365B" w:rsidRDefault="007D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4AD7" w14:textId="77777777" w:rsidR="007D365B" w:rsidRDefault="007D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F107" w14:textId="77777777" w:rsidR="00341BF5" w:rsidRDefault="00341BF5" w:rsidP="00F6626D">
      <w:pPr>
        <w:spacing w:after="0" w:line="240" w:lineRule="auto"/>
      </w:pPr>
      <w:r>
        <w:separator/>
      </w:r>
    </w:p>
  </w:footnote>
  <w:footnote w:type="continuationSeparator" w:id="0">
    <w:p w14:paraId="5D6A7E2F" w14:textId="77777777" w:rsidR="00341BF5" w:rsidRDefault="00341BF5" w:rsidP="00F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8C63" w14:textId="4E59FF88" w:rsidR="007D365B" w:rsidRDefault="007D365B">
    <w:pPr>
      <w:pStyle w:val="Header"/>
    </w:pPr>
    <w:r>
      <w:rPr>
        <w:noProof/>
      </w:rPr>
      <w:pict w14:anchorId="5BE72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50C8" w14:textId="3FAF56C1" w:rsidR="007D365B" w:rsidRDefault="007D365B">
    <w:pPr>
      <w:pStyle w:val="Header"/>
    </w:pPr>
    <w:r>
      <w:rPr>
        <w:noProof/>
      </w:rPr>
      <w:pict w14:anchorId="64C6F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D302" w14:textId="3B463AAF" w:rsidR="007D365B" w:rsidRDefault="007D365B">
    <w:pPr>
      <w:pStyle w:val="Header"/>
    </w:pPr>
    <w:r>
      <w:rPr>
        <w:noProof/>
      </w:rPr>
      <w:pict w14:anchorId="2F7BC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0709"/>
    <w:multiLevelType w:val="hybridMultilevel"/>
    <w:tmpl w:val="B7BE8364"/>
    <w:lvl w:ilvl="0" w:tplc="72C6862C">
      <w:start w:val="1"/>
      <w:numFmt w:val="decimal"/>
      <w:lvlText w:val="%1."/>
      <w:lvlJc w:val="left"/>
      <w:pPr>
        <w:ind w:left="99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4C"/>
    <w:rsid w:val="00002612"/>
    <w:rsid w:val="000114BF"/>
    <w:rsid w:val="000148FF"/>
    <w:rsid w:val="00017558"/>
    <w:rsid w:val="000325EF"/>
    <w:rsid w:val="00032C36"/>
    <w:rsid w:val="00033F09"/>
    <w:rsid w:val="0004455B"/>
    <w:rsid w:val="00067F96"/>
    <w:rsid w:val="00073C3D"/>
    <w:rsid w:val="00084CD2"/>
    <w:rsid w:val="000A3708"/>
    <w:rsid w:val="000A5E03"/>
    <w:rsid w:val="000B5396"/>
    <w:rsid w:val="000B61A4"/>
    <w:rsid w:val="000E0D11"/>
    <w:rsid w:val="000E2DE0"/>
    <w:rsid w:val="001033DF"/>
    <w:rsid w:val="00114901"/>
    <w:rsid w:val="00122A61"/>
    <w:rsid w:val="00126EB0"/>
    <w:rsid w:val="00127976"/>
    <w:rsid w:val="00127E43"/>
    <w:rsid w:val="00131FA1"/>
    <w:rsid w:val="001322CF"/>
    <w:rsid w:val="00134ADA"/>
    <w:rsid w:val="001404DF"/>
    <w:rsid w:val="00154F0F"/>
    <w:rsid w:val="00160A02"/>
    <w:rsid w:val="00166C6C"/>
    <w:rsid w:val="00173A72"/>
    <w:rsid w:val="00180324"/>
    <w:rsid w:val="00181603"/>
    <w:rsid w:val="001912AF"/>
    <w:rsid w:val="001A6B0A"/>
    <w:rsid w:val="001B103E"/>
    <w:rsid w:val="001B5AF5"/>
    <w:rsid w:val="001D3577"/>
    <w:rsid w:val="001E285B"/>
    <w:rsid w:val="001F207E"/>
    <w:rsid w:val="001F3B2C"/>
    <w:rsid w:val="0020186A"/>
    <w:rsid w:val="0021705B"/>
    <w:rsid w:val="00220321"/>
    <w:rsid w:val="00222448"/>
    <w:rsid w:val="00227D41"/>
    <w:rsid w:val="00233E25"/>
    <w:rsid w:val="00235ED8"/>
    <w:rsid w:val="00244A71"/>
    <w:rsid w:val="00254126"/>
    <w:rsid w:val="00261780"/>
    <w:rsid w:val="00264033"/>
    <w:rsid w:val="00271EB5"/>
    <w:rsid w:val="002A4C08"/>
    <w:rsid w:val="002C00E6"/>
    <w:rsid w:val="002D6B95"/>
    <w:rsid w:val="002E0538"/>
    <w:rsid w:val="002E6106"/>
    <w:rsid w:val="002E61E5"/>
    <w:rsid w:val="002F0080"/>
    <w:rsid w:val="002F1CEF"/>
    <w:rsid w:val="002F5D82"/>
    <w:rsid w:val="002F6CF0"/>
    <w:rsid w:val="00305668"/>
    <w:rsid w:val="00306FA4"/>
    <w:rsid w:val="00315242"/>
    <w:rsid w:val="00316265"/>
    <w:rsid w:val="00323F90"/>
    <w:rsid w:val="00341BF5"/>
    <w:rsid w:val="0036437E"/>
    <w:rsid w:val="0036721A"/>
    <w:rsid w:val="003756AA"/>
    <w:rsid w:val="003A51A9"/>
    <w:rsid w:val="003B11E0"/>
    <w:rsid w:val="003E27CA"/>
    <w:rsid w:val="003E2939"/>
    <w:rsid w:val="003E3502"/>
    <w:rsid w:val="004047B1"/>
    <w:rsid w:val="00422671"/>
    <w:rsid w:val="004259CF"/>
    <w:rsid w:val="0043065D"/>
    <w:rsid w:val="00434EBE"/>
    <w:rsid w:val="00447636"/>
    <w:rsid w:val="004535BD"/>
    <w:rsid w:val="00457978"/>
    <w:rsid w:val="00470CBA"/>
    <w:rsid w:val="004951D4"/>
    <w:rsid w:val="004975F1"/>
    <w:rsid w:val="004976FE"/>
    <w:rsid w:val="004A1EA8"/>
    <w:rsid w:val="004A4473"/>
    <w:rsid w:val="004A6602"/>
    <w:rsid w:val="004A67EA"/>
    <w:rsid w:val="004C1594"/>
    <w:rsid w:val="004C176F"/>
    <w:rsid w:val="004D2B2A"/>
    <w:rsid w:val="004D6423"/>
    <w:rsid w:val="004D66CB"/>
    <w:rsid w:val="004E55FD"/>
    <w:rsid w:val="004E6BCA"/>
    <w:rsid w:val="00501DC6"/>
    <w:rsid w:val="005075E0"/>
    <w:rsid w:val="00521BC0"/>
    <w:rsid w:val="00521CF2"/>
    <w:rsid w:val="00525B9F"/>
    <w:rsid w:val="00526E6B"/>
    <w:rsid w:val="005441BF"/>
    <w:rsid w:val="00545AFB"/>
    <w:rsid w:val="00560016"/>
    <w:rsid w:val="005602B6"/>
    <w:rsid w:val="0057380D"/>
    <w:rsid w:val="00575EE4"/>
    <w:rsid w:val="00577D11"/>
    <w:rsid w:val="00581A1E"/>
    <w:rsid w:val="00582BB8"/>
    <w:rsid w:val="005852D2"/>
    <w:rsid w:val="005A0958"/>
    <w:rsid w:val="005B72A1"/>
    <w:rsid w:val="005C14D4"/>
    <w:rsid w:val="005C3D54"/>
    <w:rsid w:val="005C4B0F"/>
    <w:rsid w:val="005D40FA"/>
    <w:rsid w:val="005E02D0"/>
    <w:rsid w:val="005E1068"/>
    <w:rsid w:val="005E271E"/>
    <w:rsid w:val="005E2C12"/>
    <w:rsid w:val="005E4177"/>
    <w:rsid w:val="005E6A89"/>
    <w:rsid w:val="00615FC9"/>
    <w:rsid w:val="006162AF"/>
    <w:rsid w:val="006170E8"/>
    <w:rsid w:val="00643E48"/>
    <w:rsid w:val="00647F29"/>
    <w:rsid w:val="006512EB"/>
    <w:rsid w:val="00656337"/>
    <w:rsid w:val="00661CC3"/>
    <w:rsid w:val="00666308"/>
    <w:rsid w:val="00666821"/>
    <w:rsid w:val="00683B7F"/>
    <w:rsid w:val="00694265"/>
    <w:rsid w:val="006A5704"/>
    <w:rsid w:val="006B3F8D"/>
    <w:rsid w:val="006D6C10"/>
    <w:rsid w:val="006F46B3"/>
    <w:rsid w:val="006F7F35"/>
    <w:rsid w:val="006F7FB5"/>
    <w:rsid w:val="00717063"/>
    <w:rsid w:val="00722A25"/>
    <w:rsid w:val="0072769F"/>
    <w:rsid w:val="00736D41"/>
    <w:rsid w:val="007503E8"/>
    <w:rsid w:val="00750CF4"/>
    <w:rsid w:val="0075411B"/>
    <w:rsid w:val="007568C1"/>
    <w:rsid w:val="00756BF8"/>
    <w:rsid w:val="00756C3D"/>
    <w:rsid w:val="0076212E"/>
    <w:rsid w:val="007740EE"/>
    <w:rsid w:val="0077501C"/>
    <w:rsid w:val="007809AF"/>
    <w:rsid w:val="00791DD8"/>
    <w:rsid w:val="00796888"/>
    <w:rsid w:val="007A2080"/>
    <w:rsid w:val="007B39E0"/>
    <w:rsid w:val="007B3A8B"/>
    <w:rsid w:val="007C5D29"/>
    <w:rsid w:val="007D365B"/>
    <w:rsid w:val="007D4D35"/>
    <w:rsid w:val="007D6360"/>
    <w:rsid w:val="007E20AB"/>
    <w:rsid w:val="007E2F3E"/>
    <w:rsid w:val="007E481A"/>
    <w:rsid w:val="00811B63"/>
    <w:rsid w:val="0081765F"/>
    <w:rsid w:val="008237A7"/>
    <w:rsid w:val="008326EE"/>
    <w:rsid w:val="00833683"/>
    <w:rsid w:val="00840CA2"/>
    <w:rsid w:val="008445C8"/>
    <w:rsid w:val="00845EE5"/>
    <w:rsid w:val="0085512F"/>
    <w:rsid w:val="008816E2"/>
    <w:rsid w:val="00883988"/>
    <w:rsid w:val="00886B3A"/>
    <w:rsid w:val="008A56F7"/>
    <w:rsid w:val="008B4667"/>
    <w:rsid w:val="008B69C3"/>
    <w:rsid w:val="008C1EF0"/>
    <w:rsid w:val="008C6792"/>
    <w:rsid w:val="008F0CC8"/>
    <w:rsid w:val="008F70DA"/>
    <w:rsid w:val="00912A8D"/>
    <w:rsid w:val="009142EF"/>
    <w:rsid w:val="00914760"/>
    <w:rsid w:val="00925DA0"/>
    <w:rsid w:val="009312ED"/>
    <w:rsid w:val="00931CA2"/>
    <w:rsid w:val="00932FC6"/>
    <w:rsid w:val="00942432"/>
    <w:rsid w:val="0094640D"/>
    <w:rsid w:val="00950785"/>
    <w:rsid w:val="00964B43"/>
    <w:rsid w:val="00985360"/>
    <w:rsid w:val="009A0E5B"/>
    <w:rsid w:val="009A12C4"/>
    <w:rsid w:val="009A2723"/>
    <w:rsid w:val="009A69C0"/>
    <w:rsid w:val="009B634B"/>
    <w:rsid w:val="009C1637"/>
    <w:rsid w:val="00A029BE"/>
    <w:rsid w:val="00A12168"/>
    <w:rsid w:val="00A20B5E"/>
    <w:rsid w:val="00A235E3"/>
    <w:rsid w:val="00A303BA"/>
    <w:rsid w:val="00A304B0"/>
    <w:rsid w:val="00A43865"/>
    <w:rsid w:val="00A438D1"/>
    <w:rsid w:val="00A456F9"/>
    <w:rsid w:val="00A460CC"/>
    <w:rsid w:val="00A53320"/>
    <w:rsid w:val="00A53652"/>
    <w:rsid w:val="00A53868"/>
    <w:rsid w:val="00A73686"/>
    <w:rsid w:val="00A757DF"/>
    <w:rsid w:val="00A76108"/>
    <w:rsid w:val="00A775AC"/>
    <w:rsid w:val="00A77BA3"/>
    <w:rsid w:val="00A91623"/>
    <w:rsid w:val="00A967D5"/>
    <w:rsid w:val="00AA02FC"/>
    <w:rsid w:val="00AA3357"/>
    <w:rsid w:val="00AB0A16"/>
    <w:rsid w:val="00AB6A56"/>
    <w:rsid w:val="00AC1335"/>
    <w:rsid w:val="00AC5A36"/>
    <w:rsid w:val="00AC71D1"/>
    <w:rsid w:val="00AD0AAC"/>
    <w:rsid w:val="00AE3CC6"/>
    <w:rsid w:val="00AE679E"/>
    <w:rsid w:val="00AF2AE4"/>
    <w:rsid w:val="00B16D8B"/>
    <w:rsid w:val="00B2211F"/>
    <w:rsid w:val="00B45AAF"/>
    <w:rsid w:val="00B465EA"/>
    <w:rsid w:val="00B4732C"/>
    <w:rsid w:val="00B75015"/>
    <w:rsid w:val="00B95DCE"/>
    <w:rsid w:val="00BA21D5"/>
    <w:rsid w:val="00BA28D6"/>
    <w:rsid w:val="00BA2BA6"/>
    <w:rsid w:val="00BA3EC9"/>
    <w:rsid w:val="00BA69DC"/>
    <w:rsid w:val="00BB36D8"/>
    <w:rsid w:val="00BC1CF5"/>
    <w:rsid w:val="00BE009C"/>
    <w:rsid w:val="00BE542D"/>
    <w:rsid w:val="00BF1101"/>
    <w:rsid w:val="00BF6A59"/>
    <w:rsid w:val="00C01815"/>
    <w:rsid w:val="00C22037"/>
    <w:rsid w:val="00C2592F"/>
    <w:rsid w:val="00C3425C"/>
    <w:rsid w:val="00C504C5"/>
    <w:rsid w:val="00C54E59"/>
    <w:rsid w:val="00C55675"/>
    <w:rsid w:val="00C61839"/>
    <w:rsid w:val="00C64A69"/>
    <w:rsid w:val="00C8724C"/>
    <w:rsid w:val="00C914F2"/>
    <w:rsid w:val="00C93DBD"/>
    <w:rsid w:val="00CA4D13"/>
    <w:rsid w:val="00CA7823"/>
    <w:rsid w:val="00CC52C3"/>
    <w:rsid w:val="00CF1B31"/>
    <w:rsid w:val="00CF2169"/>
    <w:rsid w:val="00CF2A5B"/>
    <w:rsid w:val="00D0127F"/>
    <w:rsid w:val="00D13201"/>
    <w:rsid w:val="00D14DA9"/>
    <w:rsid w:val="00D235BE"/>
    <w:rsid w:val="00D270E4"/>
    <w:rsid w:val="00D32C67"/>
    <w:rsid w:val="00D41ABB"/>
    <w:rsid w:val="00D476C9"/>
    <w:rsid w:val="00D6387F"/>
    <w:rsid w:val="00D76E19"/>
    <w:rsid w:val="00D77E84"/>
    <w:rsid w:val="00D85FAA"/>
    <w:rsid w:val="00D957F3"/>
    <w:rsid w:val="00DA1933"/>
    <w:rsid w:val="00DA7F75"/>
    <w:rsid w:val="00DB2EBE"/>
    <w:rsid w:val="00DB39F4"/>
    <w:rsid w:val="00DB3E61"/>
    <w:rsid w:val="00DB521A"/>
    <w:rsid w:val="00DB5681"/>
    <w:rsid w:val="00DB689A"/>
    <w:rsid w:val="00DD75F6"/>
    <w:rsid w:val="00DE5DEA"/>
    <w:rsid w:val="00DF4676"/>
    <w:rsid w:val="00E0416D"/>
    <w:rsid w:val="00E109D8"/>
    <w:rsid w:val="00E10A61"/>
    <w:rsid w:val="00E15E5D"/>
    <w:rsid w:val="00E250EE"/>
    <w:rsid w:val="00E27043"/>
    <w:rsid w:val="00E4405D"/>
    <w:rsid w:val="00E512E7"/>
    <w:rsid w:val="00E63593"/>
    <w:rsid w:val="00E649DE"/>
    <w:rsid w:val="00E67317"/>
    <w:rsid w:val="00E71366"/>
    <w:rsid w:val="00E732EB"/>
    <w:rsid w:val="00E77732"/>
    <w:rsid w:val="00E963DC"/>
    <w:rsid w:val="00E96E67"/>
    <w:rsid w:val="00E97A86"/>
    <w:rsid w:val="00EA1185"/>
    <w:rsid w:val="00EB4624"/>
    <w:rsid w:val="00EC004F"/>
    <w:rsid w:val="00EC5D0D"/>
    <w:rsid w:val="00EE4EE5"/>
    <w:rsid w:val="00F05DE8"/>
    <w:rsid w:val="00F07833"/>
    <w:rsid w:val="00F078E9"/>
    <w:rsid w:val="00F23472"/>
    <w:rsid w:val="00F34C38"/>
    <w:rsid w:val="00F458C3"/>
    <w:rsid w:val="00F51E0E"/>
    <w:rsid w:val="00F52B03"/>
    <w:rsid w:val="00F557C5"/>
    <w:rsid w:val="00F56D1F"/>
    <w:rsid w:val="00F6189D"/>
    <w:rsid w:val="00F6626D"/>
    <w:rsid w:val="00F67A24"/>
    <w:rsid w:val="00F67C53"/>
    <w:rsid w:val="00F949F2"/>
    <w:rsid w:val="00F95A71"/>
    <w:rsid w:val="00F97444"/>
    <w:rsid w:val="00FA54CE"/>
    <w:rsid w:val="00FB4579"/>
    <w:rsid w:val="00FC1107"/>
    <w:rsid w:val="00FC49FD"/>
    <w:rsid w:val="00FD5D49"/>
    <w:rsid w:val="00FD6489"/>
    <w:rsid w:val="00FE7138"/>
    <w:rsid w:val="00FF2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6906E"/>
  <w15:chartTrackingRefBased/>
  <w15:docId w15:val="{6ED452D4-2E7C-4C96-9485-5460487A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033DF"/>
  </w:style>
  <w:style w:type="paragraph" w:styleId="NormalWeb">
    <w:name w:val="Normal (Web)"/>
    <w:basedOn w:val="Normal"/>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6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6D"/>
  </w:style>
  <w:style w:type="paragraph" w:styleId="Footer">
    <w:name w:val="footer"/>
    <w:basedOn w:val="Normal"/>
    <w:link w:val="FooterChar"/>
    <w:unhideWhenUsed/>
    <w:rsid w:val="00F6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6D"/>
  </w:style>
  <w:style w:type="paragraph" w:styleId="ListParagraph">
    <w:name w:val="List Paragraph"/>
    <w:basedOn w:val="Normal"/>
    <w:uiPriority w:val="34"/>
    <w:qFormat/>
    <w:rsid w:val="00A438D1"/>
    <w:pPr>
      <w:ind w:left="720"/>
      <w:contextualSpacing/>
    </w:pPr>
  </w:style>
  <w:style w:type="character" w:styleId="Emphasis">
    <w:name w:val="Emphasis"/>
    <w:basedOn w:val="DefaultParagraphFont"/>
    <w:uiPriority w:val="20"/>
    <w:qFormat/>
    <w:rsid w:val="00A438D1"/>
    <w:rPr>
      <w:i/>
      <w:iCs/>
    </w:rPr>
  </w:style>
  <w:style w:type="character" w:customStyle="1" w:styleId="ml-05">
    <w:name w:val="ml-0.5"/>
    <w:basedOn w:val="DefaultParagraphFont"/>
    <w:rsid w:val="00D14DA9"/>
  </w:style>
  <w:style w:type="paragraph" w:customStyle="1" w:styleId="Body">
    <w:name w:val="Body"/>
    <w:basedOn w:val="Normal"/>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DefaultParagraphFont"/>
    <w:rsid w:val="004E6BCA"/>
  </w:style>
  <w:style w:type="character" w:styleId="Strong">
    <w:name w:val="Strong"/>
    <w:basedOn w:val="DefaultParagraphFont"/>
    <w:uiPriority w:val="22"/>
    <w:qFormat/>
    <w:rsid w:val="00180324"/>
    <w:rPr>
      <w:b/>
      <w:bCs/>
    </w:rPr>
  </w:style>
  <w:style w:type="character" w:styleId="Hyperlink">
    <w:name w:val="Hyperlink"/>
    <w:basedOn w:val="DefaultParagraphFont"/>
    <w:uiPriority w:val="99"/>
    <w:unhideWhenUsed/>
    <w:rsid w:val="009A0E5B"/>
    <w:rPr>
      <w:color w:val="0563C1" w:themeColor="hyperlink"/>
      <w:u w:val="single"/>
    </w:rPr>
  </w:style>
  <w:style w:type="character" w:styleId="UnresolvedMention">
    <w:name w:val="Unresolved Mention"/>
    <w:basedOn w:val="DefaultParagraphFont"/>
    <w:uiPriority w:val="99"/>
    <w:semiHidden/>
    <w:unhideWhenUsed/>
    <w:rsid w:val="009A0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paper%20uttar%20pradesh\pca\coastal%20isopo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paper%20uttar%20pradesh\pca\isopods%20agr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Sheet2!$E$46</c:f>
              <c:strCache>
                <c:ptCount val="1"/>
                <c:pt idx="0">
                  <c:v>Philoscia muscorum</c:v>
                </c:pt>
              </c:strCache>
            </c:strRef>
          </c:tx>
          <c:spPr>
            <a:ln w="28575" cap="rnd">
              <a:solidFill>
                <a:schemeClr val="accent1"/>
              </a:solidFill>
              <a:round/>
            </a:ln>
            <a:effectLst/>
          </c:spPr>
          <c:marker>
            <c:symbol val="none"/>
          </c:marker>
          <c:cat>
            <c:strRef>
              <c:f>Sheet2!$F$45:$H$45</c:f>
              <c:strCache>
                <c:ptCount val="3"/>
                <c:pt idx="0">
                  <c:v>Monsoon</c:v>
                </c:pt>
                <c:pt idx="1">
                  <c:v>Post monsoon</c:v>
                </c:pt>
                <c:pt idx="2">
                  <c:v>Pre monsoon</c:v>
                </c:pt>
              </c:strCache>
            </c:strRef>
          </c:cat>
          <c:val>
            <c:numRef>
              <c:f>Sheet2!$F$46:$H$46</c:f>
              <c:numCache>
                <c:formatCode>General</c:formatCode>
                <c:ptCount val="3"/>
                <c:pt idx="0">
                  <c:v>10.41667</c:v>
                </c:pt>
                <c:pt idx="1">
                  <c:v>23.332999999999998</c:v>
                </c:pt>
                <c:pt idx="2">
                  <c:v>16</c:v>
                </c:pt>
              </c:numCache>
            </c:numRef>
          </c:val>
          <c:smooth val="0"/>
          <c:extLst>
            <c:ext xmlns:c16="http://schemas.microsoft.com/office/drawing/2014/chart" uri="{C3380CC4-5D6E-409C-BE32-E72D297353CC}">
              <c16:uniqueId val="{00000000-4FAC-4842-BEAB-A68711341CD5}"/>
            </c:ext>
          </c:extLst>
        </c:ser>
        <c:ser>
          <c:idx val="1"/>
          <c:order val="1"/>
          <c:tx>
            <c:strRef>
              <c:f>Sheet2!$E$47</c:f>
              <c:strCache>
                <c:ptCount val="1"/>
                <c:pt idx="0">
                  <c:v>Philoscia javanensis</c:v>
                </c:pt>
              </c:strCache>
            </c:strRef>
          </c:tx>
          <c:spPr>
            <a:ln w="28575" cap="rnd">
              <a:solidFill>
                <a:schemeClr val="accent2"/>
              </a:solidFill>
              <a:round/>
            </a:ln>
            <a:effectLst/>
          </c:spPr>
          <c:marker>
            <c:symbol val="none"/>
          </c:marker>
          <c:cat>
            <c:strRef>
              <c:f>Sheet2!$F$45:$H$45</c:f>
              <c:strCache>
                <c:ptCount val="3"/>
                <c:pt idx="0">
                  <c:v>Monsoon</c:v>
                </c:pt>
                <c:pt idx="1">
                  <c:v>Post monsoon</c:v>
                </c:pt>
                <c:pt idx="2">
                  <c:v>Pre monsoon</c:v>
                </c:pt>
              </c:strCache>
            </c:strRef>
          </c:cat>
          <c:val>
            <c:numRef>
              <c:f>Sheet2!$F$47:$H$47</c:f>
              <c:numCache>
                <c:formatCode>General</c:formatCode>
                <c:ptCount val="3"/>
                <c:pt idx="0">
                  <c:v>10.83333</c:v>
                </c:pt>
                <c:pt idx="1">
                  <c:v>21</c:v>
                </c:pt>
                <c:pt idx="2">
                  <c:v>15.1</c:v>
                </c:pt>
              </c:numCache>
            </c:numRef>
          </c:val>
          <c:smooth val="0"/>
          <c:extLst>
            <c:ext xmlns:c16="http://schemas.microsoft.com/office/drawing/2014/chart" uri="{C3380CC4-5D6E-409C-BE32-E72D297353CC}">
              <c16:uniqueId val="{00000001-4FAC-4842-BEAB-A68711341CD5}"/>
            </c:ext>
          </c:extLst>
        </c:ser>
        <c:ser>
          <c:idx val="2"/>
          <c:order val="2"/>
          <c:tx>
            <c:strRef>
              <c:f>Sheet2!$E$48</c:f>
              <c:strCache>
                <c:ptCount val="1"/>
                <c:pt idx="0">
                  <c:v>Porcellio scaber</c:v>
                </c:pt>
              </c:strCache>
            </c:strRef>
          </c:tx>
          <c:spPr>
            <a:ln w="28575" cap="rnd">
              <a:solidFill>
                <a:schemeClr val="accent3"/>
              </a:solidFill>
              <a:round/>
            </a:ln>
            <a:effectLst/>
          </c:spPr>
          <c:marker>
            <c:symbol val="none"/>
          </c:marker>
          <c:cat>
            <c:strRef>
              <c:f>Sheet2!$F$45:$H$45</c:f>
              <c:strCache>
                <c:ptCount val="3"/>
                <c:pt idx="0">
                  <c:v>Monsoon</c:v>
                </c:pt>
                <c:pt idx="1">
                  <c:v>Post monsoon</c:v>
                </c:pt>
                <c:pt idx="2">
                  <c:v>Pre monsoon</c:v>
                </c:pt>
              </c:strCache>
            </c:strRef>
          </c:cat>
          <c:val>
            <c:numRef>
              <c:f>Sheet2!$F$48:$H$48</c:f>
              <c:numCache>
                <c:formatCode>General</c:formatCode>
                <c:ptCount val="3"/>
                <c:pt idx="0">
                  <c:v>6.8333000000000004</c:v>
                </c:pt>
                <c:pt idx="1">
                  <c:v>17.75</c:v>
                </c:pt>
                <c:pt idx="2">
                  <c:v>9.5832999999999995</c:v>
                </c:pt>
              </c:numCache>
            </c:numRef>
          </c:val>
          <c:smooth val="0"/>
          <c:extLst>
            <c:ext xmlns:c16="http://schemas.microsoft.com/office/drawing/2014/chart" uri="{C3380CC4-5D6E-409C-BE32-E72D297353CC}">
              <c16:uniqueId val="{00000002-4FAC-4842-BEAB-A68711341CD5}"/>
            </c:ext>
          </c:extLst>
        </c:ser>
        <c:dLbls>
          <c:showLegendKey val="0"/>
          <c:showVal val="0"/>
          <c:showCatName val="0"/>
          <c:showSerName val="0"/>
          <c:showPercent val="0"/>
          <c:showBubbleSize val="0"/>
        </c:dLbls>
        <c:smooth val="0"/>
        <c:axId val="498503088"/>
        <c:axId val="500845536"/>
      </c:lineChart>
      <c:catAx>
        <c:axId val="49850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845536"/>
        <c:crosses val="autoZero"/>
        <c:auto val="0"/>
        <c:lblAlgn val="ctr"/>
        <c:lblOffset val="100"/>
        <c:noMultiLvlLbl val="0"/>
      </c:catAx>
      <c:valAx>
        <c:axId val="50084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50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ivi!$A$25</c:f>
              <c:strCache>
                <c:ptCount val="1"/>
                <c:pt idx="0">
                  <c:v>Philoscia muscorum</c:v>
                </c:pt>
              </c:strCache>
            </c:strRef>
          </c:tx>
          <c:spPr>
            <a:ln w="28575" cap="rnd">
              <a:solidFill>
                <a:schemeClr val="accent1"/>
              </a:solidFill>
              <a:round/>
            </a:ln>
            <a:effectLst/>
          </c:spPr>
          <c:marker>
            <c:symbol val="none"/>
          </c:marker>
          <c:cat>
            <c:strRef>
              <c:f>ivi!$B$24:$D$24</c:f>
              <c:strCache>
                <c:ptCount val="3"/>
                <c:pt idx="0">
                  <c:v>Monsoon</c:v>
                </c:pt>
                <c:pt idx="1">
                  <c:v>Post monsoon</c:v>
                </c:pt>
                <c:pt idx="2">
                  <c:v>Pre monsoon</c:v>
                </c:pt>
              </c:strCache>
            </c:strRef>
          </c:cat>
          <c:val>
            <c:numRef>
              <c:f>ivi!$B$25:$D$25</c:f>
              <c:numCache>
                <c:formatCode>General</c:formatCode>
                <c:ptCount val="3"/>
                <c:pt idx="0">
                  <c:v>13</c:v>
                </c:pt>
                <c:pt idx="1">
                  <c:v>12</c:v>
                </c:pt>
                <c:pt idx="2">
                  <c:v>12</c:v>
                </c:pt>
              </c:numCache>
            </c:numRef>
          </c:val>
          <c:smooth val="0"/>
          <c:extLst>
            <c:ext xmlns:c16="http://schemas.microsoft.com/office/drawing/2014/chart" uri="{C3380CC4-5D6E-409C-BE32-E72D297353CC}">
              <c16:uniqueId val="{00000000-3EED-454B-87CE-9826FFC922AA}"/>
            </c:ext>
          </c:extLst>
        </c:ser>
        <c:ser>
          <c:idx val="1"/>
          <c:order val="1"/>
          <c:tx>
            <c:strRef>
              <c:f>ivi!$A$26</c:f>
              <c:strCache>
                <c:ptCount val="1"/>
                <c:pt idx="0">
                  <c:v>Philoscia javanensis</c:v>
                </c:pt>
              </c:strCache>
            </c:strRef>
          </c:tx>
          <c:spPr>
            <a:ln w="28575" cap="rnd">
              <a:solidFill>
                <a:schemeClr val="accent2"/>
              </a:solidFill>
              <a:round/>
            </a:ln>
            <a:effectLst/>
          </c:spPr>
          <c:marker>
            <c:symbol val="none"/>
          </c:marker>
          <c:cat>
            <c:strRef>
              <c:f>ivi!$B$24:$D$24</c:f>
              <c:strCache>
                <c:ptCount val="3"/>
                <c:pt idx="0">
                  <c:v>Monsoon</c:v>
                </c:pt>
                <c:pt idx="1">
                  <c:v>Post monsoon</c:v>
                </c:pt>
                <c:pt idx="2">
                  <c:v>Pre monsoon</c:v>
                </c:pt>
              </c:strCache>
            </c:strRef>
          </c:cat>
          <c:val>
            <c:numRef>
              <c:f>ivi!$B$26:$D$26</c:f>
              <c:numCache>
                <c:formatCode>General</c:formatCode>
                <c:ptCount val="3"/>
                <c:pt idx="0">
                  <c:v>25</c:v>
                </c:pt>
                <c:pt idx="1">
                  <c:v>26.58</c:v>
                </c:pt>
                <c:pt idx="2">
                  <c:v>24.25</c:v>
                </c:pt>
              </c:numCache>
            </c:numRef>
          </c:val>
          <c:smooth val="0"/>
          <c:extLst>
            <c:ext xmlns:c16="http://schemas.microsoft.com/office/drawing/2014/chart" uri="{C3380CC4-5D6E-409C-BE32-E72D297353CC}">
              <c16:uniqueId val="{00000001-3EED-454B-87CE-9826FFC922AA}"/>
            </c:ext>
          </c:extLst>
        </c:ser>
        <c:ser>
          <c:idx val="2"/>
          <c:order val="2"/>
          <c:tx>
            <c:strRef>
              <c:f>ivi!$A$27</c:f>
              <c:strCache>
                <c:ptCount val="1"/>
                <c:pt idx="0">
                  <c:v>Porcellio scaber</c:v>
                </c:pt>
              </c:strCache>
            </c:strRef>
          </c:tx>
          <c:spPr>
            <a:ln w="28575" cap="rnd">
              <a:solidFill>
                <a:schemeClr val="accent3"/>
              </a:solidFill>
              <a:round/>
            </a:ln>
            <a:effectLst/>
          </c:spPr>
          <c:marker>
            <c:symbol val="none"/>
          </c:marker>
          <c:cat>
            <c:strRef>
              <c:f>ivi!$B$24:$D$24</c:f>
              <c:strCache>
                <c:ptCount val="3"/>
                <c:pt idx="0">
                  <c:v>Monsoon</c:v>
                </c:pt>
                <c:pt idx="1">
                  <c:v>Post monsoon</c:v>
                </c:pt>
                <c:pt idx="2">
                  <c:v>Pre monsoon</c:v>
                </c:pt>
              </c:strCache>
            </c:strRef>
          </c:cat>
          <c:val>
            <c:numRef>
              <c:f>ivi!$B$27:$D$27</c:f>
              <c:numCache>
                <c:formatCode>General</c:formatCode>
                <c:ptCount val="3"/>
                <c:pt idx="0">
                  <c:v>16</c:v>
                </c:pt>
                <c:pt idx="1">
                  <c:v>15.25</c:v>
                </c:pt>
                <c:pt idx="2">
                  <c:v>17.66</c:v>
                </c:pt>
              </c:numCache>
            </c:numRef>
          </c:val>
          <c:smooth val="0"/>
          <c:extLst>
            <c:ext xmlns:c16="http://schemas.microsoft.com/office/drawing/2014/chart" uri="{C3380CC4-5D6E-409C-BE32-E72D297353CC}">
              <c16:uniqueId val="{00000002-3EED-454B-87CE-9826FFC922AA}"/>
            </c:ext>
          </c:extLst>
        </c:ser>
        <c:dLbls>
          <c:showLegendKey val="0"/>
          <c:showVal val="0"/>
          <c:showCatName val="0"/>
          <c:showSerName val="0"/>
          <c:showPercent val="0"/>
          <c:showBubbleSize val="0"/>
        </c:dLbls>
        <c:smooth val="0"/>
        <c:axId val="501204816"/>
        <c:axId val="444048240"/>
      </c:lineChart>
      <c:catAx>
        <c:axId val="50120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048240"/>
        <c:crosses val="autoZero"/>
        <c:auto val="1"/>
        <c:lblAlgn val="ctr"/>
        <c:lblOffset val="100"/>
        <c:noMultiLvlLbl val="0"/>
      </c:catAx>
      <c:valAx>
        <c:axId val="44404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2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14</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305</cp:revision>
  <dcterms:created xsi:type="dcterms:W3CDTF">2025-04-21T06:23:00Z</dcterms:created>
  <dcterms:modified xsi:type="dcterms:W3CDTF">2025-07-04T11:44:00Z</dcterms:modified>
</cp:coreProperties>
</file>