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C8784" w14:textId="26BC1CCD" w:rsidR="002A7ECF" w:rsidRDefault="001D6D97" w:rsidP="000C1647">
      <w:pPr>
        <w:spacing w:line="240" w:lineRule="auto"/>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 xml:space="preserve">Synthesis and characterization </w:t>
      </w:r>
      <w:r w:rsidR="006E4FB4" w:rsidRPr="002A7ECF">
        <w:rPr>
          <w:rFonts w:asciiTheme="majorBidi" w:hAnsiTheme="majorBidi" w:cstheme="majorBidi"/>
          <w:b/>
          <w:bCs/>
          <w:color w:val="000000" w:themeColor="text1"/>
          <w:sz w:val="32"/>
          <w:szCs w:val="32"/>
        </w:rPr>
        <w:t xml:space="preserve">of a new sulfa-drug </w:t>
      </w:r>
      <w:r w:rsidR="006E4FB4">
        <w:rPr>
          <w:rFonts w:asciiTheme="majorBidi" w:hAnsiTheme="majorBidi" w:cstheme="majorBidi"/>
          <w:b/>
          <w:bCs/>
          <w:color w:val="000000" w:themeColor="text1"/>
          <w:sz w:val="32"/>
          <w:szCs w:val="32"/>
        </w:rPr>
        <w:t xml:space="preserve">derivative and application on </w:t>
      </w:r>
      <w:r w:rsidR="006E4FB4" w:rsidRPr="002A7ECF">
        <w:rPr>
          <w:rFonts w:asciiTheme="majorBidi" w:hAnsiTheme="majorBidi" w:cstheme="majorBidi"/>
          <w:b/>
          <w:bCs/>
          <w:color w:val="000000" w:themeColor="text1"/>
          <w:sz w:val="32"/>
          <w:szCs w:val="32"/>
        </w:rPr>
        <w:t>cyperme</w:t>
      </w:r>
      <w:r>
        <w:rPr>
          <w:rFonts w:asciiTheme="majorBidi" w:hAnsiTheme="majorBidi" w:cstheme="majorBidi"/>
          <w:b/>
          <w:bCs/>
          <w:color w:val="000000" w:themeColor="text1"/>
          <w:sz w:val="32"/>
          <w:szCs w:val="32"/>
        </w:rPr>
        <w:t>thrin-poisoned domestic pigeons(</w:t>
      </w:r>
      <w:r w:rsidRPr="00C41A1E">
        <w:rPr>
          <w:rFonts w:asciiTheme="majorBidi" w:hAnsiTheme="majorBidi" w:cstheme="majorBidi"/>
          <w:b/>
          <w:bCs/>
          <w:i/>
          <w:iCs/>
          <w:color w:val="000000" w:themeColor="text1"/>
          <w:sz w:val="32"/>
          <w:szCs w:val="32"/>
        </w:rPr>
        <w:t>Columba livia</w:t>
      </w:r>
      <w:r>
        <w:rPr>
          <w:rFonts w:asciiTheme="majorBidi" w:hAnsiTheme="majorBidi" w:cstheme="majorBidi"/>
          <w:b/>
          <w:bCs/>
          <w:color w:val="000000" w:themeColor="text1"/>
          <w:sz w:val="32"/>
          <w:szCs w:val="32"/>
        </w:rPr>
        <w:t xml:space="preserve"> )</w:t>
      </w:r>
    </w:p>
    <w:p w14:paraId="6EA8C643" w14:textId="77777777" w:rsidR="00113238" w:rsidRDefault="00113238" w:rsidP="007C6F4E">
      <w:pPr>
        <w:jc w:val="both"/>
        <w:rPr>
          <w:rFonts w:asciiTheme="majorBidi" w:hAnsiTheme="majorBidi" w:cstheme="majorBidi"/>
          <w:b/>
          <w:bCs/>
          <w:sz w:val="28"/>
          <w:szCs w:val="28"/>
        </w:rPr>
      </w:pPr>
    </w:p>
    <w:p w14:paraId="32841CE4" w14:textId="1ACE1282" w:rsidR="0016006C" w:rsidRDefault="001D6D97" w:rsidP="007C6F4E">
      <w:pPr>
        <w:jc w:val="both"/>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Abstract</w:t>
      </w:r>
    </w:p>
    <w:p w14:paraId="115535D8" w14:textId="77777777" w:rsidR="007C6F4E" w:rsidRPr="003A32F9" w:rsidRDefault="001D6D97" w:rsidP="003A32F9">
      <w:pPr>
        <w:jc w:val="both"/>
        <w:rPr>
          <w:rFonts w:asciiTheme="majorBidi" w:hAnsiTheme="majorBidi" w:cstheme="majorBidi"/>
        </w:rPr>
      </w:pPr>
      <w:r w:rsidRPr="00EC7937">
        <w:rPr>
          <w:rFonts w:asciiTheme="majorBidi" w:hAnsiTheme="majorBidi" w:cstheme="majorBidi"/>
          <w:sz w:val="24"/>
          <w:szCs w:val="24"/>
        </w:rPr>
        <w:t>This study reports the synthesis and characterization of a novel sulfa-drug derivative based on sulfapyridine and piperonal, and its application in mitigating cypermethrin-induced toxicity in d</w:t>
      </w:r>
      <w:r w:rsidR="00792581">
        <w:rPr>
          <w:rFonts w:asciiTheme="majorBidi" w:hAnsiTheme="majorBidi" w:cstheme="majorBidi"/>
          <w:sz w:val="24"/>
          <w:szCs w:val="24"/>
        </w:rPr>
        <w:t>omestic pigeons (Columba livia)</w:t>
      </w:r>
      <w:r w:rsidRPr="00EC7937">
        <w:rPr>
          <w:rFonts w:asciiTheme="majorBidi" w:hAnsiTheme="majorBidi" w:cstheme="majorBidi"/>
          <w:sz w:val="24"/>
          <w:szCs w:val="24"/>
        </w:rPr>
        <w:t xml:space="preserve">. A computational ADMET analysis was conducted to predict pharmacokinetic and toxicological properties. </w:t>
      </w:r>
      <w:r w:rsidRPr="00CA56AB">
        <w:rPr>
          <w:rFonts w:asciiTheme="majorBidi" w:hAnsiTheme="majorBidi" w:cstheme="majorBidi"/>
          <w:i/>
          <w:iCs/>
          <w:sz w:val="24"/>
          <w:szCs w:val="24"/>
        </w:rPr>
        <w:t>In vivo</w:t>
      </w:r>
      <w:r w:rsidRPr="00EC7937">
        <w:rPr>
          <w:rFonts w:asciiTheme="majorBidi" w:hAnsiTheme="majorBidi" w:cstheme="majorBidi"/>
          <w:sz w:val="24"/>
          <w:szCs w:val="24"/>
        </w:rPr>
        <w:t xml:space="preserve"> experiments were performed to evaluate the protective effect of the synthesized compound against cypermethrin toxicity using parameters such as LD50 determ</w:t>
      </w:r>
      <w:r w:rsidR="000056C5">
        <w:rPr>
          <w:rFonts w:asciiTheme="majorBidi" w:hAnsiTheme="majorBidi" w:cstheme="majorBidi"/>
          <w:sz w:val="24"/>
          <w:szCs w:val="24"/>
        </w:rPr>
        <w:t xml:space="preserve">ination and </w:t>
      </w:r>
      <w:r w:rsidR="000056C5" w:rsidRPr="000056C5">
        <w:rPr>
          <w:rFonts w:asciiTheme="majorBidi" w:hAnsiTheme="majorBidi" w:cstheme="majorBidi"/>
        </w:rPr>
        <w:t>measuring the levels of interleukin biomarkers (IL-6, IL-10) in cypermethrin-exposed pigeons. Results indicated that the synthesized derivative reduces cypermethrin-induced mortality, lowers levels of the pro-inflammatory cytokine IL-6, and elevates levels of the anti-inflammatory cytokine IL-10, suggesting a modulation of the inflammatory response and a protective effect against pesticide-induced tissue damage</w:t>
      </w:r>
      <w:r w:rsidR="000056C5">
        <w:rPr>
          <w:rFonts w:asciiTheme="majorBidi" w:hAnsiTheme="majorBidi" w:cstheme="majorBidi"/>
        </w:rPr>
        <w:t xml:space="preserve">. </w:t>
      </w:r>
      <w:r w:rsidRPr="007C6F4E">
        <w:rPr>
          <w:rFonts w:asciiTheme="majorBidi" w:hAnsiTheme="majorBidi" w:cstheme="majorBidi"/>
        </w:rPr>
        <w:t>thoroughly characterized using FT-IR, ¹H-NMR, and ¹³C-NMR spectroscopy. The FT-IR spectrum confirmed the presence of key functional groups, including broad N–H stretching bands, strong imine (C=N) absorption at 1625 cm⁻¹, and characteristic S=O, C–O–C, and C–S vibrations, supporting the formation of sulfon</w:t>
      </w:r>
      <w:r>
        <w:rPr>
          <w:rFonts w:asciiTheme="majorBidi" w:hAnsiTheme="majorBidi" w:cstheme="majorBidi"/>
        </w:rPr>
        <w:t xml:space="preserve">amide and benzodioxole moieties, </w:t>
      </w:r>
      <w:r w:rsidRPr="007C6F4E">
        <w:rPr>
          <w:rFonts w:asciiTheme="majorBidi" w:hAnsiTheme="majorBidi" w:cstheme="majorBidi"/>
        </w:rPr>
        <w:t>¹H-NMR analysis revealed distinct signals corresponding to aromatic protons, methylenedioxy groups, aliphatic methylene units adjacent to heteroatoms, and sulfonamide N–H protons, while the absence of aldehydic signals confirmed complete re</w:t>
      </w:r>
      <w:r>
        <w:rPr>
          <w:rFonts w:asciiTheme="majorBidi" w:hAnsiTheme="majorBidi" w:cstheme="majorBidi"/>
        </w:rPr>
        <w:t xml:space="preserve">action of the starting aldehyde, </w:t>
      </w:r>
      <w:r w:rsidRPr="007C6F4E">
        <w:rPr>
          <w:rFonts w:asciiTheme="majorBidi" w:hAnsiTheme="majorBidi" w:cstheme="majorBidi"/>
        </w:rPr>
        <w:t>¹³C-NMR spectroscopy further validated the molecular structure through chemical shifts associated with imine carbons (160–170 ppm), aromatic systems (120–140 ppm), oxygen-linked carbons (90–110 ppm), and nitrogen-bound carbons (~40 ppm). Collectively, the spectral data confirm the successful synthesis of the target compound, incorporating an imine linkage, sulfonamide functionality, and a benzodioxole</w:t>
      </w:r>
      <w:r>
        <w:rPr>
          <w:rFonts w:asciiTheme="majorBidi" w:hAnsiTheme="majorBidi" w:cstheme="majorBidi"/>
        </w:rPr>
        <w:t xml:space="preserve"> </w:t>
      </w:r>
      <w:r w:rsidRPr="007C6F4E">
        <w:rPr>
          <w:rFonts w:asciiTheme="majorBidi" w:hAnsiTheme="majorBidi" w:cstheme="majorBidi"/>
        </w:rPr>
        <w:t>ring, with no residual aldehyde detected.</w:t>
      </w:r>
      <w:r>
        <w:rPr>
          <w:rFonts w:asciiTheme="majorBidi" w:hAnsiTheme="majorBidi" w:cstheme="majorBidi"/>
        </w:rPr>
        <w:t xml:space="preserve"> </w:t>
      </w:r>
      <w:r w:rsidRPr="000056C5">
        <w:rPr>
          <w:rFonts w:asciiTheme="majorBidi" w:hAnsiTheme="majorBidi" w:cstheme="majorBidi"/>
          <w:sz w:val="24"/>
          <w:szCs w:val="24"/>
        </w:rPr>
        <w:t>The</w:t>
      </w:r>
      <w:r w:rsidRPr="00EC7937">
        <w:rPr>
          <w:rFonts w:asciiTheme="majorBidi" w:hAnsiTheme="majorBidi" w:cstheme="majorBidi"/>
          <w:sz w:val="24"/>
          <w:szCs w:val="24"/>
        </w:rPr>
        <w:t xml:space="preserve"> results suggest that the synthesized derivative exhibits potential pharmacological activity and offers a protective effect against pesticide-induced tissue damage in pigeons.</w:t>
      </w:r>
    </w:p>
    <w:p w14:paraId="0CFF4FE0" w14:textId="77777777" w:rsidR="002A7ECF" w:rsidRPr="00EE744C" w:rsidRDefault="001D6D97" w:rsidP="002A7ECF">
      <w:pPr>
        <w:jc w:val="both"/>
        <w:rPr>
          <w:rFonts w:asciiTheme="majorBidi" w:hAnsiTheme="majorBidi" w:cstheme="majorBidi"/>
          <w:sz w:val="24"/>
          <w:szCs w:val="24"/>
        </w:rPr>
      </w:pPr>
      <w:r w:rsidRPr="00156C9D">
        <w:rPr>
          <w:rFonts w:asciiTheme="majorBidi" w:hAnsiTheme="majorBidi" w:cstheme="majorBidi"/>
          <w:b/>
          <w:bCs/>
          <w:sz w:val="28"/>
          <w:szCs w:val="28"/>
        </w:rPr>
        <w:t>Keyword</w:t>
      </w:r>
      <w:r w:rsidRPr="00EE744C">
        <w:rPr>
          <w:rFonts w:asciiTheme="majorBidi" w:hAnsiTheme="majorBidi" w:cstheme="majorBidi"/>
          <w:sz w:val="24"/>
          <w:szCs w:val="24"/>
        </w:rPr>
        <w:t>s:</w:t>
      </w:r>
      <w:r>
        <w:rPr>
          <w:rFonts w:asciiTheme="majorBidi" w:hAnsiTheme="majorBidi" w:cstheme="majorBidi"/>
          <w:sz w:val="24"/>
          <w:szCs w:val="24"/>
        </w:rPr>
        <w:t xml:space="preserve"> </w:t>
      </w:r>
      <w:r w:rsidRPr="00EE744C">
        <w:rPr>
          <w:rFonts w:asciiTheme="majorBidi" w:hAnsiTheme="majorBidi" w:cstheme="majorBidi"/>
          <w:sz w:val="24"/>
          <w:szCs w:val="24"/>
        </w:rPr>
        <w:t xml:space="preserve"> </w:t>
      </w:r>
      <w:r>
        <w:rPr>
          <w:rFonts w:asciiTheme="majorBidi" w:hAnsiTheme="majorBidi" w:cstheme="majorBidi"/>
          <w:sz w:val="24"/>
          <w:szCs w:val="24"/>
        </w:rPr>
        <w:t>Cypermethrin, sulfapyridine, piperonal, ADMET, IL-6</w:t>
      </w:r>
      <w:r w:rsidRPr="00EE744C">
        <w:rPr>
          <w:rFonts w:asciiTheme="majorBidi" w:hAnsiTheme="majorBidi" w:cstheme="majorBidi"/>
          <w:sz w:val="24"/>
          <w:szCs w:val="24"/>
        </w:rPr>
        <w:t xml:space="preserve">, </w:t>
      </w:r>
      <w:r w:rsidR="00884D3C">
        <w:rPr>
          <w:rFonts w:asciiTheme="majorBidi" w:hAnsiTheme="majorBidi" w:cstheme="majorBidi"/>
          <w:sz w:val="24"/>
          <w:szCs w:val="24"/>
        </w:rPr>
        <w:t>and LD50%</w:t>
      </w:r>
    </w:p>
    <w:p w14:paraId="39A804E4" w14:textId="77777777" w:rsidR="00576FB4" w:rsidRDefault="00576FB4" w:rsidP="002A7ECF">
      <w:pPr>
        <w:jc w:val="both"/>
        <w:rPr>
          <w:rFonts w:asciiTheme="majorBidi" w:hAnsiTheme="majorBidi" w:cstheme="majorBidi"/>
          <w:b/>
          <w:bCs/>
          <w:sz w:val="32"/>
          <w:szCs w:val="32"/>
        </w:rPr>
        <w:sectPr w:rsidR="00576FB4" w:rsidSect="00BF2067">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pPr>
    </w:p>
    <w:p w14:paraId="7DD0615C" w14:textId="77777777" w:rsidR="002A7ECF" w:rsidRPr="00576FB4" w:rsidRDefault="001D6D97" w:rsidP="00576FB4">
      <w:pPr>
        <w:jc w:val="both"/>
        <w:rPr>
          <w:rFonts w:asciiTheme="majorBidi" w:hAnsiTheme="majorBidi" w:cstheme="majorBidi"/>
          <w:b/>
          <w:bCs/>
          <w:sz w:val="24"/>
          <w:szCs w:val="24"/>
        </w:rPr>
      </w:pPr>
      <w:r w:rsidRPr="00576FB4">
        <w:rPr>
          <w:rFonts w:asciiTheme="majorBidi" w:hAnsiTheme="majorBidi" w:cstheme="majorBidi"/>
          <w:b/>
          <w:bCs/>
          <w:sz w:val="28"/>
          <w:szCs w:val="28"/>
        </w:rPr>
        <w:t>Introduction</w:t>
      </w:r>
      <w:r w:rsidRPr="00576FB4">
        <w:rPr>
          <w:rFonts w:asciiTheme="majorBidi" w:hAnsiTheme="majorBidi" w:cstheme="majorBidi"/>
          <w:b/>
          <w:bCs/>
          <w:sz w:val="24"/>
          <w:szCs w:val="24"/>
        </w:rPr>
        <w:t xml:space="preserve"> </w:t>
      </w:r>
    </w:p>
    <w:p w14:paraId="3E341204" w14:textId="77777777" w:rsidR="00EF67C9" w:rsidRDefault="00EF67C9" w:rsidP="00576FB4">
      <w:pPr>
        <w:jc w:val="both"/>
        <w:rPr>
          <w:rFonts w:asciiTheme="majorBidi" w:hAnsiTheme="majorBidi" w:cstheme="majorBidi"/>
          <w:sz w:val="24"/>
          <w:szCs w:val="24"/>
        </w:rPr>
        <w:sectPr w:rsidR="00EF67C9" w:rsidSect="00576FB4">
          <w:type w:val="continuous"/>
          <w:pgSz w:w="12240" w:h="15840"/>
          <w:pgMar w:top="990" w:right="1440" w:bottom="1440" w:left="1440" w:header="720" w:footer="720" w:gutter="0"/>
          <w:cols w:num="2" w:space="720"/>
          <w:docGrid w:linePitch="360"/>
        </w:sectPr>
      </w:pPr>
    </w:p>
    <w:p w14:paraId="6EA3E636" w14:textId="77777777" w:rsidR="002A7ECF" w:rsidRPr="006214B4" w:rsidRDefault="001D6D97"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The domestic pigeon, “Columba livia”, is primarily a free-living, cliff-dwelling species of granivore. Pigeons are one of the most widespread and easily observed birds in all the governorates of Iraq. In addition to forming a small part of the human diet, they are kept for ornamental purposes (fine pigeons), as pets, in human sports (racing and performance), and for biological and medical experiments </w:t>
      </w:r>
      <w:r w:rsidRPr="00792581">
        <w:rPr>
          <w:rFonts w:asciiTheme="majorBidi" w:hAnsiTheme="majorBidi" w:cstheme="majorBidi"/>
          <w:sz w:val="24"/>
          <w:szCs w:val="24"/>
        </w:rPr>
        <w:t>(1).</w:t>
      </w:r>
      <w:r w:rsidRPr="006214B4">
        <w:rPr>
          <w:rFonts w:asciiTheme="majorBidi" w:hAnsiTheme="majorBidi" w:cstheme="majorBidi"/>
          <w:sz w:val="24"/>
          <w:szCs w:val="24"/>
        </w:rPr>
        <w:t xml:space="preserve">     </w:t>
      </w:r>
    </w:p>
    <w:p w14:paraId="20C39FC1" w14:textId="77777777" w:rsidR="002A7ECF" w:rsidRPr="006214B4" w:rsidRDefault="001D6D97" w:rsidP="00576FB4">
      <w:pPr>
        <w:jc w:val="both"/>
        <w:rPr>
          <w:rFonts w:asciiTheme="majorBidi" w:hAnsiTheme="majorBidi" w:cstheme="majorBidi"/>
          <w:b/>
          <w:bCs/>
          <w:sz w:val="24"/>
          <w:szCs w:val="24"/>
        </w:rPr>
      </w:pPr>
      <w:r w:rsidRPr="006214B4">
        <w:rPr>
          <w:rFonts w:asciiTheme="majorBidi" w:hAnsiTheme="majorBidi" w:cstheme="majorBidi"/>
          <w:sz w:val="24"/>
          <w:szCs w:val="24"/>
        </w:rPr>
        <w:t xml:space="preserve">Animals and birds are exposed to these environmental pesticides through ingestion, inhalation, and skin contact. Through these methods, pesticides enter the body, accumulate in various </w:t>
      </w:r>
      <w:r w:rsidRPr="006214B4">
        <w:rPr>
          <w:rFonts w:asciiTheme="majorBidi" w:hAnsiTheme="majorBidi" w:cstheme="majorBidi"/>
          <w:sz w:val="24"/>
          <w:szCs w:val="24"/>
        </w:rPr>
        <w:lastRenderedPageBreak/>
        <w:t>organs, and cause toxicity. Other risks include causing changes in blood composition and various hormonal changes</w:t>
      </w:r>
      <w:r w:rsidRPr="006214B4">
        <w:rPr>
          <w:rFonts w:asciiTheme="majorBidi" w:hAnsiTheme="majorBidi" w:cstheme="majorBidi"/>
          <w:b/>
          <w:bCs/>
          <w:sz w:val="24"/>
          <w:szCs w:val="24"/>
        </w:rPr>
        <w:t xml:space="preserve"> </w:t>
      </w:r>
      <w:r w:rsidR="00F47192">
        <w:rPr>
          <w:rFonts w:asciiTheme="majorBidi" w:hAnsiTheme="majorBidi" w:cstheme="majorBidi"/>
          <w:sz w:val="24"/>
          <w:szCs w:val="24"/>
        </w:rPr>
        <w:t>(2</w:t>
      </w:r>
      <w:r w:rsidRPr="00792581">
        <w:rPr>
          <w:rFonts w:asciiTheme="majorBidi" w:hAnsiTheme="majorBidi" w:cstheme="majorBidi"/>
          <w:sz w:val="24"/>
          <w:szCs w:val="24"/>
        </w:rPr>
        <w:t>).</w:t>
      </w:r>
    </w:p>
    <w:p w14:paraId="0BD46597" w14:textId="77777777" w:rsidR="002A7ECF" w:rsidRPr="006214B4" w:rsidRDefault="001D6D97"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        Cypermethrin is a synthetic pyrethroid used as an insecticide in large-scale commercial agriculture and consumer products for household purposes. Synthesized in 1974, it is an industrial chemical similar to the pyrethrins found in pyrethrum extract (derived from the chrysanthemum plant) (WHO, 1989). Cypermethrin acts as a fast-acting neurotoxin in insects and readily degrades in soil and on plants, but can remain effective for weeks when applied to indoor inert surfaces. Exposure to sunlight, water, and oxyge</w:t>
      </w:r>
      <w:r w:rsidR="00CA56AB">
        <w:rPr>
          <w:rFonts w:asciiTheme="majorBidi" w:hAnsiTheme="majorBidi" w:cstheme="majorBidi"/>
          <w:sz w:val="24"/>
          <w:szCs w:val="24"/>
        </w:rPr>
        <w:t>n accelerates its decomposition</w:t>
      </w:r>
      <w:r w:rsidRPr="006214B4">
        <w:rPr>
          <w:rFonts w:asciiTheme="majorBidi" w:hAnsiTheme="majorBidi" w:cstheme="majorBidi"/>
          <w:sz w:val="24"/>
          <w:szCs w:val="24"/>
        </w:rPr>
        <w:t xml:space="preserve">. The main effect of cypermethrin is on neuronal cell membranes by disrupting sodium-gated closure during the repolarization phase. In the normal state of neurons, sodium channels open in response to nerve impulses, allowing sodium ions to flow into the cell, resulting in depolarization. Next, the channels are closed to restore the membrane potential during repolarization. </w:t>
      </w:r>
      <w:r w:rsidR="00F47192">
        <w:rPr>
          <w:rFonts w:asciiTheme="majorBidi" w:hAnsiTheme="majorBidi" w:cstheme="majorBidi"/>
          <w:sz w:val="24"/>
          <w:szCs w:val="24"/>
        </w:rPr>
        <w:t>(3</w:t>
      </w:r>
      <w:r w:rsidR="00CA56AB">
        <w:rPr>
          <w:rFonts w:asciiTheme="majorBidi" w:hAnsiTheme="majorBidi" w:cstheme="majorBidi"/>
          <w:sz w:val="24"/>
          <w:szCs w:val="24"/>
        </w:rPr>
        <w:t>)</w:t>
      </w:r>
    </w:p>
    <w:p w14:paraId="6E4A075A" w14:textId="77777777" w:rsidR="002A7ECF" w:rsidRPr="006214B4" w:rsidRDefault="001D6D97" w:rsidP="006F204E">
      <w:pPr>
        <w:jc w:val="both"/>
        <w:rPr>
          <w:rFonts w:asciiTheme="majorBidi" w:hAnsiTheme="majorBidi" w:cstheme="majorBidi"/>
          <w:sz w:val="24"/>
          <w:szCs w:val="24"/>
        </w:rPr>
      </w:pPr>
      <w:r>
        <w:rPr>
          <w:rFonts w:asciiTheme="majorBidi" w:hAnsiTheme="majorBidi" w:cstheme="majorBidi"/>
          <w:sz w:val="24"/>
          <w:szCs w:val="24"/>
        </w:rPr>
        <w:t xml:space="preserve"> </w:t>
      </w:r>
      <w:r w:rsidR="006E4FB4" w:rsidRPr="006214B4">
        <w:rPr>
          <w:rFonts w:asciiTheme="majorBidi" w:hAnsiTheme="majorBidi" w:cstheme="majorBidi"/>
          <w:sz w:val="24"/>
          <w:szCs w:val="24"/>
        </w:rPr>
        <w:t xml:space="preserve">       It is known to use sulfa therapy to control poultry diseases, particularly in the treatment of cecal coccidiosis, a parasitic infection caused by Eimeria species. Among its most prominent harms are poultry production problems and economic losses </w:t>
      </w:r>
      <w:r w:rsidR="00F47192">
        <w:rPr>
          <w:rFonts w:asciiTheme="majorBidi" w:hAnsiTheme="majorBidi" w:cstheme="majorBidi"/>
          <w:sz w:val="24"/>
          <w:szCs w:val="24"/>
        </w:rPr>
        <w:t>(4</w:t>
      </w:r>
      <w:r w:rsidR="006E4FB4" w:rsidRPr="00792581">
        <w:rPr>
          <w:rFonts w:asciiTheme="majorBidi" w:hAnsiTheme="majorBidi" w:cstheme="majorBidi"/>
          <w:sz w:val="24"/>
          <w:szCs w:val="24"/>
        </w:rPr>
        <w:t>)</w:t>
      </w:r>
      <w:r w:rsidR="00792581">
        <w:rPr>
          <w:rFonts w:asciiTheme="majorBidi" w:hAnsiTheme="majorBidi" w:cstheme="majorBidi"/>
          <w:sz w:val="24"/>
          <w:szCs w:val="24"/>
        </w:rPr>
        <w:t>.</w:t>
      </w:r>
    </w:p>
    <w:p w14:paraId="2908FC10" w14:textId="77777777" w:rsidR="002A7ECF" w:rsidRPr="006214B4" w:rsidRDefault="001D6D97"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         Populations of bacteria have developed resistance to various antibiotics, including sulfonamides, and this emerging resistance underscores the critical need for continuous monitoring and judicious use of antimicrobia</w:t>
      </w:r>
      <w:r w:rsidR="00792581">
        <w:rPr>
          <w:rFonts w:asciiTheme="majorBidi" w:hAnsiTheme="majorBidi" w:cstheme="majorBidi"/>
          <w:sz w:val="24"/>
          <w:szCs w:val="24"/>
        </w:rPr>
        <w:t>l agents in veterinary medicine</w:t>
      </w:r>
      <w:r w:rsidRPr="006214B4">
        <w:rPr>
          <w:rFonts w:asciiTheme="majorBidi" w:hAnsiTheme="majorBidi" w:cstheme="majorBidi"/>
          <w:sz w:val="24"/>
          <w:szCs w:val="24"/>
        </w:rPr>
        <w:t xml:space="preserve"> </w:t>
      </w:r>
      <w:r w:rsidR="00F47192">
        <w:rPr>
          <w:rFonts w:asciiTheme="majorBidi" w:hAnsiTheme="majorBidi" w:cstheme="majorBidi"/>
          <w:sz w:val="24"/>
          <w:szCs w:val="24"/>
        </w:rPr>
        <w:t>(5</w:t>
      </w:r>
      <w:r w:rsidRPr="00792581">
        <w:rPr>
          <w:rFonts w:asciiTheme="majorBidi" w:hAnsiTheme="majorBidi" w:cstheme="majorBidi"/>
          <w:sz w:val="24"/>
          <w:szCs w:val="24"/>
        </w:rPr>
        <w:t>)</w:t>
      </w:r>
      <w:r w:rsidR="00792581">
        <w:rPr>
          <w:rFonts w:asciiTheme="majorBidi" w:hAnsiTheme="majorBidi" w:cstheme="majorBidi"/>
          <w:sz w:val="24"/>
          <w:szCs w:val="24"/>
        </w:rPr>
        <w:t>.</w:t>
      </w:r>
    </w:p>
    <w:p w14:paraId="58BAA8BC" w14:textId="77777777" w:rsidR="002A7ECF" w:rsidRPr="00CA56AB" w:rsidRDefault="001D6D97" w:rsidP="00576FB4">
      <w:pPr>
        <w:jc w:val="both"/>
        <w:rPr>
          <w:rFonts w:asciiTheme="majorBidi" w:hAnsiTheme="majorBidi" w:cstheme="majorBidi"/>
          <w:sz w:val="24"/>
          <w:szCs w:val="24"/>
          <w:rtl/>
        </w:rPr>
      </w:pPr>
      <w:r w:rsidRPr="006214B4">
        <w:rPr>
          <w:rFonts w:asciiTheme="majorBidi" w:hAnsiTheme="majorBidi" w:cstheme="majorBidi"/>
          <w:sz w:val="24"/>
          <w:szCs w:val="24"/>
        </w:rPr>
        <w:t xml:space="preserve">        Sulfa compounds were discovered and used in the early twentieth century, representing a pivotal advance in the field of chemotherapy. The introduction of sulfonamides is now highlighted as it represents an important turning point in therapeutic approaches, facilitating the effective management of bacterial infections and paving the way for the development of subsequent antimicrobial agents. The historical importance of sulfa drugs lies not only in their therapeutic efficacy but also in their role in shaping antimicrobial practices and resistance management str</w:t>
      </w:r>
      <w:r w:rsidR="00792581">
        <w:rPr>
          <w:rFonts w:asciiTheme="majorBidi" w:hAnsiTheme="majorBidi" w:cstheme="majorBidi"/>
          <w:sz w:val="24"/>
          <w:szCs w:val="24"/>
        </w:rPr>
        <w:t xml:space="preserve">ategies in veterinary contexts </w:t>
      </w:r>
      <w:r w:rsidR="00F47192">
        <w:rPr>
          <w:rFonts w:asciiTheme="majorBidi" w:hAnsiTheme="majorBidi" w:cstheme="majorBidi"/>
          <w:sz w:val="24"/>
          <w:szCs w:val="24"/>
        </w:rPr>
        <w:t>(6</w:t>
      </w:r>
      <w:r w:rsidRPr="00792581">
        <w:rPr>
          <w:rFonts w:asciiTheme="majorBidi" w:hAnsiTheme="majorBidi" w:cstheme="majorBidi"/>
          <w:sz w:val="24"/>
          <w:szCs w:val="24"/>
        </w:rPr>
        <w:t>)</w:t>
      </w:r>
      <w:r w:rsidR="00792581">
        <w:rPr>
          <w:rFonts w:asciiTheme="majorBidi" w:hAnsiTheme="majorBidi" w:cstheme="majorBidi"/>
          <w:sz w:val="24"/>
          <w:szCs w:val="24"/>
        </w:rPr>
        <w:t>.</w:t>
      </w:r>
    </w:p>
    <w:p w14:paraId="0BE8139C" w14:textId="77777777" w:rsidR="00884D3C" w:rsidRPr="00576FB4" w:rsidRDefault="001D6D97" w:rsidP="00576FB4">
      <w:pPr>
        <w:jc w:val="both"/>
        <w:rPr>
          <w:rFonts w:asciiTheme="majorBidi" w:hAnsiTheme="majorBidi" w:cstheme="majorBidi"/>
          <w:b/>
          <w:bCs/>
        </w:rPr>
      </w:pPr>
      <w:r w:rsidRPr="00576FB4">
        <w:rPr>
          <w:rFonts w:asciiTheme="majorBidi" w:hAnsiTheme="majorBidi" w:cstheme="majorBidi"/>
          <w:b/>
          <w:bCs/>
          <w:sz w:val="28"/>
          <w:szCs w:val="28"/>
        </w:rPr>
        <w:t xml:space="preserve">Material &amp; Methods </w:t>
      </w:r>
    </w:p>
    <w:p w14:paraId="6144FCF2" w14:textId="77777777" w:rsidR="00884D3C" w:rsidRPr="00354C69" w:rsidRDefault="001D6D97" w:rsidP="00576FB4">
      <w:pPr>
        <w:jc w:val="both"/>
        <w:rPr>
          <w:rFonts w:asciiTheme="majorBidi" w:hAnsiTheme="majorBidi" w:cstheme="majorBidi"/>
          <w:b/>
          <w:bCs/>
          <w:sz w:val="24"/>
          <w:szCs w:val="24"/>
        </w:rPr>
      </w:pPr>
      <w:r w:rsidRPr="00354C69">
        <w:rPr>
          <w:rFonts w:asciiTheme="majorBidi" w:hAnsiTheme="majorBidi" w:cstheme="majorBidi"/>
          <w:b/>
          <w:bCs/>
          <w:sz w:val="24"/>
          <w:szCs w:val="24"/>
        </w:rPr>
        <w:t>1- Experimental animals:</w:t>
      </w:r>
    </w:p>
    <w:p w14:paraId="2EA8AF60" w14:textId="77777777" w:rsidR="00CC65B2" w:rsidRPr="0056615E" w:rsidRDefault="001D6D97"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  </w:t>
      </w:r>
      <w:r w:rsidRPr="00346023">
        <w:rPr>
          <w:rFonts w:asciiTheme="majorBidi" w:hAnsiTheme="majorBidi" w:cstheme="majorBidi"/>
          <w:sz w:val="24"/>
          <w:szCs w:val="24"/>
        </w:rPr>
        <w:t xml:space="preserve">The </w:t>
      </w:r>
      <w:r>
        <w:rPr>
          <w:rFonts w:asciiTheme="majorBidi" w:hAnsiTheme="majorBidi" w:cstheme="majorBidi"/>
          <w:sz w:val="24"/>
          <w:szCs w:val="24"/>
        </w:rPr>
        <w:t xml:space="preserve">male </w:t>
      </w:r>
      <w:r w:rsidRPr="00346023">
        <w:rPr>
          <w:rFonts w:asciiTheme="majorBidi" w:hAnsiTheme="majorBidi" w:cstheme="majorBidi"/>
          <w:sz w:val="24"/>
          <w:szCs w:val="24"/>
        </w:rPr>
        <w:t xml:space="preserve">pigeons were purchased </w:t>
      </w:r>
      <w:r>
        <w:rPr>
          <w:rFonts w:asciiTheme="majorBidi" w:hAnsiTheme="majorBidi" w:cstheme="majorBidi"/>
          <w:sz w:val="24"/>
          <w:szCs w:val="24"/>
        </w:rPr>
        <w:t>from the old  Basrah market, and the pigeons ranged in weight (300- 322g)</w:t>
      </w:r>
      <w:r w:rsidRPr="00346023">
        <w:rPr>
          <w:rFonts w:asciiTheme="majorBidi" w:hAnsiTheme="majorBidi" w:cstheme="majorBidi"/>
          <w:sz w:val="24"/>
          <w:szCs w:val="24"/>
        </w:rPr>
        <w:t>. They were maintained for two weeks after the experiment was conducted to keep the birds healthy.</w:t>
      </w:r>
    </w:p>
    <w:p w14:paraId="185CB917" w14:textId="77777777" w:rsidR="00CC65B2" w:rsidRPr="00346023" w:rsidRDefault="001D6D97" w:rsidP="00576FB4">
      <w:pPr>
        <w:spacing w:after="0"/>
        <w:jc w:val="both"/>
        <w:rPr>
          <w:rFonts w:asciiTheme="majorBidi" w:hAnsiTheme="majorBidi" w:cstheme="majorBidi"/>
          <w:sz w:val="24"/>
          <w:szCs w:val="24"/>
        </w:rPr>
      </w:pPr>
      <w:r>
        <w:rPr>
          <w:rFonts w:asciiTheme="majorBidi" w:hAnsiTheme="majorBidi" w:cstheme="majorBidi"/>
          <w:sz w:val="24"/>
          <w:szCs w:val="24"/>
        </w:rPr>
        <w:t xml:space="preserve">  A total of 48  </w:t>
      </w:r>
      <w:r w:rsidRPr="00346023">
        <w:rPr>
          <w:rFonts w:asciiTheme="majorBidi" w:hAnsiTheme="majorBidi" w:cstheme="majorBidi"/>
          <w:sz w:val="24"/>
          <w:szCs w:val="24"/>
        </w:rPr>
        <w:t>male domestic pigeons</w:t>
      </w:r>
    </w:p>
    <w:p w14:paraId="38355836" w14:textId="77777777" w:rsidR="00CC65B2" w:rsidRPr="00346023" w:rsidRDefault="001D6D97" w:rsidP="00576FB4">
      <w:pPr>
        <w:spacing w:after="0"/>
        <w:jc w:val="both"/>
        <w:rPr>
          <w:rFonts w:asciiTheme="majorBidi" w:hAnsiTheme="majorBidi" w:cstheme="majorBidi"/>
          <w:sz w:val="24"/>
          <w:szCs w:val="24"/>
        </w:rPr>
      </w:pPr>
      <w:r w:rsidRPr="00346023">
        <w:rPr>
          <w:rFonts w:asciiTheme="majorBidi" w:hAnsiTheme="majorBidi" w:cstheme="majorBidi"/>
          <w:sz w:val="24"/>
          <w:szCs w:val="24"/>
        </w:rPr>
        <w:t>Under normal laboratory conditions. Birds were divided as follows:</w:t>
      </w:r>
    </w:p>
    <w:p w14:paraId="7185D393" w14:textId="77777777" w:rsidR="00CC65B2" w:rsidRPr="00346023" w:rsidRDefault="001D6D97" w:rsidP="00576FB4">
      <w:pPr>
        <w:spacing w:after="0"/>
        <w:jc w:val="both"/>
        <w:rPr>
          <w:rFonts w:asciiTheme="majorBidi" w:hAnsiTheme="majorBidi" w:cstheme="majorBidi"/>
          <w:sz w:val="24"/>
          <w:szCs w:val="24"/>
        </w:rPr>
      </w:pPr>
      <w:r w:rsidRPr="00346023">
        <w:rPr>
          <w:rFonts w:asciiTheme="majorBidi" w:hAnsiTheme="majorBidi" w:cstheme="majorBidi"/>
          <w:sz w:val="24"/>
          <w:szCs w:val="24"/>
        </w:rPr>
        <w:t xml:space="preserve">1 . </w:t>
      </w:r>
      <w:r>
        <w:rPr>
          <w:rFonts w:asciiTheme="majorBidi" w:hAnsiTheme="majorBidi" w:cstheme="majorBidi"/>
          <w:sz w:val="24"/>
          <w:szCs w:val="24"/>
        </w:rPr>
        <w:t xml:space="preserve">10   male </w:t>
      </w:r>
      <w:r w:rsidRPr="00346023">
        <w:rPr>
          <w:rFonts w:asciiTheme="majorBidi" w:hAnsiTheme="majorBidi" w:cstheme="majorBidi"/>
          <w:sz w:val="24"/>
          <w:szCs w:val="24"/>
        </w:rPr>
        <w:t>pigeons were used in the LD50 experiment.</w:t>
      </w:r>
    </w:p>
    <w:p w14:paraId="3612A4F1" w14:textId="77777777" w:rsidR="00CC65B2" w:rsidRPr="00346023" w:rsidRDefault="001D6D97" w:rsidP="00576FB4">
      <w:pPr>
        <w:spacing w:after="0"/>
        <w:jc w:val="both"/>
        <w:rPr>
          <w:rFonts w:asciiTheme="majorBidi" w:hAnsiTheme="majorBidi" w:cstheme="majorBidi"/>
          <w:sz w:val="24"/>
          <w:szCs w:val="24"/>
        </w:rPr>
      </w:pPr>
      <w:r w:rsidRPr="00346023">
        <w:rPr>
          <w:rFonts w:asciiTheme="majorBidi" w:hAnsiTheme="majorBidi" w:cstheme="majorBidi"/>
          <w:sz w:val="24"/>
          <w:szCs w:val="24"/>
        </w:rPr>
        <w:t xml:space="preserve">2. </w:t>
      </w:r>
      <w:r>
        <w:rPr>
          <w:rFonts w:asciiTheme="majorBidi" w:hAnsiTheme="majorBidi" w:cstheme="majorBidi"/>
          <w:sz w:val="24"/>
          <w:szCs w:val="24"/>
        </w:rPr>
        <w:t xml:space="preserve">8 male </w:t>
      </w:r>
      <w:r w:rsidRPr="00346023">
        <w:rPr>
          <w:rFonts w:asciiTheme="majorBidi" w:hAnsiTheme="majorBidi" w:cstheme="majorBidi"/>
          <w:sz w:val="24"/>
          <w:szCs w:val="24"/>
        </w:rPr>
        <w:t>pigeons were used in the experiment to induce pesticide infection.</w:t>
      </w:r>
    </w:p>
    <w:p w14:paraId="044E72D1" w14:textId="77777777" w:rsidR="00884D3C" w:rsidRPr="006214B4" w:rsidRDefault="001D6D97" w:rsidP="00576FB4">
      <w:pPr>
        <w:spacing w:after="0"/>
        <w:jc w:val="both"/>
        <w:rPr>
          <w:rFonts w:asciiTheme="majorBidi" w:hAnsiTheme="majorBidi" w:cstheme="majorBidi"/>
          <w:sz w:val="24"/>
          <w:szCs w:val="24"/>
        </w:rPr>
      </w:pPr>
      <w:r>
        <w:rPr>
          <w:rFonts w:asciiTheme="majorBidi" w:hAnsiTheme="majorBidi" w:cstheme="majorBidi"/>
          <w:sz w:val="24"/>
          <w:szCs w:val="24"/>
        </w:rPr>
        <w:lastRenderedPageBreak/>
        <w:t xml:space="preserve">3. </w:t>
      </w:r>
      <w:r w:rsidR="00CC65B2">
        <w:rPr>
          <w:rFonts w:asciiTheme="majorBidi" w:hAnsiTheme="majorBidi" w:cstheme="majorBidi"/>
          <w:sz w:val="24"/>
          <w:szCs w:val="24"/>
        </w:rPr>
        <w:t xml:space="preserve">30  </w:t>
      </w:r>
      <w:r w:rsidR="00CC65B2" w:rsidRPr="00346023">
        <w:rPr>
          <w:rFonts w:asciiTheme="majorBidi" w:hAnsiTheme="majorBidi" w:cstheme="majorBidi"/>
          <w:sz w:val="24"/>
          <w:szCs w:val="24"/>
        </w:rPr>
        <w:t>pigeons were used in the</w:t>
      </w:r>
      <w:r w:rsidR="00CC65B2">
        <w:rPr>
          <w:rFonts w:asciiTheme="majorBidi" w:hAnsiTheme="majorBidi" w:cstheme="majorBidi"/>
          <w:sz w:val="24"/>
          <w:szCs w:val="24"/>
        </w:rPr>
        <w:t xml:space="preserve"> final experiment (5 males and 5 female</w:t>
      </w:r>
      <w:r w:rsidR="00CC65B2" w:rsidRPr="00346023">
        <w:rPr>
          <w:rFonts w:asciiTheme="majorBidi" w:hAnsiTheme="majorBidi" w:cstheme="majorBidi"/>
          <w:sz w:val="24"/>
          <w:szCs w:val="24"/>
        </w:rPr>
        <w:t>s in the control group, 5 males</w:t>
      </w:r>
      <w:r w:rsidR="00CC65B2">
        <w:rPr>
          <w:rFonts w:asciiTheme="majorBidi" w:hAnsiTheme="majorBidi" w:cstheme="majorBidi"/>
          <w:sz w:val="24"/>
          <w:szCs w:val="24"/>
        </w:rPr>
        <w:t xml:space="preserve"> female</w:t>
      </w:r>
      <w:r w:rsidR="00CC65B2" w:rsidRPr="00346023">
        <w:rPr>
          <w:rFonts w:asciiTheme="majorBidi" w:hAnsiTheme="majorBidi" w:cstheme="majorBidi"/>
          <w:sz w:val="24"/>
          <w:szCs w:val="24"/>
        </w:rPr>
        <w:t>s in the pesticide-infected group, and 5 males</w:t>
      </w:r>
      <w:r w:rsidR="00CC65B2">
        <w:rPr>
          <w:rFonts w:asciiTheme="majorBidi" w:hAnsiTheme="majorBidi" w:cstheme="majorBidi"/>
          <w:sz w:val="24"/>
          <w:szCs w:val="24"/>
        </w:rPr>
        <w:t xml:space="preserve"> female</w:t>
      </w:r>
      <w:r w:rsidR="00CC65B2" w:rsidRPr="00346023">
        <w:rPr>
          <w:rFonts w:asciiTheme="majorBidi" w:hAnsiTheme="majorBidi" w:cstheme="majorBidi"/>
          <w:sz w:val="24"/>
          <w:szCs w:val="24"/>
        </w:rPr>
        <w:t xml:space="preserve">s in the pesticide-infected group treated with the sulfa derivative). </w:t>
      </w:r>
    </w:p>
    <w:p w14:paraId="5097776B" w14:textId="77777777" w:rsidR="00884D3C" w:rsidRPr="00354C69" w:rsidRDefault="001D6D97" w:rsidP="00576FB4">
      <w:pPr>
        <w:jc w:val="both"/>
        <w:rPr>
          <w:rFonts w:asciiTheme="majorBidi" w:hAnsiTheme="majorBidi" w:cstheme="majorBidi"/>
          <w:b/>
          <w:bCs/>
          <w:sz w:val="24"/>
          <w:szCs w:val="24"/>
        </w:rPr>
      </w:pPr>
      <w:r w:rsidRPr="00354C69">
        <w:rPr>
          <w:rFonts w:asciiTheme="majorBidi" w:hAnsiTheme="majorBidi" w:cstheme="majorBidi"/>
          <w:b/>
          <w:bCs/>
          <w:sz w:val="24"/>
          <w:szCs w:val="24"/>
        </w:rPr>
        <w:t>2- Insecticide used:</w:t>
      </w:r>
    </w:p>
    <w:p w14:paraId="5DCD2640" w14:textId="77777777" w:rsidR="00884D3C" w:rsidRPr="00CC65B2" w:rsidRDefault="001D6D97" w:rsidP="00576FB4">
      <w:pPr>
        <w:spacing w:after="0"/>
        <w:jc w:val="both"/>
        <w:rPr>
          <w:rFonts w:asciiTheme="majorBidi" w:hAnsiTheme="majorBidi" w:cstheme="majorBidi"/>
          <w:sz w:val="28"/>
          <w:szCs w:val="28"/>
        </w:rPr>
      </w:pPr>
      <w:r w:rsidRPr="00CC65B2">
        <w:rPr>
          <w:rFonts w:asciiTheme="majorBidi" w:hAnsiTheme="majorBidi" w:cstheme="majorBidi"/>
          <w:sz w:val="28"/>
          <w:szCs w:val="28"/>
        </w:rPr>
        <w:t xml:space="preserve">LD50: </w:t>
      </w:r>
      <w:r w:rsidRPr="00CC65B2">
        <w:rPr>
          <w:rStyle w:val="Strong"/>
          <w:rFonts w:asciiTheme="majorBidi" w:hAnsiTheme="majorBidi" w:cstheme="majorBidi"/>
          <w:b w:val="0"/>
          <w:bCs w:val="0"/>
          <w:sz w:val="28"/>
          <w:szCs w:val="28"/>
        </w:rPr>
        <w:t>200 mg/kg</w:t>
      </w:r>
      <w:r w:rsidRPr="00CC65B2">
        <w:rPr>
          <w:rFonts w:asciiTheme="majorBidi" w:hAnsiTheme="majorBidi" w:cstheme="majorBidi"/>
          <w:sz w:val="28"/>
          <w:szCs w:val="28"/>
        </w:rPr>
        <w:t xml:space="preserve"> of body weight.</w:t>
      </w:r>
    </w:p>
    <w:p w14:paraId="2241520C" w14:textId="77777777" w:rsidR="00067808" w:rsidRPr="00067808" w:rsidRDefault="001D6D97" w:rsidP="00576FB4">
      <w:pPr>
        <w:spacing w:after="0"/>
        <w:jc w:val="both"/>
        <w:rPr>
          <w:rFonts w:asciiTheme="majorBidi" w:hAnsiTheme="majorBidi" w:cstheme="majorBidi"/>
          <w:sz w:val="24"/>
          <w:szCs w:val="24"/>
        </w:rPr>
      </w:pPr>
      <w:r w:rsidRPr="00067808">
        <w:rPr>
          <w:rFonts w:asciiTheme="majorBidi" w:hAnsiTheme="majorBidi" w:cstheme="majorBidi"/>
          <w:sz w:val="24"/>
          <w:szCs w:val="24"/>
        </w:rPr>
        <w:t>1- 15% cypermethrin concentration was prepared.</w:t>
      </w:r>
      <w:r>
        <w:rPr>
          <w:rFonts w:asciiTheme="majorBidi" w:hAnsiTheme="majorBidi" w:cstheme="majorBidi"/>
          <w:sz w:val="24"/>
          <w:szCs w:val="24"/>
        </w:rPr>
        <w:t xml:space="preserve"> </w:t>
      </w:r>
      <w:r w:rsidRPr="00067808">
        <w:rPr>
          <w:rFonts w:asciiTheme="majorBidi" w:hAnsiTheme="majorBidi" w:cstheme="majorBidi"/>
          <w:sz w:val="24"/>
          <w:szCs w:val="24"/>
        </w:rPr>
        <w:t>Given for a week, twice a day. The result was that the organs were very damaged and the tissue was irreparable.</w:t>
      </w:r>
    </w:p>
    <w:p w14:paraId="3EF5664F" w14:textId="77777777" w:rsidR="00067808" w:rsidRPr="00067808" w:rsidRDefault="001D6D97" w:rsidP="00576FB4">
      <w:pPr>
        <w:pStyle w:val="NormalWeb"/>
        <w:spacing w:before="0" w:beforeAutospacing="0" w:after="0" w:afterAutospacing="0" w:line="276" w:lineRule="auto"/>
        <w:jc w:val="both"/>
      </w:pPr>
      <w:r w:rsidRPr="00067808">
        <w:rPr>
          <w:rFonts w:eastAsiaTheme="minorEastAsia"/>
          <w:b/>
          <w:bCs/>
          <w:color w:val="000000" w:themeColor="text1"/>
          <w:kern w:val="24"/>
        </w:rPr>
        <w:t xml:space="preserve"> 2-  </w:t>
      </w:r>
      <w:r w:rsidRPr="00067808">
        <w:rPr>
          <w:rFonts w:eastAsiaTheme="minorEastAsia"/>
          <w:kern w:val="24"/>
        </w:rPr>
        <w:t>10% concentration was prepared</w:t>
      </w:r>
      <w:r w:rsidRPr="00067808">
        <w:t xml:space="preserve">. Given </w:t>
      </w:r>
      <w:r w:rsidRPr="00067808">
        <w:rPr>
          <w:rFonts w:eastAsiaTheme="minorEastAsia"/>
          <w:kern w:val="24"/>
        </w:rPr>
        <w:t xml:space="preserve">for a week, twice a day. </w:t>
      </w:r>
      <w:r w:rsidRPr="00067808">
        <w:t xml:space="preserve"> </w:t>
      </w:r>
      <w:r w:rsidRPr="00067808">
        <w:rPr>
          <w:rFonts w:eastAsiaTheme="minorEastAsia"/>
          <w:kern w:val="24"/>
        </w:rPr>
        <w:t>The result was the same.</w:t>
      </w:r>
    </w:p>
    <w:p w14:paraId="6762B745" w14:textId="77777777" w:rsidR="00067808" w:rsidRPr="00067808" w:rsidRDefault="001D6D97" w:rsidP="00576FB4">
      <w:pPr>
        <w:spacing w:after="0"/>
        <w:jc w:val="both"/>
        <w:rPr>
          <w:rFonts w:asciiTheme="majorBidi" w:hAnsiTheme="majorBidi" w:cstheme="majorBidi"/>
          <w:sz w:val="24"/>
          <w:szCs w:val="24"/>
        </w:rPr>
      </w:pPr>
      <w:r w:rsidRPr="00067808">
        <w:rPr>
          <w:rFonts w:asciiTheme="majorBidi" w:hAnsiTheme="majorBidi" w:cstheme="majorBidi"/>
          <w:sz w:val="24"/>
          <w:szCs w:val="24"/>
        </w:rPr>
        <w:t xml:space="preserve">3-  10% concentration. </w:t>
      </w:r>
      <w:r>
        <w:rPr>
          <w:rFonts w:asciiTheme="majorBidi" w:hAnsiTheme="majorBidi" w:cstheme="majorBidi"/>
          <w:sz w:val="24"/>
          <w:szCs w:val="24"/>
        </w:rPr>
        <w:t xml:space="preserve"> </w:t>
      </w:r>
      <w:r w:rsidRPr="00067808">
        <w:rPr>
          <w:rFonts w:asciiTheme="majorBidi" w:hAnsiTheme="majorBidi" w:cstheme="majorBidi"/>
          <w:sz w:val="24"/>
          <w:szCs w:val="24"/>
        </w:rPr>
        <w:t>Given</w:t>
      </w:r>
      <w:r>
        <w:rPr>
          <w:rFonts w:asciiTheme="majorBidi" w:hAnsiTheme="majorBidi" w:cstheme="majorBidi"/>
          <w:sz w:val="24"/>
          <w:szCs w:val="24"/>
        </w:rPr>
        <w:t xml:space="preserve"> </w:t>
      </w:r>
      <w:r w:rsidRPr="00067808">
        <w:rPr>
          <w:rFonts w:asciiTheme="majorBidi" w:hAnsiTheme="majorBidi" w:cstheme="majorBidi"/>
          <w:sz w:val="24"/>
          <w:szCs w:val="24"/>
        </w:rPr>
        <w:t xml:space="preserve">for a week, once a day.    The result was that the tissue </w:t>
      </w:r>
      <w:r>
        <w:rPr>
          <w:rFonts w:asciiTheme="majorBidi" w:hAnsiTheme="majorBidi" w:cstheme="majorBidi"/>
          <w:sz w:val="24"/>
          <w:szCs w:val="24"/>
        </w:rPr>
        <w:t xml:space="preserve"> </w:t>
      </w:r>
      <w:r w:rsidRPr="00067808">
        <w:rPr>
          <w:rFonts w:asciiTheme="majorBidi" w:hAnsiTheme="majorBidi" w:cstheme="majorBidi"/>
          <w:sz w:val="24"/>
          <w:szCs w:val="24"/>
        </w:rPr>
        <w:t>was damaged but curable</w:t>
      </w:r>
    </w:p>
    <w:p w14:paraId="511DB259" w14:textId="77777777" w:rsidR="00833D8B" w:rsidRPr="00576FB4" w:rsidRDefault="001D6D97" w:rsidP="00576FB4">
      <w:pPr>
        <w:jc w:val="both"/>
        <w:rPr>
          <w:rFonts w:asciiTheme="majorBidi" w:hAnsiTheme="majorBidi" w:cstheme="majorBidi"/>
          <w:sz w:val="28"/>
          <w:szCs w:val="28"/>
        </w:rPr>
      </w:pPr>
      <w:r w:rsidRPr="00576FB4">
        <w:rPr>
          <w:rFonts w:asciiTheme="majorBidi" w:hAnsiTheme="majorBidi" w:cstheme="majorBidi"/>
          <w:b/>
          <w:bCs/>
          <w:sz w:val="28"/>
          <w:szCs w:val="28"/>
        </w:rPr>
        <w:t>3-Synthesis of</w:t>
      </w:r>
      <w:r w:rsidRPr="00576FB4">
        <w:rPr>
          <w:rFonts w:asciiTheme="majorBidi" w:hAnsiTheme="majorBidi" w:cstheme="majorBidi"/>
          <w:sz w:val="28"/>
          <w:szCs w:val="28"/>
        </w:rPr>
        <w:t xml:space="preserve"> </w:t>
      </w:r>
      <w:r w:rsidR="002D5A67" w:rsidRPr="00576FB4">
        <w:rPr>
          <w:rFonts w:asciiTheme="majorBidi" w:hAnsiTheme="majorBidi" w:cstheme="majorBidi"/>
          <w:b/>
          <w:bCs/>
          <w:sz w:val="28"/>
          <w:szCs w:val="28"/>
        </w:rPr>
        <w:t>sulfa drug derivative</w:t>
      </w:r>
    </w:p>
    <w:p w14:paraId="7B4FE9D4" w14:textId="77777777" w:rsidR="00A34F9C" w:rsidRPr="00833D8B" w:rsidRDefault="001D6D97" w:rsidP="00576FB4">
      <w:pPr>
        <w:jc w:val="both"/>
        <w:rPr>
          <w:rFonts w:asciiTheme="majorBidi" w:hAnsiTheme="majorBidi" w:cstheme="majorBidi"/>
          <w:sz w:val="24"/>
          <w:szCs w:val="24"/>
        </w:rPr>
      </w:pPr>
      <w:r w:rsidRPr="00833D8B">
        <w:rPr>
          <w:rFonts w:asciiTheme="majorBidi" w:hAnsiTheme="majorBidi" w:cstheme="majorBidi"/>
          <w:sz w:val="24"/>
          <w:szCs w:val="24"/>
        </w:rPr>
        <w:t>(</w:t>
      </w:r>
      <w:r w:rsidR="002D5A67" w:rsidRPr="00833D8B">
        <w:rPr>
          <w:rFonts w:asciiTheme="majorBidi" w:hAnsiTheme="majorBidi" w:cstheme="majorBidi"/>
          <w:sz w:val="24"/>
          <w:szCs w:val="24"/>
        </w:rPr>
        <w:t xml:space="preserve">0.002 mmol </w:t>
      </w:r>
      <w:r w:rsidRPr="00833D8B">
        <w:rPr>
          <w:rFonts w:asciiTheme="majorBidi" w:hAnsiTheme="majorBidi" w:cstheme="majorBidi"/>
          <w:sz w:val="24"/>
          <w:szCs w:val="24"/>
        </w:rPr>
        <w:t>5.0 g</w:t>
      </w:r>
      <w:r w:rsidR="002D5A67" w:rsidRPr="00833D8B">
        <w:rPr>
          <w:rFonts w:asciiTheme="majorBidi" w:hAnsiTheme="majorBidi" w:cstheme="majorBidi"/>
          <w:sz w:val="24"/>
          <w:szCs w:val="24"/>
        </w:rPr>
        <w:t>m</w:t>
      </w:r>
      <w:r w:rsidRPr="00833D8B">
        <w:rPr>
          <w:rFonts w:asciiTheme="majorBidi" w:hAnsiTheme="majorBidi" w:cstheme="majorBidi"/>
          <w:sz w:val="24"/>
          <w:szCs w:val="24"/>
        </w:rPr>
        <w:t xml:space="preserve">) </w:t>
      </w:r>
      <w:r w:rsidR="002D5A67" w:rsidRPr="00833D8B">
        <w:rPr>
          <w:rFonts w:asciiTheme="majorBidi" w:hAnsiTheme="majorBidi" w:cstheme="majorBidi"/>
          <w:sz w:val="24"/>
          <w:szCs w:val="24"/>
        </w:rPr>
        <w:t xml:space="preserve">of sulfapyridine </w:t>
      </w:r>
      <w:r w:rsidRPr="00833D8B">
        <w:rPr>
          <w:rFonts w:asciiTheme="majorBidi" w:hAnsiTheme="majorBidi" w:cstheme="majorBidi"/>
          <w:sz w:val="24"/>
          <w:szCs w:val="24"/>
        </w:rPr>
        <w:t>was added</w:t>
      </w:r>
      <w:r w:rsidR="002D5A67" w:rsidRPr="00833D8B">
        <w:rPr>
          <w:rFonts w:asciiTheme="majorBidi" w:hAnsiTheme="majorBidi" w:cstheme="majorBidi"/>
          <w:sz w:val="24"/>
          <w:szCs w:val="24"/>
        </w:rPr>
        <w:t xml:space="preserve"> to a hot ethanolic solution, and </w:t>
      </w:r>
      <w:r w:rsidRPr="00833D8B">
        <w:rPr>
          <w:rFonts w:asciiTheme="majorBidi" w:hAnsiTheme="majorBidi" w:cstheme="majorBidi"/>
          <w:sz w:val="24"/>
          <w:szCs w:val="24"/>
        </w:rPr>
        <w:t>(</w:t>
      </w:r>
      <w:r w:rsidR="009135E6" w:rsidRPr="00833D8B">
        <w:rPr>
          <w:rFonts w:asciiTheme="majorBidi" w:hAnsiTheme="majorBidi" w:cstheme="majorBidi"/>
          <w:sz w:val="24"/>
          <w:szCs w:val="24"/>
        </w:rPr>
        <w:t xml:space="preserve">1.203 </w:t>
      </w:r>
      <w:r w:rsidRPr="00833D8B">
        <w:rPr>
          <w:rFonts w:asciiTheme="majorBidi" w:hAnsiTheme="majorBidi" w:cstheme="majorBidi"/>
          <w:sz w:val="24"/>
          <w:szCs w:val="24"/>
        </w:rPr>
        <w:t>mmol (0.</w:t>
      </w:r>
      <w:r w:rsidR="009135E6" w:rsidRPr="00833D8B">
        <w:rPr>
          <w:rFonts w:asciiTheme="majorBidi" w:hAnsiTheme="majorBidi" w:cstheme="majorBidi"/>
          <w:sz w:val="24"/>
          <w:szCs w:val="24"/>
        </w:rPr>
        <w:t>3</w:t>
      </w:r>
      <w:r w:rsidRPr="00833D8B">
        <w:rPr>
          <w:rFonts w:asciiTheme="majorBidi" w:hAnsiTheme="majorBidi" w:cstheme="majorBidi"/>
          <w:sz w:val="24"/>
          <w:szCs w:val="24"/>
        </w:rPr>
        <w:t xml:space="preserve"> g)</w:t>
      </w:r>
      <w:r w:rsidR="009135E6" w:rsidRPr="00833D8B">
        <w:rPr>
          <w:rFonts w:asciiTheme="majorBidi" w:hAnsiTheme="majorBidi" w:cstheme="majorBidi"/>
          <w:sz w:val="24"/>
          <w:szCs w:val="24"/>
        </w:rPr>
        <w:t xml:space="preserve"> of piperonal </w:t>
      </w:r>
      <w:r w:rsidRPr="00833D8B">
        <w:rPr>
          <w:rFonts w:asciiTheme="majorBidi" w:hAnsiTheme="majorBidi" w:cstheme="majorBidi"/>
          <w:sz w:val="24"/>
          <w:szCs w:val="24"/>
        </w:rPr>
        <w:t>was added. Three drops of glacial acetic acid were added, and the resulting solution was refluxed for three hours before being refrigerated overnight. The product was recrystallized using chloroform: methanol (8:2</w:t>
      </w:r>
      <w:r w:rsidR="001F7DC1">
        <w:rPr>
          <w:rFonts w:asciiTheme="majorBidi" w:hAnsiTheme="majorBidi" w:cstheme="majorBidi"/>
          <w:sz w:val="24"/>
          <w:szCs w:val="24"/>
        </w:rPr>
        <w:t xml:space="preserve">, v:v) to get orang of crystals </w:t>
      </w:r>
      <w:r w:rsidR="001D330D">
        <w:rPr>
          <w:rFonts w:asciiTheme="majorBidi" w:hAnsiTheme="majorBidi" w:cstheme="majorBidi"/>
          <w:sz w:val="24"/>
          <w:szCs w:val="24"/>
        </w:rPr>
        <w:t>.(</w:t>
      </w:r>
      <w:r w:rsidR="006F204E">
        <w:rPr>
          <w:rFonts w:asciiTheme="majorBidi" w:hAnsiTheme="majorBidi" w:cstheme="majorBidi"/>
          <w:sz w:val="24"/>
          <w:szCs w:val="24"/>
        </w:rPr>
        <w:t>7</w:t>
      </w:r>
      <w:r w:rsidR="001D330D">
        <w:rPr>
          <w:rFonts w:asciiTheme="majorBidi" w:hAnsiTheme="majorBidi" w:cstheme="majorBidi"/>
          <w:sz w:val="24"/>
          <w:szCs w:val="24"/>
        </w:rPr>
        <w:t>)</w:t>
      </w:r>
    </w:p>
    <w:p w14:paraId="43CA60A1" w14:textId="77777777" w:rsidR="00CC65B2" w:rsidRDefault="001D6D97" w:rsidP="00576FB4">
      <w:pPr>
        <w:jc w:val="both"/>
      </w:pPr>
      <w:r>
        <w:rPr>
          <w:noProof/>
        </w:rPr>
        <mc:AlternateContent>
          <mc:Choice Requires="wps">
            <w:drawing>
              <wp:anchor distT="0" distB="0" distL="114300" distR="114300" simplePos="0" relativeHeight="251659264" behindDoc="0" locked="0" layoutInCell="1" allowOverlap="1" wp14:anchorId="68D18635" wp14:editId="49168335">
                <wp:simplePos x="0" y="0"/>
                <wp:positionH relativeFrom="column">
                  <wp:posOffset>-151765</wp:posOffset>
                </wp:positionH>
                <wp:positionV relativeFrom="paragraph">
                  <wp:posOffset>741407</wp:posOffset>
                </wp:positionV>
                <wp:extent cx="318770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87700" cy="304800"/>
                        </a:xfrm>
                        <a:prstGeom prst="rect">
                          <a:avLst/>
                        </a:prstGeom>
                        <a:noFill/>
                        <a:ln w="6350">
                          <a:noFill/>
                        </a:ln>
                        <a:effectLst/>
                      </wps:spPr>
                      <wps:txbx>
                        <w:txbxContent>
                          <w:p w14:paraId="0732EA88" w14:textId="77777777" w:rsidR="00CC65B2" w:rsidRPr="000E3AB7" w:rsidRDefault="001D6D97" w:rsidP="00CC65B2">
                            <w:pPr>
                              <w:rPr>
                                <w:rFonts w:asciiTheme="majorBidi" w:hAnsiTheme="majorBidi" w:cstheme="majorBidi"/>
                              </w:rPr>
                            </w:pPr>
                            <w:r w:rsidRPr="000E3AB7">
                              <w:rPr>
                                <w:rFonts w:asciiTheme="majorBidi" w:hAnsiTheme="majorBidi" w:cstheme="majorBidi"/>
                              </w:rPr>
                              <w:t xml:space="preserve">Scheme 1: Preparation of sulfa drug derivative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8D18635" id="_x0000_t202" coordsize="21600,21600" o:spt="202" path="m,l,21600r21600,l21600,xe">
                <v:stroke joinstyle="miter"/>
                <v:path gradientshapeok="t" o:connecttype="rect"/>
              </v:shapetype>
              <v:shape id="Text Box 7" o:spid="_x0000_s1026" type="#_x0000_t202" style="position:absolute;left:0;text-align:left;margin-left:-11.95pt;margin-top:58.4pt;width:25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0QKgIAAFEEAAAOAAAAZHJzL2Uyb0RvYy54bWysVF1v2jAUfZ+0/2D5fSR8tNCIULFWTJNQ&#10;WwmmPhvHIZFsX882JOzX79oJFHV7qvpi7leO773nmPl9qyQ5Cutq0DkdDlJKhOZQ1Hqf01/b1bcZ&#10;Jc4zXTAJWuT0JBy9X3z9Mm9MJkZQgSyEJQiiXdaYnFbemyxJHK+EYm4ARmhMlmAV8+jafVJY1iC6&#10;kskoTW+TBmxhLHDhHEYfuyRdRPyyFNw/l6UTnsicYm8+njaeu3AmiznL9paZquZ9G+wDXShWa7z0&#10;AvXIPCMHW/8DpWpuwUHpBxxUAmVZcxFnwGmG6btpNhUzIs6Cy3Hmsib3ebD86fhiSV3kdEqJZgop&#10;2orWk+/QkmnYTmNchkUbg2W+xTCyfI47DIah29Kq8IvjEMzjnk+X3QYwjsHxcDadppjimBunkxna&#10;CJ+8fW2s8z8EKBKMnFrkLq6UHdfOd6XnknCZhlUtZeRPatLk9HZ8k8YPLhkElzrUiqiEHiZM1HUe&#10;LN/u2n7MHRQnnNJCpxJn+KrGVtbM+RdmURbYPUrdP+NRSsArobcoqcD++V881CNbmKWkQZnl1P0+&#10;MCsokT818ng3nEyCLqMzuZmO0LHXmd11Rh/UA6CSh/ioDI9mqPfybJYW1Cu+iGW4FVNMc7w7p/5s&#10;PvhO/PiiuFguYxEq0TC/1hvDA3RYWFj0tn1l1vRseOTxCc6CZNk7UrpapDOstNtj76BuI8v9GwsP&#10;49qPVW//BIu/AAAA//8DAFBLAwQUAAYACAAAACEAhoH6U+IAAAALAQAADwAAAGRycy9kb3ducmV2&#10;LnhtbEyPzU7DMBCE70i8g7VI3FonoYQ0xKmqSBUSooeWXnpz4m0S4Z8Qu23g6VlOcNyZT7MzxWoy&#10;ml1w9L2zAuJ5BAxt41RvWwGH980sA+aDtEpqZ1HAF3pYlbc3hcyVu9odXvahZRRifS4FdCEMOee+&#10;6dBIP3cDWvJObjQy0Dm2XI3ySuFG8ySKUm5kb+lDJwesOmw+9mcj4LXabOWuTkz2rauXt9N6+Dwc&#10;H4W4v5vWz8ACTuEPht/6VB1K6lS7s1WeaQGz5GFJKBlxShuIWDxlMbCalHSRAS8L/n9D+QMAAP//&#10;AwBQSwECLQAUAAYACAAAACEAtoM4kv4AAADhAQAAEwAAAAAAAAAAAAAAAAAAAAAAW0NvbnRlbnRf&#10;VHlwZXNdLnhtbFBLAQItABQABgAIAAAAIQA4/SH/1gAAAJQBAAALAAAAAAAAAAAAAAAAAC8BAABf&#10;cmVscy8ucmVsc1BLAQItABQABgAIAAAAIQCMKe0QKgIAAFEEAAAOAAAAAAAAAAAAAAAAAC4CAABk&#10;cnMvZTJvRG9jLnhtbFBLAQItABQABgAIAAAAIQCGgfpT4gAAAAsBAAAPAAAAAAAAAAAAAAAAAIQE&#10;AABkcnMvZG93bnJldi54bWxQSwUGAAAAAAQABADzAAAAkwUAAAAA&#10;" filled="f" stroked="f" strokeweight=".5pt">
                <v:textbox>
                  <w:txbxContent>
                    <w:p w14:paraId="0732EA88" w14:textId="77777777" w:rsidR="00CC65B2" w:rsidRPr="000E3AB7" w:rsidRDefault="001D6D97" w:rsidP="00CC65B2">
                      <w:pPr>
                        <w:rPr>
                          <w:rFonts w:asciiTheme="majorBidi" w:hAnsiTheme="majorBidi" w:cstheme="majorBidi"/>
                        </w:rPr>
                      </w:pPr>
                      <w:r w:rsidRPr="000E3AB7">
                        <w:rPr>
                          <w:rFonts w:asciiTheme="majorBidi" w:hAnsiTheme="majorBidi" w:cstheme="majorBidi"/>
                        </w:rPr>
                        <w:t xml:space="preserve">Scheme 1: Preparation of sulfa drug derivative   </w:t>
                      </w:r>
                    </w:p>
                  </w:txbxContent>
                </v:textbox>
              </v:shape>
            </w:pict>
          </mc:Fallback>
        </mc:AlternateContent>
      </w:r>
      <w:r w:rsidR="00FD53D2">
        <w:rPr>
          <w:noProof/>
        </w:rPr>
        <w:object w:dxaOrig="4680" w:dyaOrig="1120" w14:anchorId="7FB46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15pt;height:56.25pt" o:ole="">
            <v:imagedata r:id="rId14" o:title=""/>
          </v:shape>
          <o:OLEObject Type="Embed" ProgID="ACD.ChemSketch.20" ShapeID="_x0000_i1025" DrawAspect="Content" ObjectID="_1812965639" r:id="rId15"/>
        </w:object>
      </w:r>
    </w:p>
    <w:p w14:paraId="45E9C8A5" w14:textId="77777777" w:rsidR="00EF67C9" w:rsidRPr="00576FB4" w:rsidRDefault="00EF67C9" w:rsidP="00576FB4">
      <w:pPr>
        <w:jc w:val="both"/>
      </w:pPr>
    </w:p>
    <w:p w14:paraId="34C338B6" w14:textId="77777777" w:rsidR="004D5821" w:rsidRPr="006214B4" w:rsidRDefault="001D6D97" w:rsidP="00576FB4">
      <w:pPr>
        <w:jc w:val="both"/>
        <w:rPr>
          <w:rFonts w:asciiTheme="majorBidi" w:hAnsiTheme="majorBidi" w:cstheme="majorBidi"/>
          <w:b/>
          <w:bCs/>
          <w:sz w:val="28"/>
          <w:szCs w:val="28"/>
        </w:rPr>
      </w:pPr>
      <w:r w:rsidRPr="006214B4">
        <w:rPr>
          <w:rFonts w:asciiTheme="majorBidi" w:hAnsiTheme="majorBidi" w:cstheme="majorBidi"/>
          <w:b/>
          <w:bCs/>
          <w:sz w:val="28"/>
          <w:szCs w:val="28"/>
        </w:rPr>
        <w:t xml:space="preserve">4-ADMET technique </w:t>
      </w:r>
    </w:p>
    <w:p w14:paraId="40635EA1" w14:textId="77777777" w:rsidR="00067808" w:rsidRPr="006214B4" w:rsidRDefault="001D6D97" w:rsidP="00576FB4">
      <w:pPr>
        <w:jc w:val="both"/>
        <w:rPr>
          <w:rFonts w:asciiTheme="majorBidi" w:hAnsiTheme="majorBidi" w:cstheme="majorBidi"/>
          <w:sz w:val="24"/>
          <w:szCs w:val="24"/>
        </w:rPr>
      </w:pPr>
      <w:r w:rsidRPr="006214B4">
        <w:rPr>
          <w:rFonts w:asciiTheme="majorBidi" w:hAnsiTheme="majorBidi" w:cstheme="majorBidi"/>
          <w:sz w:val="24"/>
          <w:szCs w:val="24"/>
        </w:rPr>
        <w:t>A computational approach was used to evaluate the ADMET (absorption, distribution, metabolism, excretion, and toxicity) properties of selected drug-like compounds. Initially, the chemical structures of the compounds were obtained in SMILES format and uploaded to freely accessible web platforms such as SwissADME</w:t>
      </w:r>
      <w:r w:rsidR="00DA5691" w:rsidRPr="006214B4">
        <w:rPr>
          <w:rFonts w:asciiTheme="majorBidi" w:hAnsiTheme="majorBidi" w:cstheme="majorBidi"/>
          <w:sz w:val="24"/>
          <w:szCs w:val="24"/>
        </w:rPr>
        <w:t>T.</w:t>
      </w:r>
    </w:p>
    <w:p w14:paraId="3F322F63" w14:textId="77777777" w:rsidR="00067808" w:rsidRDefault="001D6D97" w:rsidP="00576FB4">
      <w:pPr>
        <w:jc w:val="both"/>
        <w:rPr>
          <w:rFonts w:asciiTheme="majorBidi" w:hAnsiTheme="majorBidi" w:cstheme="majorBidi"/>
          <w:sz w:val="28"/>
          <w:szCs w:val="28"/>
        </w:rPr>
      </w:pPr>
      <w:r w:rsidRPr="006214B4">
        <w:rPr>
          <w:rFonts w:asciiTheme="majorBidi" w:hAnsiTheme="majorBidi" w:cstheme="majorBidi"/>
          <w:sz w:val="24"/>
          <w:szCs w:val="24"/>
        </w:rPr>
        <w:t xml:space="preserve"> Each compound was evaluated based on key ADMET criteria, including intestinal absorption, blood-brain barrier permeability, cytochrome P450 enzyme inhibition, renal clearance, and various toxicological endpoints. The expected results were then analyzed and compared to identify compounds with optimal pharmacokinetic properties. This computational method enables the filtering of candidates at an early stage, thus reducing the likelihood</w:t>
      </w:r>
      <w:r w:rsidRPr="00067808">
        <w:rPr>
          <w:rFonts w:asciiTheme="majorBidi" w:hAnsiTheme="majorBidi" w:cstheme="majorBidi"/>
          <w:sz w:val="28"/>
          <w:szCs w:val="28"/>
        </w:rPr>
        <w:t xml:space="preserve"> of drug failure at the late stage due to unfavorable ADMET properties.</w:t>
      </w:r>
      <w:r w:rsidR="00F47192">
        <w:rPr>
          <w:rFonts w:asciiTheme="majorBidi" w:hAnsiTheme="majorBidi" w:cstheme="majorBidi"/>
          <w:sz w:val="28"/>
          <w:szCs w:val="28"/>
        </w:rPr>
        <w:t xml:space="preserve"> (</w:t>
      </w:r>
      <w:r w:rsidR="006F204E">
        <w:rPr>
          <w:rFonts w:asciiTheme="majorBidi" w:hAnsiTheme="majorBidi" w:cstheme="majorBidi"/>
          <w:sz w:val="28"/>
          <w:szCs w:val="28"/>
        </w:rPr>
        <w:t>8</w:t>
      </w:r>
      <w:r w:rsidR="00F47192">
        <w:rPr>
          <w:rFonts w:asciiTheme="majorBidi" w:hAnsiTheme="majorBidi" w:cstheme="majorBidi"/>
          <w:sz w:val="28"/>
          <w:szCs w:val="28"/>
        </w:rPr>
        <w:t>)</w:t>
      </w:r>
    </w:p>
    <w:p w14:paraId="0350CE32" w14:textId="77777777" w:rsidR="00EF67C9" w:rsidRPr="001C4DF9" w:rsidRDefault="00EF67C9" w:rsidP="00576FB4">
      <w:pPr>
        <w:jc w:val="both"/>
        <w:rPr>
          <w:rFonts w:asciiTheme="majorBidi" w:hAnsiTheme="majorBidi" w:cstheme="majorBidi"/>
          <w:sz w:val="28"/>
          <w:szCs w:val="28"/>
        </w:rPr>
      </w:pPr>
    </w:p>
    <w:p w14:paraId="4E0316DA" w14:textId="77777777" w:rsidR="00884D3C" w:rsidRPr="006214B4" w:rsidRDefault="001D6D97" w:rsidP="00576FB4">
      <w:pPr>
        <w:jc w:val="both"/>
        <w:rPr>
          <w:rFonts w:asciiTheme="majorBidi" w:hAnsiTheme="majorBidi" w:cstheme="majorBidi"/>
          <w:b/>
          <w:bCs/>
          <w:sz w:val="28"/>
          <w:szCs w:val="28"/>
        </w:rPr>
      </w:pPr>
      <w:r w:rsidRPr="006214B4">
        <w:rPr>
          <w:rFonts w:asciiTheme="majorBidi" w:hAnsiTheme="majorBidi" w:cstheme="majorBidi"/>
          <w:b/>
          <w:bCs/>
          <w:sz w:val="28"/>
          <w:szCs w:val="28"/>
        </w:rPr>
        <w:t>5- LD50 Determination</w:t>
      </w:r>
    </w:p>
    <w:p w14:paraId="679075FF" w14:textId="77777777" w:rsidR="00DA5691" w:rsidRPr="006214B4" w:rsidRDefault="001D6D97" w:rsidP="00576FB4">
      <w:pPr>
        <w:spacing w:after="0"/>
        <w:ind w:firstLine="426"/>
        <w:jc w:val="both"/>
        <w:rPr>
          <w:rFonts w:asciiTheme="majorBidi" w:hAnsiTheme="majorBidi" w:cstheme="majorBidi"/>
          <w:b/>
          <w:bCs/>
          <w:sz w:val="24"/>
          <w:szCs w:val="24"/>
          <w:lang w:bidi="ar-IQ"/>
        </w:rPr>
      </w:pPr>
      <w:r w:rsidRPr="006214B4">
        <w:rPr>
          <w:rFonts w:asciiTheme="majorBidi" w:eastAsia="TimesNewRoman" w:hAnsiTheme="majorBidi" w:cstheme="majorBidi"/>
          <w:sz w:val="24"/>
          <w:szCs w:val="24"/>
        </w:rPr>
        <w:t>Medial lethal dose LD50 is performed on 4-16 weeks old</w:t>
      </w:r>
      <w:r w:rsidRPr="006214B4">
        <w:rPr>
          <w:rFonts w:asciiTheme="majorBidi" w:hAnsiTheme="majorBidi" w:cstheme="majorBidi"/>
          <w:sz w:val="24"/>
          <w:szCs w:val="24"/>
        </w:rPr>
        <w:t xml:space="preserve"> pigeons, average</w:t>
      </w:r>
      <w:r w:rsidRPr="006214B4">
        <w:rPr>
          <w:rFonts w:asciiTheme="majorBidi" w:eastAsia="TimesNewRoman" w:hAnsiTheme="majorBidi" w:cstheme="majorBidi"/>
          <w:sz w:val="24"/>
          <w:szCs w:val="24"/>
        </w:rPr>
        <w:t xml:space="preserve"> weighing 100-180 g at the time of experiment, by</w:t>
      </w:r>
      <w:r w:rsidRPr="006214B4">
        <w:rPr>
          <w:rFonts w:asciiTheme="majorBidi" w:hAnsiTheme="majorBidi" w:cstheme="majorBidi"/>
          <w:sz w:val="24"/>
          <w:szCs w:val="24"/>
        </w:rPr>
        <w:t xml:space="preserve"> using an up-and-down method (Dixon, 1980). </w:t>
      </w:r>
    </w:p>
    <w:p w14:paraId="2C0BAF73" w14:textId="77777777" w:rsidR="00EF67C9" w:rsidRDefault="001D6D97" w:rsidP="00EF67C9">
      <w:pPr>
        <w:autoSpaceDE w:val="0"/>
        <w:autoSpaceDN w:val="0"/>
        <w:adjustRightInd w:val="0"/>
        <w:spacing w:after="0"/>
        <w:jc w:val="both"/>
        <w:rPr>
          <w:rFonts w:asciiTheme="majorBidi" w:hAnsiTheme="majorBidi" w:cstheme="majorBidi"/>
          <w:sz w:val="24"/>
          <w:szCs w:val="24"/>
        </w:rPr>
      </w:pPr>
      <w:r w:rsidRPr="006214B4">
        <w:rPr>
          <w:rFonts w:asciiTheme="majorBidi" w:hAnsiTheme="majorBidi" w:cstheme="majorBidi"/>
          <w:sz w:val="24"/>
          <w:szCs w:val="24"/>
        </w:rPr>
        <w:lastRenderedPageBreak/>
        <w:t xml:space="preserve">     Ten pigeons are injected directly into the intraperitoneal space by using a disposable syringe with various doses of the novel compound after conducting episodes of test levels. The equal interval between injections is documented, and a series of trials is performed using this method: increased dose after a negative response and decreased dose after a positive response. Testing is stopped until the chosen "nominal" sample dose is recorded. LD</w:t>
      </w:r>
      <w:r w:rsidRPr="006214B4">
        <w:rPr>
          <w:rFonts w:asciiTheme="majorBidi" w:hAnsiTheme="majorBidi" w:cstheme="majorBidi"/>
          <w:sz w:val="24"/>
          <w:szCs w:val="24"/>
          <w:vertAlign w:val="subscript"/>
        </w:rPr>
        <w:t>50</w:t>
      </w:r>
      <w:r w:rsidRPr="006214B4">
        <w:rPr>
          <w:rFonts w:asciiTheme="majorBidi" w:hAnsiTheme="majorBidi" w:cstheme="majorBidi"/>
          <w:sz w:val="24"/>
          <w:szCs w:val="24"/>
        </w:rPr>
        <w:t xml:space="preserve"> is determined after estimating the final result (response-dead (X) or non-response alive (O). </w:t>
      </w:r>
      <w:r w:rsidR="001D330D">
        <w:rPr>
          <w:rFonts w:asciiTheme="majorBidi" w:hAnsiTheme="majorBidi" w:cstheme="majorBidi"/>
          <w:sz w:val="24"/>
          <w:szCs w:val="24"/>
        </w:rPr>
        <w:t>(</w:t>
      </w:r>
      <w:r w:rsidR="006F204E">
        <w:rPr>
          <w:rFonts w:asciiTheme="majorBidi" w:hAnsiTheme="majorBidi" w:cstheme="majorBidi"/>
          <w:sz w:val="24"/>
          <w:szCs w:val="24"/>
        </w:rPr>
        <w:t>9</w:t>
      </w:r>
      <w:r w:rsidR="001D330D">
        <w:rPr>
          <w:rFonts w:asciiTheme="majorBidi" w:hAnsiTheme="majorBidi" w:cstheme="majorBidi"/>
          <w:sz w:val="24"/>
          <w:szCs w:val="24"/>
        </w:rPr>
        <w:t>)</w:t>
      </w:r>
      <w:r>
        <w:rPr>
          <w:rFonts w:asciiTheme="majorBidi" w:hAnsiTheme="majorBidi" w:cstheme="majorBidi"/>
          <w:sz w:val="24"/>
          <w:szCs w:val="24"/>
        </w:rPr>
        <w:t xml:space="preserve">   </w:t>
      </w:r>
    </w:p>
    <w:p w14:paraId="57569343" w14:textId="77777777" w:rsidR="00035C14" w:rsidRDefault="001D6D97" w:rsidP="00EF67C9">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Table (1</w:t>
      </w:r>
      <w:r w:rsidRPr="00035C14">
        <w:rPr>
          <w:rFonts w:asciiTheme="majorBidi" w:hAnsiTheme="majorBidi" w:cstheme="majorBidi"/>
          <w:sz w:val="24"/>
          <w:szCs w:val="24"/>
        </w:rPr>
        <w:t>): Dixon values</w:t>
      </w:r>
    </w:p>
    <w:p w14:paraId="2F5C4BEE" w14:textId="77777777" w:rsidR="00EF67C9" w:rsidRDefault="00EF67C9" w:rsidP="002303D2">
      <w:pPr>
        <w:autoSpaceDE w:val="0"/>
        <w:autoSpaceDN w:val="0"/>
        <w:adjustRightInd w:val="0"/>
        <w:spacing w:after="0"/>
        <w:ind w:firstLine="426"/>
        <w:rPr>
          <w:rFonts w:asciiTheme="majorBidi" w:hAnsiTheme="majorBidi" w:cstheme="majorBidi"/>
          <w:sz w:val="24"/>
          <w:szCs w:val="24"/>
        </w:rPr>
      </w:pPr>
    </w:p>
    <w:tbl>
      <w:tblPr>
        <w:tblStyle w:val="LightList-Accent5"/>
        <w:bidiVisual/>
        <w:tblW w:w="8801" w:type="dxa"/>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1701"/>
        <w:gridCol w:w="1601"/>
        <w:gridCol w:w="1256"/>
        <w:gridCol w:w="1212"/>
        <w:gridCol w:w="1455"/>
        <w:gridCol w:w="1576"/>
      </w:tblGrid>
      <w:tr w:rsidR="0098502D" w14:paraId="7BF5B204" w14:textId="77777777" w:rsidTr="0098502D">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02D9B418" w14:textId="77777777" w:rsidR="00EF67C9" w:rsidRPr="00EF67C9" w:rsidRDefault="00EF67C9" w:rsidP="00EF67C9">
            <w:pPr>
              <w:autoSpaceDE w:val="0"/>
              <w:autoSpaceDN w:val="0"/>
              <w:adjustRightInd w:val="0"/>
              <w:spacing w:line="276" w:lineRule="auto"/>
              <w:ind w:firstLine="426"/>
              <w:jc w:val="center"/>
              <w:rPr>
                <w:rFonts w:asciiTheme="majorBidi" w:hAnsiTheme="majorBidi" w:cstheme="majorBidi"/>
                <w:sz w:val="24"/>
                <w:szCs w:val="24"/>
              </w:rPr>
            </w:pPr>
          </w:p>
        </w:tc>
        <w:tc>
          <w:tcPr>
            <w:cnfStyle w:val="000010000000" w:firstRow="0" w:lastRow="0" w:firstColumn="0" w:lastColumn="0" w:oddVBand="1" w:evenVBand="0" w:oddHBand="0" w:evenHBand="0" w:firstRowFirstColumn="0" w:firstRowLastColumn="0" w:lastRowFirstColumn="0" w:lastRowLastColumn="0"/>
            <w:tcW w:w="5524" w:type="dxa"/>
            <w:gridSpan w:val="4"/>
            <w:tcBorders>
              <w:top w:val="none" w:sz="0" w:space="0" w:color="auto"/>
              <w:left w:val="none" w:sz="0" w:space="0" w:color="auto"/>
              <w:right w:val="none" w:sz="0" w:space="0" w:color="auto"/>
            </w:tcBorders>
            <w:hideMark/>
          </w:tcPr>
          <w:p w14:paraId="74DEACE5"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K  represented serial tests started with:-</w:t>
            </w:r>
          </w:p>
        </w:tc>
        <w:tc>
          <w:tcPr>
            <w:cnfStyle w:val="000100000000" w:firstRow="0" w:lastRow="0" w:firstColumn="0" w:lastColumn="1" w:oddVBand="0" w:evenVBand="0" w:oddHBand="0" w:evenHBand="0" w:firstRowFirstColumn="0" w:firstRowLastColumn="0" w:lastRowFirstColumn="0" w:lastRowLastColumn="0"/>
            <w:tcW w:w="1576" w:type="dxa"/>
            <w:vMerge w:val="restart"/>
          </w:tcPr>
          <w:p w14:paraId="1D9BC588" w14:textId="77777777"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r>
      <w:tr w:rsidR="0098502D" w14:paraId="7CCB94F7" w14:textId="77777777" w:rsidTr="0098502D">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701" w:type="dxa"/>
            <w:vMerge/>
            <w:hideMark/>
          </w:tcPr>
          <w:p w14:paraId="1BBB4BD3" w14:textId="77777777"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c>
          <w:tcPr>
            <w:cnfStyle w:val="000010000000" w:firstRow="0" w:lastRow="0" w:firstColumn="0" w:lastColumn="0" w:oddVBand="1" w:evenVBand="0" w:oddHBand="0" w:evenHBand="0" w:firstRowFirstColumn="0" w:firstRowLastColumn="0" w:lastRowFirstColumn="0" w:lastRowLastColumn="0"/>
            <w:tcW w:w="1601" w:type="dxa"/>
            <w:shd w:val="clear" w:color="auto" w:fill="92CDDC" w:themeFill="accent5" w:themeFillTint="99"/>
            <w:hideMark/>
          </w:tcPr>
          <w:p w14:paraId="7B58A79A" w14:textId="77777777" w:rsidR="00EF67C9" w:rsidRPr="00EF67C9" w:rsidRDefault="001D6D97" w:rsidP="00EF67C9">
            <w:pPr>
              <w:autoSpaceDE w:val="0"/>
              <w:autoSpaceDN w:val="0"/>
              <w:adjustRightInd w:val="0"/>
              <w:spacing w:line="276" w:lineRule="auto"/>
              <w:ind w:firstLine="426"/>
              <w:rPr>
                <w:rFonts w:asciiTheme="majorBidi" w:hAnsiTheme="majorBidi" w:cstheme="majorBidi"/>
                <w:b/>
                <w:bCs/>
                <w:sz w:val="24"/>
                <w:szCs w:val="24"/>
              </w:rPr>
            </w:pPr>
            <w:r w:rsidRPr="00EF67C9">
              <w:rPr>
                <w:rFonts w:asciiTheme="majorBidi" w:hAnsiTheme="majorBidi" w:cstheme="majorBidi"/>
                <w:b/>
                <w:bCs/>
                <w:sz w:val="24"/>
                <w:szCs w:val="24"/>
              </w:rPr>
              <w:t>OOOO</w:t>
            </w:r>
          </w:p>
        </w:tc>
        <w:tc>
          <w:tcPr>
            <w:tcW w:w="1256" w:type="dxa"/>
            <w:shd w:val="clear" w:color="auto" w:fill="92CDDC" w:themeFill="accent5" w:themeFillTint="99"/>
            <w:hideMark/>
          </w:tcPr>
          <w:p w14:paraId="1322C9DE"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EF67C9">
              <w:rPr>
                <w:rFonts w:asciiTheme="majorBidi" w:hAnsiTheme="majorBidi" w:cstheme="majorBidi"/>
                <w:b/>
                <w:bCs/>
                <w:sz w:val="24"/>
                <w:szCs w:val="24"/>
              </w:rPr>
              <w:t>OOO</w:t>
            </w:r>
          </w:p>
        </w:tc>
        <w:tc>
          <w:tcPr>
            <w:cnfStyle w:val="000010000000" w:firstRow="0" w:lastRow="0" w:firstColumn="0" w:lastColumn="0" w:oddVBand="1" w:evenVBand="0" w:oddHBand="0" w:evenHBand="0" w:firstRowFirstColumn="0" w:firstRowLastColumn="0" w:lastRowFirstColumn="0" w:lastRowLastColumn="0"/>
            <w:tcW w:w="1212" w:type="dxa"/>
            <w:shd w:val="clear" w:color="auto" w:fill="92CDDC" w:themeFill="accent5" w:themeFillTint="99"/>
            <w:hideMark/>
          </w:tcPr>
          <w:p w14:paraId="38A6F422" w14:textId="77777777" w:rsidR="00EF67C9" w:rsidRPr="00EF67C9" w:rsidRDefault="001D6D97" w:rsidP="00EF67C9">
            <w:pPr>
              <w:autoSpaceDE w:val="0"/>
              <w:autoSpaceDN w:val="0"/>
              <w:adjustRightInd w:val="0"/>
              <w:spacing w:line="276" w:lineRule="auto"/>
              <w:ind w:firstLine="426"/>
              <w:rPr>
                <w:rFonts w:asciiTheme="majorBidi" w:hAnsiTheme="majorBidi" w:cstheme="majorBidi"/>
                <w:b/>
                <w:bCs/>
                <w:sz w:val="24"/>
                <w:szCs w:val="24"/>
              </w:rPr>
            </w:pPr>
            <w:r w:rsidRPr="00EF67C9">
              <w:rPr>
                <w:rFonts w:asciiTheme="majorBidi" w:hAnsiTheme="majorBidi" w:cstheme="majorBidi"/>
                <w:b/>
                <w:bCs/>
                <w:sz w:val="24"/>
                <w:szCs w:val="24"/>
              </w:rPr>
              <w:t>OO</w:t>
            </w:r>
          </w:p>
        </w:tc>
        <w:tc>
          <w:tcPr>
            <w:tcW w:w="1455" w:type="dxa"/>
            <w:shd w:val="clear" w:color="auto" w:fill="92CDDC" w:themeFill="accent5" w:themeFillTint="99"/>
            <w:hideMark/>
          </w:tcPr>
          <w:p w14:paraId="77F095D0"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EF67C9">
              <w:rPr>
                <w:rFonts w:asciiTheme="majorBidi" w:hAnsiTheme="majorBidi" w:cstheme="majorBidi"/>
                <w:b/>
                <w:bCs/>
                <w:sz w:val="24"/>
                <w:szCs w:val="24"/>
              </w:rPr>
              <w:t>O</w:t>
            </w:r>
          </w:p>
        </w:tc>
        <w:tc>
          <w:tcPr>
            <w:cnfStyle w:val="000100000000" w:firstRow="0" w:lastRow="0" w:firstColumn="0" w:lastColumn="1" w:oddVBand="0" w:evenVBand="0" w:oddHBand="0" w:evenHBand="0" w:firstRowFirstColumn="0" w:firstRowLastColumn="0" w:lastRowFirstColumn="0" w:lastRowLastColumn="0"/>
            <w:tcW w:w="1576" w:type="dxa"/>
            <w:vMerge/>
            <w:hideMark/>
          </w:tcPr>
          <w:p w14:paraId="63B0481E" w14:textId="77777777"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r>
      <w:tr w:rsidR="0098502D" w14:paraId="31647126" w14:textId="77777777" w:rsidTr="0098502D">
        <w:trPr>
          <w:trHeight w:val="47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291EC16A"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OXXX</w:t>
            </w:r>
          </w:p>
        </w:tc>
        <w:tc>
          <w:tcPr>
            <w:cnfStyle w:val="000010000000" w:firstRow="0" w:lastRow="0" w:firstColumn="0" w:lastColumn="0" w:oddVBand="1" w:evenVBand="0" w:oddHBand="0" w:evenHBand="0" w:firstRowFirstColumn="0" w:firstRowLastColumn="0" w:lastRowFirstColumn="0" w:lastRowLastColumn="0"/>
            <w:tcW w:w="1601" w:type="dxa"/>
            <w:hideMark/>
          </w:tcPr>
          <w:p w14:paraId="1BEED8C0"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0.154-</w:t>
            </w:r>
          </w:p>
        </w:tc>
        <w:tc>
          <w:tcPr>
            <w:tcW w:w="1256" w:type="dxa"/>
            <w:hideMark/>
          </w:tcPr>
          <w:p w14:paraId="34FDFE0A" w14:textId="77777777" w:rsidR="00EF67C9" w:rsidRPr="00EF67C9" w:rsidRDefault="001D6D97"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0.154-</w:t>
            </w:r>
          </w:p>
        </w:tc>
        <w:tc>
          <w:tcPr>
            <w:cnfStyle w:val="000010000000" w:firstRow="0" w:lastRow="0" w:firstColumn="0" w:lastColumn="0" w:oddVBand="1" w:evenVBand="0" w:oddHBand="0" w:evenHBand="0" w:firstRowFirstColumn="0" w:firstRowLastColumn="0" w:lastRowFirstColumn="0" w:lastRowLastColumn="0"/>
            <w:tcW w:w="1212" w:type="dxa"/>
            <w:hideMark/>
          </w:tcPr>
          <w:p w14:paraId="0F0799A1"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0.154-</w:t>
            </w:r>
          </w:p>
        </w:tc>
        <w:tc>
          <w:tcPr>
            <w:tcW w:w="1455" w:type="dxa"/>
            <w:hideMark/>
          </w:tcPr>
          <w:p w14:paraId="319D80B8" w14:textId="77777777" w:rsidR="00EF67C9" w:rsidRPr="00EF67C9" w:rsidRDefault="001D6D97"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0.157-</w:t>
            </w:r>
          </w:p>
        </w:tc>
        <w:tc>
          <w:tcPr>
            <w:cnfStyle w:val="000100000000" w:firstRow="0" w:lastRow="0" w:firstColumn="0" w:lastColumn="1" w:oddVBand="0" w:evenVBand="0" w:oddHBand="0" w:evenHBand="0" w:firstRowFirstColumn="0" w:firstRowLastColumn="0" w:lastRowFirstColumn="0" w:lastRowLastColumn="0"/>
            <w:tcW w:w="1576" w:type="dxa"/>
            <w:hideMark/>
          </w:tcPr>
          <w:p w14:paraId="025FD469"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XOOO</w:t>
            </w:r>
          </w:p>
        </w:tc>
      </w:tr>
      <w:tr w:rsidR="0098502D" w14:paraId="5CEB9393" w14:textId="77777777" w:rsidTr="0098502D">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755590B3"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OXXO</w:t>
            </w:r>
          </w:p>
        </w:tc>
        <w:tc>
          <w:tcPr>
            <w:cnfStyle w:val="000010000000" w:firstRow="0" w:lastRow="0" w:firstColumn="0" w:lastColumn="0" w:oddVBand="1" w:evenVBand="0" w:oddHBand="0" w:evenHBand="0" w:firstRowFirstColumn="0" w:firstRowLastColumn="0" w:lastRowFirstColumn="0" w:lastRowLastColumn="0"/>
            <w:tcW w:w="1601" w:type="dxa"/>
            <w:hideMark/>
          </w:tcPr>
          <w:p w14:paraId="6E9D2852"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0.860-</w:t>
            </w:r>
          </w:p>
        </w:tc>
        <w:tc>
          <w:tcPr>
            <w:tcW w:w="1256" w:type="dxa"/>
            <w:hideMark/>
          </w:tcPr>
          <w:p w14:paraId="1E20D763"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0.860-</w:t>
            </w:r>
          </w:p>
        </w:tc>
        <w:tc>
          <w:tcPr>
            <w:cnfStyle w:val="000010000000" w:firstRow="0" w:lastRow="0" w:firstColumn="0" w:lastColumn="0" w:oddVBand="1" w:evenVBand="0" w:oddHBand="0" w:evenHBand="0" w:firstRowFirstColumn="0" w:firstRowLastColumn="0" w:lastRowFirstColumn="0" w:lastRowLastColumn="0"/>
            <w:tcW w:w="1212" w:type="dxa"/>
            <w:hideMark/>
          </w:tcPr>
          <w:p w14:paraId="6CF3C5B5"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0.861-</w:t>
            </w:r>
          </w:p>
        </w:tc>
        <w:tc>
          <w:tcPr>
            <w:tcW w:w="1455" w:type="dxa"/>
            <w:hideMark/>
          </w:tcPr>
          <w:p w14:paraId="5EF49B4D"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0.878-</w:t>
            </w:r>
          </w:p>
        </w:tc>
        <w:tc>
          <w:tcPr>
            <w:cnfStyle w:val="000100000000" w:firstRow="0" w:lastRow="0" w:firstColumn="0" w:lastColumn="1" w:oddVBand="0" w:evenVBand="0" w:oddHBand="0" w:evenHBand="0" w:firstRowFirstColumn="0" w:firstRowLastColumn="0" w:lastRowFirstColumn="0" w:lastRowLastColumn="0"/>
            <w:tcW w:w="1576" w:type="dxa"/>
            <w:hideMark/>
          </w:tcPr>
          <w:p w14:paraId="68F6BE33"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XOOX</w:t>
            </w:r>
          </w:p>
        </w:tc>
      </w:tr>
      <w:tr w:rsidR="0098502D" w14:paraId="69892A81" w14:textId="77777777" w:rsidTr="0098502D">
        <w:trPr>
          <w:trHeight w:val="396"/>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54896191"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OXOX</w:t>
            </w:r>
          </w:p>
        </w:tc>
        <w:tc>
          <w:tcPr>
            <w:cnfStyle w:val="000010000000" w:firstRow="0" w:lastRow="0" w:firstColumn="0" w:lastColumn="0" w:oddVBand="1" w:evenVBand="0" w:oddHBand="0" w:evenHBand="0" w:firstRowFirstColumn="0" w:firstRowLastColumn="0" w:lastRowFirstColumn="0" w:lastRowLastColumn="0"/>
            <w:tcW w:w="1601" w:type="dxa"/>
            <w:hideMark/>
          </w:tcPr>
          <w:p w14:paraId="3570D87C"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0.741</w:t>
            </w:r>
          </w:p>
        </w:tc>
        <w:tc>
          <w:tcPr>
            <w:tcW w:w="1256" w:type="dxa"/>
            <w:hideMark/>
          </w:tcPr>
          <w:p w14:paraId="452DDA99" w14:textId="77777777" w:rsidR="00EF67C9" w:rsidRPr="00EF67C9" w:rsidRDefault="001D6D97"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0.741</w:t>
            </w:r>
          </w:p>
        </w:tc>
        <w:tc>
          <w:tcPr>
            <w:cnfStyle w:val="000010000000" w:firstRow="0" w:lastRow="0" w:firstColumn="0" w:lastColumn="0" w:oddVBand="1" w:evenVBand="0" w:oddHBand="0" w:evenHBand="0" w:firstRowFirstColumn="0" w:firstRowLastColumn="0" w:lastRowFirstColumn="0" w:lastRowLastColumn="0"/>
            <w:tcW w:w="1212" w:type="dxa"/>
            <w:hideMark/>
          </w:tcPr>
          <w:p w14:paraId="0B27F95A"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0.747</w:t>
            </w:r>
          </w:p>
        </w:tc>
        <w:tc>
          <w:tcPr>
            <w:tcW w:w="1455" w:type="dxa"/>
            <w:hideMark/>
          </w:tcPr>
          <w:p w14:paraId="1795960A" w14:textId="77777777" w:rsidR="00EF67C9" w:rsidRPr="00EF67C9" w:rsidRDefault="001D6D97"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0.701</w:t>
            </w:r>
          </w:p>
        </w:tc>
        <w:tc>
          <w:tcPr>
            <w:cnfStyle w:val="000100000000" w:firstRow="0" w:lastRow="0" w:firstColumn="0" w:lastColumn="1" w:oddVBand="0" w:evenVBand="0" w:oddHBand="0" w:evenHBand="0" w:firstRowFirstColumn="0" w:firstRowLastColumn="0" w:lastRowFirstColumn="0" w:lastRowLastColumn="0"/>
            <w:tcW w:w="1576" w:type="dxa"/>
            <w:hideMark/>
          </w:tcPr>
          <w:p w14:paraId="60A9B4C7"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XOXO</w:t>
            </w:r>
          </w:p>
        </w:tc>
      </w:tr>
      <w:tr w:rsidR="0098502D" w14:paraId="06B6C322" w14:textId="77777777" w:rsidTr="0098502D">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E308C80"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OXOO</w:t>
            </w:r>
          </w:p>
        </w:tc>
        <w:tc>
          <w:tcPr>
            <w:cnfStyle w:val="000010000000" w:firstRow="0" w:lastRow="0" w:firstColumn="0" w:lastColumn="0" w:oddVBand="1" w:evenVBand="0" w:oddHBand="0" w:evenHBand="0" w:firstRowFirstColumn="0" w:firstRowLastColumn="0" w:lastRowFirstColumn="0" w:lastRowLastColumn="0"/>
            <w:tcW w:w="1601" w:type="dxa"/>
            <w:hideMark/>
          </w:tcPr>
          <w:p w14:paraId="378AEB15"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0.182</w:t>
            </w:r>
          </w:p>
        </w:tc>
        <w:tc>
          <w:tcPr>
            <w:tcW w:w="1256" w:type="dxa"/>
            <w:hideMark/>
          </w:tcPr>
          <w:p w14:paraId="676963A3"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0.181</w:t>
            </w:r>
          </w:p>
        </w:tc>
        <w:tc>
          <w:tcPr>
            <w:cnfStyle w:val="000010000000" w:firstRow="0" w:lastRow="0" w:firstColumn="0" w:lastColumn="0" w:oddVBand="1" w:evenVBand="0" w:oddHBand="0" w:evenHBand="0" w:firstRowFirstColumn="0" w:firstRowLastColumn="0" w:lastRowFirstColumn="0" w:lastRowLastColumn="0"/>
            <w:tcW w:w="1212" w:type="dxa"/>
            <w:hideMark/>
          </w:tcPr>
          <w:p w14:paraId="51204A57"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0.169</w:t>
            </w:r>
          </w:p>
        </w:tc>
        <w:tc>
          <w:tcPr>
            <w:tcW w:w="1455" w:type="dxa"/>
            <w:hideMark/>
          </w:tcPr>
          <w:p w14:paraId="5ED0DB8C"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0.084</w:t>
            </w:r>
          </w:p>
        </w:tc>
        <w:tc>
          <w:tcPr>
            <w:cnfStyle w:val="000100000000" w:firstRow="0" w:lastRow="0" w:firstColumn="0" w:lastColumn="1" w:oddVBand="0" w:evenVBand="0" w:oddHBand="0" w:evenHBand="0" w:firstRowFirstColumn="0" w:firstRowLastColumn="0" w:lastRowFirstColumn="0" w:lastRowLastColumn="0"/>
            <w:tcW w:w="1576" w:type="dxa"/>
            <w:hideMark/>
          </w:tcPr>
          <w:p w14:paraId="0D8371F0"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XOXX</w:t>
            </w:r>
          </w:p>
        </w:tc>
      </w:tr>
      <w:tr w:rsidR="0098502D" w14:paraId="34F90D96" w14:textId="77777777" w:rsidTr="0098502D">
        <w:trPr>
          <w:trHeight w:val="439"/>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2C6892A5"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OOXX</w:t>
            </w:r>
          </w:p>
        </w:tc>
        <w:tc>
          <w:tcPr>
            <w:cnfStyle w:val="000010000000" w:firstRow="0" w:lastRow="0" w:firstColumn="0" w:lastColumn="0" w:oddVBand="1" w:evenVBand="0" w:oddHBand="0" w:evenHBand="0" w:firstRowFirstColumn="0" w:firstRowLastColumn="0" w:lastRowFirstColumn="0" w:lastRowLastColumn="0"/>
            <w:tcW w:w="1601" w:type="dxa"/>
            <w:hideMark/>
          </w:tcPr>
          <w:p w14:paraId="42CE8C9F"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0.381</w:t>
            </w:r>
          </w:p>
        </w:tc>
        <w:tc>
          <w:tcPr>
            <w:tcW w:w="1256" w:type="dxa"/>
            <w:hideMark/>
          </w:tcPr>
          <w:p w14:paraId="08F590F3" w14:textId="77777777" w:rsidR="00EF67C9" w:rsidRPr="00EF67C9" w:rsidRDefault="001D6D97"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0.380</w:t>
            </w:r>
          </w:p>
        </w:tc>
        <w:tc>
          <w:tcPr>
            <w:cnfStyle w:val="000010000000" w:firstRow="0" w:lastRow="0" w:firstColumn="0" w:lastColumn="0" w:oddVBand="1" w:evenVBand="0" w:oddHBand="0" w:evenHBand="0" w:firstRowFirstColumn="0" w:firstRowLastColumn="0" w:lastRowFirstColumn="0" w:lastRowLastColumn="0"/>
            <w:tcW w:w="1212" w:type="dxa"/>
            <w:hideMark/>
          </w:tcPr>
          <w:p w14:paraId="4FC65DF1"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0.372</w:t>
            </w:r>
          </w:p>
        </w:tc>
        <w:tc>
          <w:tcPr>
            <w:tcW w:w="1455" w:type="dxa"/>
            <w:hideMark/>
          </w:tcPr>
          <w:p w14:paraId="080ED214" w14:textId="77777777" w:rsidR="00EF67C9" w:rsidRPr="00EF67C9" w:rsidRDefault="001D6D97"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0.305</w:t>
            </w:r>
          </w:p>
        </w:tc>
        <w:tc>
          <w:tcPr>
            <w:cnfStyle w:val="000100000000" w:firstRow="0" w:lastRow="0" w:firstColumn="0" w:lastColumn="1" w:oddVBand="0" w:evenVBand="0" w:oddHBand="0" w:evenHBand="0" w:firstRowFirstColumn="0" w:firstRowLastColumn="0" w:lastRowFirstColumn="0" w:lastRowLastColumn="0"/>
            <w:tcW w:w="1576" w:type="dxa"/>
            <w:hideMark/>
          </w:tcPr>
          <w:p w14:paraId="3B9DEF7B"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XXOO</w:t>
            </w:r>
          </w:p>
        </w:tc>
      </w:tr>
      <w:tr w:rsidR="0098502D" w14:paraId="417A25C7" w14:textId="77777777" w:rsidTr="0098502D">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518B0D68"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OOXO</w:t>
            </w:r>
          </w:p>
        </w:tc>
        <w:tc>
          <w:tcPr>
            <w:cnfStyle w:val="000010000000" w:firstRow="0" w:lastRow="0" w:firstColumn="0" w:lastColumn="0" w:oddVBand="1" w:evenVBand="0" w:oddHBand="0" w:evenHBand="0" w:firstRowFirstColumn="0" w:firstRowLastColumn="0" w:lastRowFirstColumn="0" w:lastRowLastColumn="0"/>
            <w:tcW w:w="1601" w:type="dxa"/>
            <w:hideMark/>
          </w:tcPr>
          <w:p w14:paraId="5E8E276B"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0.142-</w:t>
            </w:r>
          </w:p>
        </w:tc>
        <w:tc>
          <w:tcPr>
            <w:tcW w:w="1256" w:type="dxa"/>
            <w:hideMark/>
          </w:tcPr>
          <w:p w14:paraId="0E8B2F82"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0.144-</w:t>
            </w:r>
          </w:p>
        </w:tc>
        <w:tc>
          <w:tcPr>
            <w:cnfStyle w:val="000010000000" w:firstRow="0" w:lastRow="0" w:firstColumn="0" w:lastColumn="0" w:oddVBand="1" w:evenVBand="0" w:oddHBand="0" w:evenHBand="0" w:firstRowFirstColumn="0" w:firstRowLastColumn="0" w:lastRowFirstColumn="0" w:lastRowLastColumn="0"/>
            <w:tcW w:w="1212" w:type="dxa"/>
            <w:hideMark/>
          </w:tcPr>
          <w:p w14:paraId="0CAA3677"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0.169</w:t>
            </w:r>
          </w:p>
        </w:tc>
        <w:tc>
          <w:tcPr>
            <w:tcW w:w="1455" w:type="dxa"/>
            <w:hideMark/>
          </w:tcPr>
          <w:p w14:paraId="78F83B75"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0.305-</w:t>
            </w:r>
          </w:p>
        </w:tc>
        <w:tc>
          <w:tcPr>
            <w:cnfStyle w:val="000100000000" w:firstRow="0" w:lastRow="0" w:firstColumn="0" w:lastColumn="1" w:oddVBand="0" w:evenVBand="0" w:oddHBand="0" w:evenHBand="0" w:firstRowFirstColumn="0" w:firstRowLastColumn="0" w:lastRowFirstColumn="0" w:lastRowLastColumn="0"/>
            <w:tcW w:w="1576" w:type="dxa"/>
            <w:hideMark/>
          </w:tcPr>
          <w:p w14:paraId="660DFB9A"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XXOX</w:t>
            </w:r>
          </w:p>
        </w:tc>
      </w:tr>
      <w:tr w:rsidR="0098502D" w14:paraId="2CAF9FAB" w14:textId="77777777" w:rsidTr="0098502D">
        <w:trPr>
          <w:trHeight w:val="47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06080D2D"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OOOX</w:t>
            </w:r>
          </w:p>
        </w:tc>
        <w:tc>
          <w:tcPr>
            <w:cnfStyle w:val="000010000000" w:firstRow="0" w:lastRow="0" w:firstColumn="0" w:lastColumn="0" w:oddVBand="1" w:evenVBand="0" w:oddHBand="0" w:evenHBand="0" w:firstRowFirstColumn="0" w:firstRowLastColumn="0" w:lastRowFirstColumn="0" w:lastRowLastColumn="0"/>
            <w:tcW w:w="1601" w:type="dxa"/>
            <w:hideMark/>
          </w:tcPr>
          <w:p w14:paraId="7DEE2E91"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1.549-</w:t>
            </w:r>
          </w:p>
        </w:tc>
        <w:tc>
          <w:tcPr>
            <w:tcW w:w="1256" w:type="dxa"/>
            <w:hideMark/>
          </w:tcPr>
          <w:p w14:paraId="357D6BDC" w14:textId="77777777" w:rsidR="00EF67C9" w:rsidRPr="00EF67C9" w:rsidRDefault="001D6D97"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1.544</w:t>
            </w:r>
          </w:p>
        </w:tc>
        <w:tc>
          <w:tcPr>
            <w:cnfStyle w:val="000010000000" w:firstRow="0" w:lastRow="0" w:firstColumn="0" w:lastColumn="0" w:oddVBand="1" w:evenVBand="0" w:oddHBand="0" w:evenHBand="0" w:firstRowFirstColumn="0" w:firstRowLastColumn="0" w:lastRowFirstColumn="0" w:lastRowLastColumn="0"/>
            <w:tcW w:w="1212" w:type="dxa"/>
            <w:hideMark/>
          </w:tcPr>
          <w:p w14:paraId="279FA214"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1.500</w:t>
            </w:r>
          </w:p>
        </w:tc>
        <w:tc>
          <w:tcPr>
            <w:tcW w:w="1455" w:type="dxa"/>
            <w:hideMark/>
          </w:tcPr>
          <w:p w14:paraId="321993DC" w14:textId="77777777" w:rsidR="00EF67C9" w:rsidRPr="00EF67C9" w:rsidRDefault="001D6D97"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1.288</w:t>
            </w:r>
          </w:p>
        </w:tc>
        <w:tc>
          <w:tcPr>
            <w:cnfStyle w:val="000100000000" w:firstRow="0" w:lastRow="0" w:firstColumn="0" w:lastColumn="1" w:oddVBand="0" w:evenVBand="0" w:oddHBand="0" w:evenHBand="0" w:firstRowFirstColumn="0" w:firstRowLastColumn="0" w:lastRowFirstColumn="0" w:lastRowLastColumn="0"/>
            <w:tcW w:w="1576" w:type="dxa"/>
            <w:hideMark/>
          </w:tcPr>
          <w:p w14:paraId="1A4A3A69"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XXXO</w:t>
            </w:r>
          </w:p>
        </w:tc>
      </w:tr>
      <w:tr w:rsidR="0098502D" w14:paraId="0763BE9E" w14:textId="77777777" w:rsidTr="0098502D">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688D2E92"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OOOO</w:t>
            </w:r>
          </w:p>
        </w:tc>
        <w:tc>
          <w:tcPr>
            <w:cnfStyle w:val="000010000000" w:firstRow="0" w:lastRow="0" w:firstColumn="0" w:lastColumn="0" w:oddVBand="1" w:evenVBand="0" w:oddHBand="0" w:evenHBand="0" w:firstRowFirstColumn="0" w:firstRowLastColumn="0" w:lastRowFirstColumn="0" w:lastRowLastColumn="0"/>
            <w:tcW w:w="1601" w:type="dxa"/>
            <w:hideMark/>
          </w:tcPr>
          <w:p w14:paraId="0B4093E0"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1.000</w:t>
            </w:r>
          </w:p>
        </w:tc>
        <w:tc>
          <w:tcPr>
            <w:tcW w:w="1256" w:type="dxa"/>
            <w:hideMark/>
          </w:tcPr>
          <w:p w14:paraId="47759D04"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0.985</w:t>
            </w:r>
          </w:p>
        </w:tc>
        <w:tc>
          <w:tcPr>
            <w:cnfStyle w:val="000010000000" w:firstRow="0" w:lastRow="0" w:firstColumn="0" w:lastColumn="0" w:oddVBand="1" w:evenVBand="0" w:oddHBand="0" w:evenHBand="0" w:firstRowFirstColumn="0" w:firstRowLastColumn="0" w:lastRowFirstColumn="0" w:lastRowLastColumn="0"/>
            <w:tcW w:w="1212" w:type="dxa"/>
            <w:hideMark/>
          </w:tcPr>
          <w:p w14:paraId="0615757A"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0.0897</w:t>
            </w:r>
          </w:p>
        </w:tc>
        <w:tc>
          <w:tcPr>
            <w:tcW w:w="1455" w:type="dxa"/>
            <w:hideMark/>
          </w:tcPr>
          <w:p w14:paraId="004886B1" w14:textId="77777777" w:rsidR="00EF67C9" w:rsidRPr="00EF67C9" w:rsidRDefault="001D6D97"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0.555</w:t>
            </w:r>
          </w:p>
        </w:tc>
        <w:tc>
          <w:tcPr>
            <w:cnfStyle w:val="000100000000" w:firstRow="0" w:lastRow="0" w:firstColumn="0" w:lastColumn="1" w:oddVBand="0" w:evenVBand="0" w:oddHBand="0" w:evenHBand="0" w:firstRowFirstColumn="0" w:firstRowLastColumn="0" w:lastRowFirstColumn="0" w:lastRowLastColumn="0"/>
            <w:tcW w:w="1576" w:type="dxa"/>
            <w:hideMark/>
          </w:tcPr>
          <w:p w14:paraId="7963DEB5"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XXXX</w:t>
            </w:r>
          </w:p>
        </w:tc>
      </w:tr>
      <w:tr w:rsidR="0098502D" w14:paraId="61EA6480" w14:textId="77777777" w:rsidTr="0098502D">
        <w:trPr>
          <w:cnfStyle w:val="010000000000" w:firstRow="0" w:lastRow="1" w:firstColumn="0" w:lastColumn="0" w:oddVBand="0" w:evenVBand="0" w:oddHBand="0"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701" w:type="dxa"/>
          </w:tcPr>
          <w:p w14:paraId="189474D0" w14:textId="77777777"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c>
          <w:tcPr>
            <w:cnfStyle w:val="000010000000" w:firstRow="0" w:lastRow="0" w:firstColumn="0" w:lastColumn="0" w:oddVBand="1" w:evenVBand="0" w:oddHBand="0" w:evenHBand="0" w:firstRowFirstColumn="0" w:firstRowLastColumn="0" w:lastRowFirstColumn="0" w:lastRowLastColumn="0"/>
            <w:tcW w:w="1601" w:type="dxa"/>
          </w:tcPr>
          <w:p w14:paraId="125218FF"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XXXX</w:t>
            </w:r>
          </w:p>
        </w:tc>
        <w:tc>
          <w:tcPr>
            <w:tcW w:w="1256" w:type="dxa"/>
          </w:tcPr>
          <w:p w14:paraId="7295A269" w14:textId="77777777" w:rsidR="00EF67C9" w:rsidRPr="00EF67C9" w:rsidRDefault="001D6D97" w:rsidP="00EF67C9">
            <w:pPr>
              <w:autoSpaceDE w:val="0"/>
              <w:autoSpaceDN w:val="0"/>
              <w:adjustRightInd w:val="0"/>
              <w:spacing w:line="276" w:lineRule="auto"/>
              <w:ind w:firstLine="426"/>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XXX</w:t>
            </w:r>
          </w:p>
        </w:tc>
        <w:tc>
          <w:tcPr>
            <w:cnfStyle w:val="000010000000" w:firstRow="0" w:lastRow="0" w:firstColumn="0" w:lastColumn="0" w:oddVBand="1" w:evenVBand="0" w:oddHBand="0" w:evenHBand="0" w:firstRowFirstColumn="0" w:firstRowLastColumn="0" w:lastRowFirstColumn="0" w:lastRowLastColumn="0"/>
            <w:tcW w:w="1212" w:type="dxa"/>
          </w:tcPr>
          <w:p w14:paraId="718483B0" w14:textId="77777777" w:rsidR="00EF67C9" w:rsidRPr="00EF67C9" w:rsidRDefault="001D6D97"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w:t>
            </w:r>
          </w:p>
        </w:tc>
        <w:tc>
          <w:tcPr>
            <w:tcW w:w="1455" w:type="dxa"/>
          </w:tcPr>
          <w:p w14:paraId="03BCE65C" w14:textId="77777777" w:rsidR="00EF67C9" w:rsidRPr="00EF67C9" w:rsidRDefault="001D6D97" w:rsidP="00EF67C9">
            <w:pPr>
              <w:autoSpaceDE w:val="0"/>
              <w:autoSpaceDN w:val="0"/>
              <w:adjustRightInd w:val="0"/>
              <w:spacing w:line="276" w:lineRule="auto"/>
              <w:ind w:firstLine="426"/>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X</w:t>
            </w:r>
          </w:p>
        </w:tc>
        <w:tc>
          <w:tcPr>
            <w:cnfStyle w:val="000100000000" w:firstRow="0" w:lastRow="0" w:firstColumn="0" w:lastColumn="1" w:oddVBand="0" w:evenVBand="0" w:oddHBand="0" w:evenHBand="0" w:firstRowFirstColumn="0" w:firstRowLastColumn="0" w:lastRowFirstColumn="0" w:lastRowLastColumn="0"/>
            <w:tcW w:w="1576" w:type="dxa"/>
          </w:tcPr>
          <w:p w14:paraId="00DE0ECC" w14:textId="77777777"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r>
    </w:tbl>
    <w:p w14:paraId="781E6BC6" w14:textId="77777777" w:rsidR="00EF67C9" w:rsidRDefault="00EF67C9" w:rsidP="002303D2">
      <w:pPr>
        <w:autoSpaceDE w:val="0"/>
        <w:autoSpaceDN w:val="0"/>
        <w:adjustRightInd w:val="0"/>
        <w:spacing w:after="0"/>
        <w:ind w:firstLine="426"/>
        <w:rPr>
          <w:rFonts w:asciiTheme="majorBidi" w:hAnsiTheme="majorBidi" w:cstheme="majorBidi"/>
          <w:sz w:val="24"/>
          <w:szCs w:val="24"/>
        </w:rPr>
      </w:pPr>
    </w:p>
    <w:p w14:paraId="4219781A" w14:textId="77777777" w:rsidR="00035C14" w:rsidRDefault="001D6D97" w:rsidP="00035C14">
      <w:pPr>
        <w:autoSpaceDE w:val="0"/>
        <w:autoSpaceDN w:val="0"/>
        <w:adjustRightInd w:val="0"/>
        <w:spacing w:after="0"/>
        <w:rPr>
          <w:rFonts w:asciiTheme="majorBidi" w:hAnsiTheme="majorBidi" w:cstheme="majorBidi"/>
          <w:sz w:val="24"/>
          <w:szCs w:val="24"/>
        </w:rPr>
      </w:pPr>
      <w:r w:rsidRPr="006214B4">
        <w:rPr>
          <w:rFonts w:asciiTheme="majorBidi" w:hAnsiTheme="majorBidi" w:cstheme="majorBidi"/>
          <w:sz w:val="24"/>
          <w:szCs w:val="24"/>
        </w:rPr>
        <w:t xml:space="preserve">The following formula is used        </w:t>
      </w:r>
    </w:p>
    <w:p w14:paraId="662149F2" w14:textId="77777777" w:rsidR="00DA5691" w:rsidRPr="006214B4" w:rsidRDefault="001D6D97" w:rsidP="00035C14">
      <w:pPr>
        <w:autoSpaceDE w:val="0"/>
        <w:autoSpaceDN w:val="0"/>
        <w:adjustRightInd w:val="0"/>
        <w:spacing w:after="0"/>
        <w:rPr>
          <w:rFonts w:asciiTheme="majorBidi" w:hAnsiTheme="majorBidi" w:cstheme="majorBidi"/>
          <w:sz w:val="24"/>
          <w:szCs w:val="24"/>
        </w:rPr>
      </w:pPr>
      <w:r w:rsidRPr="006214B4">
        <w:rPr>
          <w:rFonts w:asciiTheme="majorBidi" w:hAnsiTheme="majorBidi" w:cstheme="majorBidi"/>
          <w:sz w:val="24"/>
          <w:szCs w:val="24"/>
        </w:rPr>
        <w:t xml:space="preserve"> LD50 = XF + Kd                                                     </w:t>
      </w:r>
    </w:p>
    <w:p w14:paraId="261EB437" w14:textId="77777777" w:rsidR="00DA5691" w:rsidRPr="006214B4" w:rsidRDefault="001D6D97" w:rsidP="00576FB4">
      <w:pPr>
        <w:spacing w:after="0"/>
        <w:jc w:val="both"/>
        <w:rPr>
          <w:rFonts w:asciiTheme="majorBidi" w:eastAsia="Times New Roman" w:hAnsiTheme="majorBidi" w:cstheme="majorBidi"/>
          <w:b/>
          <w:bCs/>
          <w:sz w:val="24"/>
          <w:szCs w:val="24"/>
          <w:lang w:bidi="ar-IQ"/>
        </w:rPr>
      </w:pPr>
      <w:r w:rsidRPr="006214B4">
        <w:rPr>
          <w:rFonts w:asciiTheme="majorBidi" w:eastAsia="Times New Roman" w:hAnsiTheme="majorBidi" w:cstheme="majorBidi"/>
          <w:b/>
          <w:bCs/>
          <w:sz w:val="24"/>
          <w:szCs w:val="24"/>
        </w:rPr>
        <w:t>LD</w:t>
      </w:r>
      <w:r w:rsidRPr="006214B4">
        <w:rPr>
          <w:rFonts w:asciiTheme="majorBidi" w:eastAsia="Times New Roman" w:hAnsiTheme="majorBidi" w:cstheme="majorBidi"/>
          <w:b/>
          <w:bCs/>
          <w:sz w:val="24"/>
          <w:szCs w:val="24"/>
        </w:rPr>
        <w:softHyphen/>
      </w:r>
      <w:r w:rsidRPr="006214B4">
        <w:rPr>
          <w:rFonts w:asciiTheme="majorBidi" w:eastAsia="Times New Roman" w:hAnsiTheme="majorBidi" w:cstheme="majorBidi"/>
          <w:b/>
          <w:bCs/>
          <w:sz w:val="24"/>
          <w:szCs w:val="24"/>
          <w:vertAlign w:val="subscript"/>
        </w:rPr>
        <w:t>50</w:t>
      </w:r>
      <w:r w:rsidRPr="006214B4">
        <w:rPr>
          <w:rFonts w:asciiTheme="majorBidi" w:eastAsia="Times New Roman" w:hAnsiTheme="majorBidi" w:cstheme="majorBidi"/>
          <w:b/>
          <w:bCs/>
          <w:sz w:val="24"/>
          <w:szCs w:val="24"/>
        </w:rPr>
        <w:t xml:space="preserve"> = XF</w:t>
      </w:r>
      <w:r w:rsidRPr="006214B4">
        <w:rPr>
          <w:rFonts w:asciiTheme="majorBidi" w:hAnsiTheme="majorBidi" w:cstheme="majorBidi"/>
          <w:sz w:val="24"/>
          <w:szCs w:val="24"/>
        </w:rPr>
        <w:t xml:space="preserve"> + Kd</w:t>
      </w:r>
      <w:r w:rsidRPr="006214B4">
        <w:rPr>
          <w:rFonts w:asciiTheme="majorBidi" w:eastAsia="Times New Roman" w:hAnsiTheme="majorBidi" w:cstheme="majorBidi"/>
          <w:b/>
          <w:bCs/>
          <w:sz w:val="24"/>
          <w:szCs w:val="24"/>
          <w:lang w:bidi="ar-IQ"/>
        </w:rPr>
        <w:tab/>
      </w:r>
    </w:p>
    <w:p w14:paraId="02F459A8" w14:textId="77777777" w:rsidR="00DA5691" w:rsidRPr="006214B4" w:rsidRDefault="001D6D97" w:rsidP="00576FB4">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LD</w:t>
      </w:r>
      <w:r w:rsidRPr="006214B4">
        <w:rPr>
          <w:rFonts w:asciiTheme="majorBidi" w:eastAsia="Times New Roman" w:hAnsiTheme="majorBidi" w:cstheme="majorBidi"/>
          <w:b/>
          <w:bCs/>
          <w:sz w:val="24"/>
          <w:szCs w:val="24"/>
          <w:vertAlign w:val="subscript"/>
          <w:lang w:bidi="ar-IQ"/>
        </w:rPr>
        <w:t>50</w:t>
      </w:r>
      <w:r w:rsidRPr="006214B4">
        <w:rPr>
          <w:rFonts w:asciiTheme="majorBidi" w:eastAsia="Times New Roman" w:hAnsiTheme="majorBidi" w:cstheme="majorBidi"/>
          <w:sz w:val="24"/>
          <w:szCs w:val="24"/>
          <w:lang w:bidi="ar-IQ"/>
        </w:rPr>
        <w:t xml:space="preserve"> = Median Lethal Dose </w:t>
      </w:r>
    </w:p>
    <w:p w14:paraId="732033EE" w14:textId="77777777" w:rsidR="00DA5691" w:rsidRPr="006214B4" w:rsidRDefault="001D6D97" w:rsidP="00576FB4">
      <w:pPr>
        <w:spacing w:after="0"/>
        <w:jc w:val="both"/>
        <w:rPr>
          <w:rFonts w:asciiTheme="majorBidi" w:eastAsia="Times New Roman" w:hAnsiTheme="majorBidi" w:cstheme="majorBidi"/>
          <w:sz w:val="24"/>
          <w:szCs w:val="24"/>
          <w:lang w:bidi="ar-IQ"/>
        </w:rPr>
      </w:pPr>
      <w:r w:rsidRPr="006214B4">
        <w:rPr>
          <w:rFonts w:asciiTheme="majorBidi" w:hAnsiTheme="majorBidi" w:cstheme="majorBidi"/>
          <w:b/>
          <w:bCs/>
          <w:sz w:val="24"/>
          <w:szCs w:val="24"/>
        </w:rPr>
        <w:t>XF</w:t>
      </w:r>
      <w:r w:rsidRPr="006214B4">
        <w:rPr>
          <w:rFonts w:asciiTheme="majorBidi" w:eastAsia="Times New Roman" w:hAnsiTheme="majorBidi" w:cstheme="majorBidi"/>
          <w:b/>
          <w:bCs/>
          <w:sz w:val="24"/>
          <w:szCs w:val="24"/>
          <w:lang w:bidi="ar-IQ"/>
        </w:rPr>
        <w:t xml:space="preserve"> </w:t>
      </w:r>
      <w:r w:rsidRPr="006214B4">
        <w:rPr>
          <w:rFonts w:asciiTheme="majorBidi" w:eastAsia="Times New Roman" w:hAnsiTheme="majorBidi" w:cstheme="majorBidi"/>
          <w:sz w:val="24"/>
          <w:szCs w:val="24"/>
          <w:lang w:bidi="ar-IQ"/>
        </w:rPr>
        <w:t xml:space="preserve">   = Last dose used in the experiment </w:t>
      </w:r>
    </w:p>
    <w:p w14:paraId="3575309E" w14:textId="77777777" w:rsidR="00DA5691" w:rsidRPr="006214B4" w:rsidRDefault="001D6D97" w:rsidP="00576FB4">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k</w:t>
      </w:r>
      <w:r w:rsidRPr="006214B4">
        <w:rPr>
          <w:rFonts w:asciiTheme="majorBidi" w:eastAsia="Times New Roman" w:hAnsiTheme="majorBidi" w:cstheme="majorBidi"/>
          <w:sz w:val="24"/>
          <w:szCs w:val="24"/>
          <w:lang w:bidi="ar-IQ"/>
        </w:rPr>
        <w:t xml:space="preserve">      = Factor of change from the table</w:t>
      </w:r>
    </w:p>
    <w:p w14:paraId="6BD6F13E" w14:textId="77777777" w:rsidR="00DA5691" w:rsidRPr="006214B4" w:rsidRDefault="001D6D97" w:rsidP="00576FB4">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d</w:t>
      </w:r>
      <w:r w:rsidRPr="006214B4">
        <w:rPr>
          <w:rFonts w:asciiTheme="majorBidi" w:eastAsia="Times New Roman" w:hAnsiTheme="majorBidi" w:cstheme="majorBidi"/>
          <w:sz w:val="24"/>
          <w:szCs w:val="24"/>
          <w:lang w:bidi="ar-IQ"/>
        </w:rPr>
        <w:t xml:space="preserve">      = Difference between doses</w:t>
      </w:r>
    </w:p>
    <w:p w14:paraId="2FF1BB2E" w14:textId="77777777" w:rsidR="00DA5691" w:rsidRPr="006214B4" w:rsidRDefault="001D6D97" w:rsidP="00576FB4">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O</w:t>
      </w:r>
      <w:r w:rsidRPr="006214B4">
        <w:rPr>
          <w:rFonts w:asciiTheme="majorBidi" w:eastAsia="Times New Roman" w:hAnsiTheme="majorBidi" w:cstheme="majorBidi"/>
          <w:sz w:val="24"/>
          <w:szCs w:val="24"/>
          <w:lang w:bidi="ar-IQ"/>
        </w:rPr>
        <w:t xml:space="preserve"> Symbol of survival animal after 24 hours of dosing  </w:t>
      </w:r>
    </w:p>
    <w:p w14:paraId="67A69DAA" w14:textId="77777777" w:rsidR="00C24D1B" w:rsidRDefault="001D6D97" w:rsidP="000E3AB7">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X</w:t>
      </w:r>
      <w:r w:rsidRPr="006214B4">
        <w:rPr>
          <w:rFonts w:asciiTheme="majorBidi" w:eastAsia="Times New Roman" w:hAnsiTheme="majorBidi" w:cstheme="majorBidi"/>
          <w:sz w:val="24"/>
          <w:szCs w:val="24"/>
          <w:lang w:bidi="ar-IQ"/>
        </w:rPr>
        <w:t xml:space="preserve">  = Symbol of dead animal after 24 hours </w:t>
      </w:r>
    </w:p>
    <w:p w14:paraId="7DFB674F" w14:textId="77777777" w:rsidR="00BF6FD7" w:rsidRDefault="001D6D97" w:rsidP="00A9059B">
      <w:pPr>
        <w:spacing w:after="0" w:line="360" w:lineRule="auto"/>
        <w:jc w:val="both"/>
        <w:rPr>
          <w:rFonts w:asciiTheme="majorBidi" w:hAnsiTheme="majorBidi" w:cstheme="majorBidi"/>
          <w:sz w:val="24"/>
          <w:szCs w:val="24"/>
        </w:rPr>
      </w:pPr>
      <w:r w:rsidRPr="00A9059B">
        <w:rPr>
          <w:rFonts w:asciiTheme="majorBidi" w:hAnsiTheme="majorBidi" w:cstheme="majorBidi"/>
          <w:sz w:val="24"/>
          <w:szCs w:val="24"/>
        </w:rPr>
        <w:t xml:space="preserve">LD50 = Xf +Kd LD50 = </w:t>
      </w:r>
    </w:p>
    <w:p w14:paraId="30B738C3" w14:textId="77777777" w:rsidR="00BF6FD7" w:rsidRDefault="001D6D97" w:rsidP="00A9059B">
      <w:pPr>
        <w:spacing w:after="0" w:line="360" w:lineRule="auto"/>
        <w:jc w:val="both"/>
        <w:rPr>
          <w:rFonts w:asciiTheme="majorBidi" w:hAnsiTheme="majorBidi" w:cstheme="majorBidi"/>
          <w:sz w:val="24"/>
          <w:szCs w:val="24"/>
        </w:rPr>
      </w:pPr>
      <w:r>
        <w:rPr>
          <w:rFonts w:asciiTheme="majorBidi" w:hAnsiTheme="majorBidi" w:cstheme="majorBidi"/>
          <w:sz w:val="24"/>
          <w:szCs w:val="24"/>
        </w:rPr>
        <w:t>700+1.544</w:t>
      </w:r>
      <w:r w:rsidR="00A9059B" w:rsidRPr="00A9059B">
        <w:rPr>
          <w:rFonts w:asciiTheme="majorBidi" w:hAnsiTheme="majorBidi" w:cstheme="majorBidi"/>
          <w:sz w:val="24"/>
          <w:szCs w:val="24"/>
        </w:rPr>
        <w:t xml:space="preserve"> × 50 </w:t>
      </w:r>
    </w:p>
    <w:p w14:paraId="00095C72" w14:textId="77777777" w:rsidR="00BF6FD7" w:rsidRDefault="001D6D97" w:rsidP="00A9059B">
      <w:pPr>
        <w:spacing w:after="0" w:line="360" w:lineRule="auto"/>
        <w:jc w:val="both"/>
        <w:rPr>
          <w:rFonts w:asciiTheme="majorBidi" w:hAnsiTheme="majorBidi" w:cstheme="majorBidi"/>
          <w:sz w:val="24"/>
          <w:szCs w:val="24"/>
        </w:rPr>
      </w:pPr>
      <w:r>
        <w:rPr>
          <w:rFonts w:asciiTheme="majorBidi" w:hAnsiTheme="majorBidi" w:cstheme="majorBidi"/>
          <w:sz w:val="24"/>
          <w:szCs w:val="24"/>
        </w:rPr>
        <w:t>700+78</w:t>
      </w:r>
    </w:p>
    <w:p w14:paraId="022C3F75" w14:textId="77777777" w:rsidR="00BF6FD7" w:rsidRDefault="001D6D97" w:rsidP="00A9059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LD50=778 mg/kg B.W. </w:t>
      </w:r>
    </w:p>
    <w:p w14:paraId="768B2E43" w14:textId="77777777" w:rsidR="00C24D1B" w:rsidRPr="00A9059B" w:rsidRDefault="001D6D97" w:rsidP="00A9059B">
      <w:pPr>
        <w:spacing w:after="0" w:line="360" w:lineRule="auto"/>
        <w:jc w:val="both"/>
        <w:rPr>
          <w:rFonts w:asciiTheme="majorBidi" w:eastAsia="Times New Roman" w:hAnsiTheme="majorBidi" w:cstheme="majorBidi"/>
          <w:sz w:val="28"/>
          <w:szCs w:val="28"/>
          <w:lang w:bidi="ar-IQ"/>
        </w:rPr>
      </w:pPr>
      <w:r>
        <w:rPr>
          <w:rFonts w:asciiTheme="majorBidi" w:hAnsiTheme="majorBidi" w:cstheme="majorBidi"/>
          <w:sz w:val="24"/>
          <w:szCs w:val="24"/>
        </w:rPr>
        <w:t xml:space="preserve">1/10 of LD50=77.8 </w:t>
      </w:r>
      <w:r w:rsidR="00A9059B" w:rsidRPr="00A9059B">
        <w:rPr>
          <w:rFonts w:asciiTheme="majorBidi" w:hAnsiTheme="majorBidi" w:cstheme="majorBidi"/>
          <w:sz w:val="24"/>
          <w:szCs w:val="24"/>
        </w:rPr>
        <w:t>mg/kg</w:t>
      </w:r>
    </w:p>
    <w:p w14:paraId="547AC821" w14:textId="77777777" w:rsidR="004D5821" w:rsidRPr="006214B4" w:rsidRDefault="001D6D97" w:rsidP="00576FB4">
      <w:pPr>
        <w:jc w:val="both"/>
        <w:rPr>
          <w:rFonts w:asciiTheme="majorBidi" w:hAnsiTheme="majorBidi" w:cstheme="majorBidi"/>
          <w:b/>
          <w:bCs/>
          <w:sz w:val="28"/>
          <w:szCs w:val="28"/>
        </w:rPr>
      </w:pPr>
      <w:r w:rsidRPr="006214B4">
        <w:rPr>
          <w:rFonts w:asciiTheme="majorBidi" w:hAnsiTheme="majorBidi" w:cstheme="majorBidi"/>
          <w:b/>
          <w:bCs/>
          <w:sz w:val="28"/>
          <w:szCs w:val="28"/>
        </w:rPr>
        <w:lastRenderedPageBreak/>
        <w:t>6-Interleukin 6 and 10 kit</w:t>
      </w:r>
    </w:p>
    <w:p w14:paraId="055C7122" w14:textId="77777777" w:rsidR="006214B4" w:rsidRPr="006214B4" w:rsidRDefault="001D6D97" w:rsidP="00576FB4">
      <w:pPr>
        <w:spacing w:after="0" w:line="360" w:lineRule="auto"/>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Sample Collection and Preparation</w:t>
      </w:r>
    </w:p>
    <w:p w14:paraId="466CE258" w14:textId="77777777" w:rsidR="006214B4" w:rsidRPr="006214B4" w:rsidRDefault="001D6D97" w:rsidP="00576FB4">
      <w:pPr>
        <w:spacing w:after="0" w:line="360" w:lineRule="auto"/>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A. Serum Samples:</w:t>
      </w:r>
    </w:p>
    <w:p w14:paraId="5A341E43" w14:textId="77777777" w:rsidR="006214B4" w:rsidRPr="006214B4" w:rsidRDefault="001D6D97" w:rsidP="00576FB4">
      <w:pPr>
        <w:spacing w:after="0" w:line="360" w:lineRule="auto"/>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1. Collect whole blood and allow it to clot at room temperature for 2 hours or at 2–8°C overnight.</w:t>
      </w:r>
    </w:p>
    <w:p w14:paraId="1C79D772" w14:textId="77777777" w:rsidR="006214B4" w:rsidRPr="006214B4" w:rsidRDefault="001D6D97" w:rsidP="00576FB4">
      <w:pPr>
        <w:spacing w:after="0" w:line="360" w:lineRule="auto"/>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2. Centrifuge at 1000×g for 20 minutes.</w:t>
      </w:r>
    </w:p>
    <w:p w14:paraId="094AE17F" w14:textId="77777777" w:rsidR="006214B4" w:rsidRPr="006214B4" w:rsidRDefault="001D6D97" w:rsidP="00576FB4">
      <w:pPr>
        <w:spacing w:after="0" w:line="360" w:lineRule="auto"/>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3. Collect the supernatant (serum) and assay immediately or store aliquots at –20°C or –80°C for future use. </w:t>
      </w:r>
    </w:p>
    <w:p w14:paraId="18B977A4" w14:textId="77777777" w:rsidR="006214B4" w:rsidRPr="006214B4" w:rsidRDefault="001D6D97" w:rsidP="00576FB4">
      <w:pPr>
        <w:spacing w:after="0" w:line="360" w:lineRule="auto"/>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B. Plasma Samples:</w:t>
      </w:r>
    </w:p>
    <w:p w14:paraId="1E2F9264" w14:textId="77777777" w:rsidR="006214B4" w:rsidRPr="006214B4" w:rsidRDefault="001D6D97"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1. Collect blood using EDTA-Na₂/K₂ /K₂ as an anticoagulant.</w:t>
      </w:r>
    </w:p>
    <w:p w14:paraId="220FC891" w14:textId="77777777" w:rsidR="006214B4" w:rsidRPr="006214B4" w:rsidRDefault="001D6D97"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2. Centrifuge at 1000×g for 15 minutes at 2–8°C within 30 minutes of collection.</w:t>
      </w:r>
    </w:p>
    <w:p w14:paraId="528E2C08" w14:textId="77777777" w:rsidR="006214B4" w:rsidRPr="006214B4" w:rsidRDefault="001D6D97"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3. Collect the supernatant (plasma) and assay immediately or store aliquots at –20°C or –80°C. </w:t>
      </w:r>
    </w:p>
    <w:p w14:paraId="333C0214" w14:textId="77777777" w:rsidR="006214B4" w:rsidRPr="006214B4" w:rsidRDefault="001D6D97" w:rsidP="00576FB4">
      <w:pPr>
        <w:spacing w:after="0"/>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C. Tissue Samples:</w:t>
      </w:r>
    </w:p>
    <w:p w14:paraId="20288492" w14:textId="77777777" w:rsidR="006214B4" w:rsidRPr="006214B4" w:rsidRDefault="001D6D97"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1. Place the tissue on ice and wash it with pre-cooled PBS (0.01 M, pH 7.4) to remove residual blood.</w:t>
      </w:r>
    </w:p>
    <w:p w14:paraId="4D729D92" w14:textId="77777777" w:rsidR="006214B4" w:rsidRPr="006214B4" w:rsidRDefault="001D6D97"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2. Weigh the tissue and homogenize it in PBS (9 mL per gram of tissue) containing protease inhibitors (e.g., 1 mM PMSF).</w:t>
      </w:r>
    </w:p>
    <w:p w14:paraId="4113BD49" w14:textId="77777777" w:rsidR="006214B4" w:rsidRPr="006214B4" w:rsidRDefault="001D6D97"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3. Further disrupt the homogenate using ultrasonic disruption or freeze-thaw cycles.</w:t>
      </w:r>
    </w:p>
    <w:p w14:paraId="2D516BCB" w14:textId="77777777" w:rsidR="006214B4" w:rsidRPr="006214B4" w:rsidRDefault="001D6D97"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4. Centrifuge at 5000×g for 5 minutes and collect the supernatant for analysis. </w:t>
      </w:r>
    </w:p>
    <w:p w14:paraId="27A10F28" w14:textId="77777777" w:rsidR="006214B4" w:rsidRPr="006214B4" w:rsidRDefault="001D6D97" w:rsidP="00576FB4">
      <w:pPr>
        <w:spacing w:after="0"/>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Assay Procedure</w:t>
      </w:r>
    </w:p>
    <w:p w14:paraId="68CF4526" w14:textId="77777777" w:rsidR="006214B4" w:rsidRPr="006214B4" w:rsidRDefault="001D6D97" w:rsidP="00576FB4">
      <w:pPr>
        <w:spacing w:after="0"/>
        <w:jc w:val="both"/>
        <w:rPr>
          <w:rFonts w:asciiTheme="majorBidi" w:hAnsiTheme="majorBidi" w:cstheme="majorBidi"/>
          <w:sz w:val="24"/>
          <w:szCs w:val="24"/>
          <w:lang w:bidi="ar-IQ"/>
        </w:rPr>
      </w:pPr>
      <w:r w:rsidRPr="006214B4">
        <w:rPr>
          <w:rFonts w:asciiTheme="majorBidi" w:hAnsiTheme="majorBidi" w:cstheme="majorBidi"/>
          <w:b/>
          <w:bCs/>
          <w:sz w:val="24"/>
          <w:szCs w:val="24"/>
          <w:lang w:bidi="ar-IQ"/>
        </w:rPr>
        <w:t xml:space="preserve"> 1. Preparation</w:t>
      </w:r>
      <w:r w:rsidRPr="006214B4">
        <w:rPr>
          <w:rFonts w:asciiTheme="majorBidi" w:hAnsiTheme="majorBidi" w:cstheme="majorBidi"/>
          <w:sz w:val="24"/>
          <w:szCs w:val="24"/>
          <w:lang w:bidi="ar-IQ"/>
        </w:rPr>
        <w:t>:</w:t>
      </w:r>
    </w:p>
    <w:p w14:paraId="729CB7EA"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Bring all reagents and samples to room temperature (18–25°C) before use.</w:t>
      </w:r>
    </w:p>
    <w:p w14:paraId="0148888B"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Prepare all reagents, standards, and samples as directed in the kit manual.</w:t>
      </w:r>
    </w:p>
    <w:p w14:paraId="56AAEBC6" w14:textId="77777777" w:rsidR="006214B4" w:rsidRPr="00035C14" w:rsidRDefault="001D6D97" w:rsidP="00035C14">
      <w:pPr>
        <w:spacing w:after="0"/>
        <w:ind w:left="60"/>
        <w:jc w:val="both"/>
        <w:rPr>
          <w:rFonts w:asciiTheme="majorBidi" w:hAnsiTheme="majorBidi" w:cstheme="majorBidi"/>
          <w:b/>
          <w:bCs/>
          <w:sz w:val="24"/>
          <w:szCs w:val="24"/>
          <w:lang w:bidi="ar-IQ"/>
        </w:rPr>
      </w:pPr>
      <w:r w:rsidRPr="00035C14">
        <w:rPr>
          <w:rFonts w:asciiTheme="majorBidi" w:hAnsiTheme="majorBidi" w:cstheme="majorBidi"/>
          <w:b/>
          <w:bCs/>
          <w:sz w:val="24"/>
          <w:szCs w:val="24"/>
          <w:lang w:bidi="ar-IQ"/>
        </w:rPr>
        <w:t>2. Assay Steps:</w:t>
      </w:r>
    </w:p>
    <w:p w14:paraId="7623FC5F"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Add 100 µL of standard, sample, or control to each well.</w:t>
      </w:r>
    </w:p>
    <w:p w14:paraId="5D95ADF7" w14:textId="77777777" w:rsidR="006214B4" w:rsidRPr="00035C14" w:rsidRDefault="001D6D97"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Cover the plate and incubate for 90 minutes at 37°C.</w:t>
      </w:r>
    </w:p>
    <w:p w14:paraId="523FB479" w14:textId="77777777" w:rsidR="006214B4" w:rsidRPr="00035C14" w:rsidRDefault="001D6D97"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Remove the liquid and add 100 µL of biotinylated detection antibody.</w:t>
      </w:r>
    </w:p>
    <w:p w14:paraId="70FB5454" w14:textId="77777777" w:rsidR="006214B4" w:rsidRPr="00035C14" w:rsidRDefault="001D6D97"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Incubate for 1 hour at 37°C.</w:t>
      </w:r>
    </w:p>
    <w:p w14:paraId="74DF1A91" w14:textId="77777777" w:rsidR="006214B4" w:rsidRPr="00035C14" w:rsidRDefault="001D6D97"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Wash the plate 3 times with wash buffer.</w:t>
      </w:r>
    </w:p>
    <w:p w14:paraId="2E0B16DA" w14:textId="77777777" w:rsidR="006214B4" w:rsidRPr="00035C14" w:rsidRDefault="001D6D97"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Add 100 µL of HRP-conjugated streptavidin.</w:t>
      </w:r>
    </w:p>
    <w:p w14:paraId="7A786B81"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Incubate for 30 minutes at 37°C.</w:t>
      </w:r>
    </w:p>
    <w:p w14:paraId="78C12A8C"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Wash the plate 5 times with wash buffer.</w:t>
      </w:r>
    </w:p>
    <w:p w14:paraId="258A3246"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Add 90 µL of TMB substrate.</w:t>
      </w:r>
    </w:p>
    <w:p w14:paraId="41B7732F"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Incubate for 15 minutes at 37°C in the dark.</w:t>
      </w:r>
    </w:p>
    <w:p w14:paraId="35CA9E0D"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Add 50 µL of stop solution to each well.</w:t>
      </w:r>
    </w:p>
    <w:p w14:paraId="391E399B" w14:textId="77777777" w:rsidR="006214B4" w:rsidRPr="00035C14" w:rsidRDefault="001D6D97"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 xml:space="preserve">Read the absorbance at 450 nm using a microplate reader within 5 minutes. </w:t>
      </w:r>
    </w:p>
    <w:p w14:paraId="5794C3D4" w14:textId="77777777" w:rsidR="006214B4" w:rsidRPr="006214B4" w:rsidRDefault="001D6D97" w:rsidP="00576FB4">
      <w:pPr>
        <w:spacing w:after="0"/>
        <w:jc w:val="both"/>
        <w:rPr>
          <w:rFonts w:asciiTheme="majorBidi" w:hAnsiTheme="majorBidi" w:cstheme="majorBidi"/>
          <w:b/>
          <w:bCs/>
          <w:sz w:val="24"/>
          <w:szCs w:val="24"/>
          <w:lang w:bidi="ar-IQ"/>
        </w:rPr>
      </w:pPr>
      <w:r w:rsidRPr="006214B4">
        <w:rPr>
          <w:rFonts w:asciiTheme="majorBidi" w:hAnsiTheme="majorBidi" w:cstheme="majorBidi"/>
          <w:sz w:val="24"/>
          <w:szCs w:val="24"/>
          <w:lang w:bidi="ar-IQ"/>
        </w:rPr>
        <w:t xml:space="preserve"> </w:t>
      </w:r>
      <w:r w:rsidRPr="006214B4">
        <w:rPr>
          <w:rFonts w:asciiTheme="majorBidi" w:hAnsiTheme="majorBidi" w:cstheme="majorBidi"/>
          <w:b/>
          <w:bCs/>
          <w:sz w:val="24"/>
          <w:szCs w:val="24"/>
          <w:lang w:bidi="ar-IQ"/>
        </w:rPr>
        <w:t>3. Data Analysis:</w:t>
      </w:r>
    </w:p>
    <w:p w14:paraId="012971AA" w14:textId="77777777" w:rsidR="006214B4" w:rsidRPr="005A781C" w:rsidRDefault="001D6D97" w:rsidP="00576FB4">
      <w:pPr>
        <w:spacing w:after="0"/>
        <w:ind w:left="72"/>
        <w:jc w:val="both"/>
        <w:rPr>
          <w:rFonts w:asciiTheme="majorBidi" w:hAnsiTheme="majorBidi" w:cstheme="majorBidi"/>
          <w:sz w:val="24"/>
          <w:szCs w:val="24"/>
          <w:lang w:bidi="ar-IQ"/>
        </w:rPr>
      </w:pPr>
      <w:r w:rsidRPr="005A781C">
        <w:rPr>
          <w:rFonts w:asciiTheme="majorBidi" w:hAnsiTheme="majorBidi" w:cstheme="majorBidi"/>
          <w:sz w:val="24"/>
          <w:szCs w:val="24"/>
          <w:lang w:bidi="ar-IQ"/>
        </w:rPr>
        <w:lastRenderedPageBreak/>
        <w:t>Construct a standard curve by plotting the average absorbance of standards against their concentrations.</w:t>
      </w:r>
    </w:p>
    <w:p w14:paraId="2DFA2B79" w14:textId="77777777" w:rsidR="00DA5691" w:rsidRPr="005A781C" w:rsidRDefault="001D6D97" w:rsidP="00576FB4">
      <w:pPr>
        <w:spacing w:after="0"/>
        <w:ind w:left="72"/>
        <w:jc w:val="both"/>
        <w:rPr>
          <w:rFonts w:asciiTheme="majorBidi" w:hAnsiTheme="majorBidi" w:cstheme="majorBidi"/>
          <w:sz w:val="24"/>
          <w:szCs w:val="24"/>
          <w:lang w:bidi="ar-IQ"/>
        </w:rPr>
      </w:pPr>
      <w:r w:rsidRPr="005A781C">
        <w:rPr>
          <w:rFonts w:asciiTheme="majorBidi" w:hAnsiTheme="majorBidi" w:cstheme="majorBidi"/>
          <w:sz w:val="24"/>
          <w:szCs w:val="24"/>
          <w:lang w:bidi="ar-IQ"/>
        </w:rPr>
        <w:t xml:space="preserve">Determine the concentration of samples by comparing their absorbance to the standard curve.  </w:t>
      </w:r>
      <w:r w:rsidR="00F47192">
        <w:rPr>
          <w:rFonts w:asciiTheme="majorBidi" w:hAnsiTheme="majorBidi" w:cstheme="majorBidi"/>
          <w:sz w:val="24"/>
          <w:szCs w:val="24"/>
          <w:lang w:bidi="ar-IQ"/>
        </w:rPr>
        <w:t>(1</w:t>
      </w:r>
      <w:r w:rsidR="006F204E">
        <w:rPr>
          <w:rFonts w:asciiTheme="majorBidi" w:hAnsiTheme="majorBidi" w:cstheme="majorBidi"/>
          <w:sz w:val="24"/>
          <w:szCs w:val="24"/>
          <w:lang w:bidi="ar-IQ"/>
        </w:rPr>
        <w:t>0</w:t>
      </w:r>
      <w:r w:rsidR="00F47192">
        <w:rPr>
          <w:rFonts w:asciiTheme="majorBidi" w:hAnsiTheme="majorBidi" w:cstheme="majorBidi"/>
          <w:sz w:val="24"/>
          <w:szCs w:val="24"/>
          <w:lang w:bidi="ar-IQ"/>
        </w:rPr>
        <w:t>)</w:t>
      </w:r>
      <w:r w:rsidRPr="005A781C">
        <w:rPr>
          <w:rFonts w:asciiTheme="majorBidi" w:hAnsiTheme="majorBidi" w:cstheme="majorBidi"/>
          <w:sz w:val="24"/>
          <w:szCs w:val="24"/>
          <w:lang w:bidi="ar-IQ"/>
        </w:rPr>
        <w:t xml:space="preserve">     </w:t>
      </w:r>
    </w:p>
    <w:p w14:paraId="71629AF2" w14:textId="77777777" w:rsidR="006A34B0" w:rsidRDefault="001D6D97" w:rsidP="00576FB4">
      <w:pPr>
        <w:jc w:val="both"/>
        <w:rPr>
          <w:rFonts w:asciiTheme="majorBidi" w:hAnsiTheme="majorBidi" w:cstheme="majorBidi"/>
          <w:b/>
          <w:bCs/>
          <w:sz w:val="28"/>
          <w:szCs w:val="28"/>
        </w:rPr>
      </w:pPr>
      <w:r w:rsidRPr="006214B4">
        <w:rPr>
          <w:rFonts w:asciiTheme="majorBidi" w:hAnsiTheme="majorBidi" w:cstheme="majorBidi"/>
          <w:b/>
          <w:bCs/>
          <w:sz w:val="32"/>
          <w:szCs w:val="32"/>
        </w:rPr>
        <w:t>Results</w:t>
      </w:r>
      <w:r w:rsidRPr="006A34B0">
        <w:rPr>
          <w:rFonts w:asciiTheme="majorBidi" w:hAnsiTheme="majorBidi" w:cstheme="majorBidi"/>
          <w:b/>
          <w:bCs/>
          <w:sz w:val="28"/>
          <w:szCs w:val="28"/>
        </w:rPr>
        <w:t xml:space="preserve"> </w:t>
      </w:r>
    </w:p>
    <w:p w14:paraId="6EDF2106" w14:textId="77777777" w:rsidR="001F7DC1" w:rsidRPr="001D330D" w:rsidRDefault="001D6D97" w:rsidP="00576FB4">
      <w:pPr>
        <w:jc w:val="both"/>
        <w:rPr>
          <w:rFonts w:asciiTheme="majorBidi" w:hAnsiTheme="majorBidi" w:cstheme="majorBidi"/>
          <w:b/>
          <w:bCs/>
          <w:sz w:val="32"/>
          <w:szCs w:val="32"/>
        </w:rPr>
      </w:pPr>
      <w:r w:rsidRPr="001D330D">
        <w:rPr>
          <w:rFonts w:asciiTheme="majorBidi" w:hAnsiTheme="majorBidi" w:cstheme="majorBidi"/>
          <w:b/>
          <w:bCs/>
          <w:sz w:val="24"/>
          <w:szCs w:val="24"/>
        </w:rPr>
        <w:t>Chemistry</w:t>
      </w:r>
    </w:p>
    <w:p w14:paraId="0102C304" w14:textId="77777777" w:rsidR="00B92AA6" w:rsidRPr="00B92AA6" w:rsidRDefault="001D6D97" w:rsidP="00576FB4">
      <w:pPr>
        <w:jc w:val="both"/>
        <w:rPr>
          <w:rFonts w:asciiTheme="majorBidi" w:hAnsiTheme="majorBidi" w:cstheme="majorBidi"/>
          <w:b/>
          <w:bCs/>
          <w:sz w:val="24"/>
          <w:szCs w:val="24"/>
        </w:rPr>
      </w:pPr>
      <w:r>
        <w:rPr>
          <w:rFonts w:asciiTheme="majorBidi" w:hAnsiTheme="majorBidi" w:cstheme="majorBidi"/>
          <w:b/>
          <w:bCs/>
          <w:sz w:val="24"/>
          <w:szCs w:val="24"/>
        </w:rPr>
        <w:t xml:space="preserve">A\ </w:t>
      </w:r>
      <w:r w:rsidRPr="00B92AA6">
        <w:rPr>
          <w:rFonts w:asciiTheme="majorBidi" w:hAnsiTheme="majorBidi" w:cstheme="majorBidi"/>
          <w:b/>
          <w:bCs/>
          <w:sz w:val="24"/>
          <w:szCs w:val="24"/>
        </w:rPr>
        <w:t>FT-IR Analysis:</w:t>
      </w:r>
    </w:p>
    <w:p w14:paraId="62003037" w14:textId="77777777" w:rsidR="00B92AA6" w:rsidRPr="00B92AA6" w:rsidRDefault="001D6D97" w:rsidP="00035C14">
      <w:pPr>
        <w:spacing w:line="240" w:lineRule="auto"/>
        <w:jc w:val="both"/>
        <w:rPr>
          <w:rFonts w:asciiTheme="majorBidi" w:hAnsiTheme="majorBidi" w:cstheme="majorBidi"/>
          <w:sz w:val="24"/>
          <w:szCs w:val="24"/>
        </w:rPr>
      </w:pPr>
      <w:r>
        <w:rPr>
          <w:rFonts w:asciiTheme="majorBidi" w:hAnsiTheme="majorBidi" w:cstheme="majorBidi"/>
          <w:sz w:val="24"/>
          <w:szCs w:val="24"/>
        </w:rPr>
        <w:t>The</w:t>
      </w:r>
      <w:r w:rsidRPr="00B92AA6">
        <w:rPr>
          <w:rFonts w:asciiTheme="majorBidi" w:hAnsiTheme="majorBidi" w:cstheme="majorBidi"/>
          <w:sz w:val="24"/>
          <w:szCs w:val="24"/>
        </w:rPr>
        <w:t xml:space="preserve"> spectrum of the synthesized compound, formed by the condensation of sulfapyridine and piperonal, exhibited characteristic absorptions that confirm the structure:</w:t>
      </w:r>
    </w:p>
    <w:p w14:paraId="3C469DED" w14:textId="77777777" w:rsidR="00B92AA6" w:rsidRPr="00B92AA6" w:rsidRDefault="001D6D97" w:rsidP="00035C1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broad band between 3660–3200 cm¹ is attributed to N–H stretching vibrations, indicating the presence of sulfonamide moieties.</w:t>
      </w:r>
    </w:p>
    <w:p w14:paraId="7C255A45" w14:textId="77777777" w:rsidR="00B92AA6" w:rsidRPr="00B92AA6" w:rsidRDefault="001D6D97" w:rsidP="00035C1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Sharp peaks around 3054 and 3030 cm-¹ correspond to aromatic C–H stretching vibrations from both the pyridine and benzodioxole aromatic systems.</w:t>
      </w:r>
    </w:p>
    <w:p w14:paraId="40050CB7" w14:textId="77777777" w:rsidR="00B92AA6" w:rsidRPr="00B92AA6" w:rsidRDefault="001D6D97" w:rsidP="00035C1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weak absorption at 2361 cm¹ is likely due to atmospheric CO₂ interference and is not structurally significant.</w:t>
      </w:r>
    </w:p>
    <w:p w14:paraId="1CC5A7DE" w14:textId="77777777" w:rsidR="00B92AA6" w:rsidRPr="00B92AA6" w:rsidRDefault="001D6D97" w:rsidP="00035C1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strong absorption band at 1625 cm¹ is assigned to C=N stretching, confirming the formation of an imine (Schiff base) linkage.</w:t>
      </w:r>
    </w:p>
    <w:p w14:paraId="65C5ABE4" w14:textId="77777777" w:rsidR="00B92AA6" w:rsidRPr="00B92AA6" w:rsidRDefault="001D6D97"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Bands at 1444–1310 cm¹ correspond to C–N stretching and S=O bending vibrations, consistent with a sulfonamide group.</w:t>
      </w:r>
    </w:p>
    <w:p w14:paraId="6B60252A" w14:textId="77777777" w:rsidR="00B92AA6" w:rsidRPr="00B92AA6" w:rsidRDefault="001D6D97"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strong absorption at 1259 cm-¹ indicates symmetric S=O stretching.</w:t>
      </w:r>
    </w:p>
    <w:p w14:paraId="627EA634" w14:textId="77777777" w:rsidR="00B92AA6" w:rsidRPr="00B92AA6" w:rsidRDefault="001D6D97"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Peaks between 1131 and 1081 cm⁻¹ are assigned to C–O–C stretching vibrations of the benzodioxole ring system.</w:t>
      </w:r>
    </w:p>
    <w:p w14:paraId="2FBB131A" w14:textId="77777777" w:rsidR="00B92AA6" w:rsidRPr="00B92AA6" w:rsidRDefault="001D6D97"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Additional bands in the range 1028–779 cm¹ are due to C–H bending of the aromatic structures.</w:t>
      </w:r>
    </w:p>
    <w:p w14:paraId="36D889BD" w14:textId="77777777" w:rsidR="00B92AA6" w:rsidRPr="00B92AA6" w:rsidRDefault="001D6D97"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band at 660 cm-¹ is attributed to C–S bond vibrations, reinforcing the presence of the sulfonamide group.</w:t>
      </w:r>
    </w:p>
    <w:p w14:paraId="2C28E177" w14:textId="77777777" w:rsidR="00B92AA6" w:rsidRDefault="001D6D97"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The FT-IR data support the successful formation of the target compound containing imine (C=N), sulfonamide (SO₂NH), and benzodioxole functionalities.</w:t>
      </w:r>
      <w:r w:rsidR="00035C14">
        <w:rPr>
          <w:rFonts w:asciiTheme="majorBidi" w:hAnsiTheme="majorBidi" w:cstheme="majorBidi"/>
          <w:sz w:val="24"/>
          <w:szCs w:val="24"/>
        </w:rPr>
        <w:t xml:space="preserve"> Fig 1</w:t>
      </w:r>
    </w:p>
    <w:p w14:paraId="375E68D9" w14:textId="77777777" w:rsidR="00C24D1B" w:rsidRPr="00B92AA6" w:rsidRDefault="001D6D97" w:rsidP="00576FB4">
      <w:pPr>
        <w:jc w:val="both"/>
        <w:rPr>
          <w:rFonts w:asciiTheme="majorBidi" w:hAnsiTheme="majorBidi" w:cstheme="majorBidi"/>
          <w:b/>
          <w:bCs/>
          <w:sz w:val="24"/>
          <w:szCs w:val="24"/>
        </w:rPr>
      </w:pPr>
      <w:r>
        <w:rPr>
          <w:rFonts w:asciiTheme="majorBidi" w:hAnsiTheme="majorBidi" w:cstheme="majorBidi"/>
          <w:b/>
          <w:bCs/>
          <w:sz w:val="24"/>
          <w:szCs w:val="24"/>
        </w:rPr>
        <w:t>B\ 1H</w:t>
      </w:r>
      <w:r w:rsidRPr="00B92AA6">
        <w:rPr>
          <w:rFonts w:asciiTheme="majorBidi" w:hAnsiTheme="majorBidi" w:cstheme="majorBidi"/>
          <w:b/>
          <w:bCs/>
          <w:sz w:val="24"/>
          <w:szCs w:val="24"/>
        </w:rPr>
        <w:t>-NMR Analysis:</w:t>
      </w:r>
    </w:p>
    <w:p w14:paraId="3BE925C6" w14:textId="77777777" w:rsidR="00C41A1E" w:rsidRPr="00C41A1E" w:rsidRDefault="001D6D97" w:rsidP="001D330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C41A1E">
        <w:rPr>
          <w:rFonts w:ascii="Times New Roman" w:eastAsia="Times New Roman" w:hAnsi="Times New Roman" w:cs="Times New Roman"/>
          <w:sz w:val="24"/>
          <w:szCs w:val="24"/>
        </w:rPr>
        <w:t>spectrum of the newly synthesized compound was recorded in DMSO-d₆ at 400 MHz using a Bruker spectrometer. The spectrum revealed a pattern of signals consistent with the proposed molecular structure, indicating successful synthesis and expected functional group incorporation:</w:t>
      </w:r>
    </w:p>
    <w:p w14:paraId="7A5AE7B4" w14:textId="77777777" w:rsidR="00C41A1E" w:rsidRPr="00C41A1E" w:rsidRDefault="001D6D97"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7647E9">
        <w:rPr>
          <w:rFonts w:ascii="Times New Roman" w:eastAsia="Times New Roman" w:hAnsi="Times New Roman" w:cs="Times New Roman"/>
          <w:sz w:val="24"/>
          <w:szCs w:val="24"/>
        </w:rPr>
        <w:t>A singlet observed at ~11.9 ppm is attributed to an N–H proton, most likely from a sulfonamide or secondary</w:t>
      </w:r>
      <w:r w:rsidRPr="00C41A1E">
        <w:rPr>
          <w:rFonts w:ascii="Times New Roman" w:eastAsia="Times New Roman" w:hAnsi="Times New Roman" w:cs="Times New Roman"/>
          <w:sz w:val="24"/>
          <w:szCs w:val="24"/>
        </w:rPr>
        <w:t xml:space="preserve"> amide group. Its downfield chemical shift suggests involvement in hydrogen bonding and/or the influence of electron-withdrawing neighboring atoms.</w:t>
      </w:r>
    </w:p>
    <w:p w14:paraId="0C77EF3C" w14:textId="77777777" w:rsidR="00C41A1E" w:rsidRPr="00C41A1E" w:rsidRDefault="001D6D97"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7647E9">
        <w:rPr>
          <w:rFonts w:ascii="Times New Roman" w:eastAsia="Times New Roman" w:hAnsi="Times New Roman" w:cs="Times New Roman"/>
          <w:sz w:val="24"/>
          <w:szCs w:val="24"/>
        </w:rPr>
        <w:lastRenderedPageBreak/>
        <w:t>A series of multiplets between 7.0 and 8.5 ppm is assigned to aromatic protons. These signals arise from multiple aromatic systems present in the molecule, including pyridine, phenyl (benzene ring), and</w:t>
      </w:r>
      <w:r w:rsidRPr="00C41A1E">
        <w:rPr>
          <w:rFonts w:ascii="Times New Roman" w:eastAsia="Times New Roman" w:hAnsi="Times New Roman" w:cs="Times New Roman"/>
          <w:b/>
          <w:bCs/>
          <w:sz w:val="24"/>
          <w:szCs w:val="24"/>
        </w:rPr>
        <w:t xml:space="preserve"> </w:t>
      </w:r>
      <w:r w:rsidRPr="007647E9">
        <w:rPr>
          <w:rFonts w:ascii="Times New Roman" w:eastAsia="Times New Roman" w:hAnsi="Times New Roman" w:cs="Times New Roman"/>
          <w:sz w:val="24"/>
          <w:szCs w:val="24"/>
        </w:rPr>
        <w:t xml:space="preserve">benzodioxole </w:t>
      </w:r>
      <w:r w:rsidRPr="00C41A1E">
        <w:rPr>
          <w:rFonts w:ascii="Times New Roman" w:eastAsia="Times New Roman" w:hAnsi="Times New Roman" w:cs="Times New Roman"/>
          <w:sz w:val="24"/>
          <w:szCs w:val="24"/>
        </w:rPr>
        <w:t>moieties, confirming the aromatic nature of the compound.</w:t>
      </w:r>
    </w:p>
    <w:p w14:paraId="70219A99" w14:textId="77777777" w:rsidR="00C41A1E" w:rsidRPr="00C41A1E" w:rsidRDefault="001D6D97"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C41A1E">
        <w:rPr>
          <w:rFonts w:ascii="Times New Roman" w:eastAsia="Times New Roman" w:hAnsi="Times New Roman" w:cs="Times New Roman"/>
          <w:sz w:val="24"/>
          <w:szCs w:val="24"/>
        </w:rPr>
        <w:t xml:space="preserve">A </w:t>
      </w:r>
      <w:r w:rsidRPr="007647E9">
        <w:rPr>
          <w:rFonts w:ascii="Times New Roman" w:eastAsia="Times New Roman" w:hAnsi="Times New Roman" w:cs="Times New Roman"/>
          <w:sz w:val="24"/>
          <w:szCs w:val="24"/>
        </w:rPr>
        <w:t>distinct singlet at ~6.0–6.5 ppm is attributed to the methylenedioxy bridge protons (–O–CH₂–O–)</w:t>
      </w:r>
      <w:r w:rsidRPr="00C41A1E">
        <w:rPr>
          <w:rFonts w:ascii="Times New Roman" w:eastAsia="Times New Roman" w:hAnsi="Times New Roman" w:cs="Times New Roman"/>
          <w:sz w:val="24"/>
          <w:szCs w:val="24"/>
        </w:rPr>
        <w:t xml:space="preserve"> of the benzodioxole group. This signal is characteristic and supports the presence of the benzodioxole architecture in the synthesized compound.</w:t>
      </w:r>
    </w:p>
    <w:p w14:paraId="5434DC90" w14:textId="77777777" w:rsidR="00C41A1E" w:rsidRPr="007647E9" w:rsidRDefault="001D6D97"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7647E9">
        <w:rPr>
          <w:rFonts w:ascii="Times New Roman" w:eastAsia="Times New Roman" w:hAnsi="Times New Roman" w:cs="Times New Roman"/>
          <w:sz w:val="24"/>
          <w:szCs w:val="24"/>
        </w:rPr>
        <w:t>Broad signals observed around 4.0–5.0 ppm may correspond to exchangeable protons</w:t>
      </w:r>
      <w:r w:rsidRPr="00C41A1E">
        <w:rPr>
          <w:rFonts w:ascii="Times New Roman" w:eastAsia="Times New Roman" w:hAnsi="Times New Roman" w:cs="Times New Roman"/>
          <w:sz w:val="24"/>
          <w:szCs w:val="24"/>
        </w:rPr>
        <w:t xml:space="preserve">, such as hydroxyl (–OH) or secondary amine (–NH) protons, often broadened due to rapid exchange with </w:t>
      </w:r>
      <w:r w:rsidRPr="007647E9">
        <w:rPr>
          <w:rFonts w:ascii="Times New Roman" w:eastAsia="Times New Roman" w:hAnsi="Times New Roman" w:cs="Times New Roman"/>
          <w:sz w:val="24"/>
          <w:szCs w:val="24"/>
        </w:rPr>
        <w:t>the DMSO solvent.</w:t>
      </w:r>
    </w:p>
    <w:p w14:paraId="0AFE5942" w14:textId="77777777" w:rsidR="00C41A1E" w:rsidRPr="00C41A1E" w:rsidRDefault="001D6D97"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7647E9">
        <w:rPr>
          <w:rFonts w:ascii="Times New Roman" w:eastAsia="Times New Roman" w:hAnsi="Times New Roman" w:cs="Times New Roman"/>
          <w:sz w:val="24"/>
          <w:szCs w:val="24"/>
        </w:rPr>
        <w:t>Singlets detected at ~3.2–3.5 ppm are consistent with methylene (–CH₂–)</w:t>
      </w:r>
      <w:r w:rsidRPr="00C41A1E">
        <w:rPr>
          <w:rFonts w:ascii="Times New Roman" w:eastAsia="Times New Roman" w:hAnsi="Times New Roman" w:cs="Times New Roman"/>
          <w:sz w:val="24"/>
          <w:szCs w:val="24"/>
        </w:rPr>
        <w:t xml:space="preserve"> protons adjacent to heteroatoms like nitrogen or sulfur (e.g., –CH₂–N or –CH₂–S), supporting the presence of aliphatic linkers within the molecule.</w:t>
      </w:r>
    </w:p>
    <w:p w14:paraId="5AB2DD64" w14:textId="77777777" w:rsidR="00C41A1E" w:rsidRPr="00C41A1E" w:rsidRDefault="001D6D97"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C41A1E">
        <w:rPr>
          <w:rFonts w:ascii="Times New Roman" w:eastAsia="Times New Roman" w:hAnsi="Times New Roman" w:cs="Times New Roman"/>
          <w:sz w:val="24"/>
          <w:szCs w:val="24"/>
        </w:rPr>
        <w:t xml:space="preserve">Importantly, </w:t>
      </w:r>
      <w:r w:rsidRPr="007647E9">
        <w:rPr>
          <w:rFonts w:ascii="Times New Roman" w:eastAsia="Times New Roman" w:hAnsi="Times New Roman" w:cs="Times New Roman"/>
          <w:sz w:val="24"/>
          <w:szCs w:val="24"/>
        </w:rPr>
        <w:t>no signals were detected in the 9–10 ppm range, which is typical for aldehydic protons, confirming the complete</w:t>
      </w:r>
      <w:r w:rsidRPr="00C41A1E">
        <w:rPr>
          <w:rFonts w:ascii="Times New Roman" w:eastAsia="Times New Roman" w:hAnsi="Times New Roman" w:cs="Times New Roman"/>
          <w:sz w:val="24"/>
          <w:szCs w:val="24"/>
        </w:rPr>
        <w:t xml:space="preserve"> consumption of aldehyde reactants during the condensation reaction.</w:t>
      </w:r>
    </w:p>
    <w:p w14:paraId="1AE429CF" w14:textId="77777777" w:rsidR="00C24D1B" w:rsidRPr="00576FB4" w:rsidRDefault="001D6D97" w:rsidP="00576FB4">
      <w:pPr>
        <w:spacing w:before="100" w:beforeAutospacing="1" w:after="100" w:afterAutospacing="1" w:line="240" w:lineRule="auto"/>
        <w:jc w:val="both"/>
        <w:rPr>
          <w:rFonts w:ascii="Times New Roman" w:eastAsia="Times New Roman" w:hAnsi="Times New Roman" w:cs="Times New Roman"/>
          <w:sz w:val="24"/>
          <w:szCs w:val="24"/>
        </w:rPr>
      </w:pPr>
      <w:r w:rsidRPr="00C41A1E">
        <w:rPr>
          <w:rFonts w:ascii="Times New Roman" w:eastAsia="Times New Roman" w:hAnsi="Times New Roman" w:cs="Times New Roman"/>
          <w:sz w:val="24"/>
          <w:szCs w:val="24"/>
        </w:rPr>
        <w:t>These ¹H-NMR findings are in full agreement with the proposed chemical structure and suggest the successful formation of the intended compound, incorporating sulfonamide, aromatic, and benzodioxole functionalities, while confirming the absence of unreacted aldehyde groups.</w:t>
      </w:r>
      <w:r w:rsidR="00035C14">
        <w:rPr>
          <w:rFonts w:ascii="Times New Roman" w:eastAsia="Times New Roman" w:hAnsi="Times New Roman" w:cs="Times New Roman"/>
          <w:sz w:val="24"/>
          <w:szCs w:val="24"/>
        </w:rPr>
        <w:t xml:space="preserve"> Fig2</w:t>
      </w:r>
    </w:p>
    <w:p w14:paraId="3E24B3EE" w14:textId="77777777" w:rsidR="00B92AA6" w:rsidRPr="00B92AA6" w:rsidRDefault="001D6D97" w:rsidP="00576FB4">
      <w:pPr>
        <w:jc w:val="both"/>
        <w:rPr>
          <w:rFonts w:asciiTheme="majorBidi" w:hAnsiTheme="majorBidi" w:cstheme="majorBidi"/>
          <w:b/>
          <w:bCs/>
          <w:sz w:val="24"/>
          <w:szCs w:val="24"/>
        </w:rPr>
      </w:pPr>
      <w:r>
        <w:rPr>
          <w:rFonts w:asciiTheme="majorBidi" w:hAnsiTheme="majorBidi" w:cstheme="majorBidi"/>
          <w:b/>
          <w:bCs/>
          <w:sz w:val="24"/>
          <w:szCs w:val="24"/>
        </w:rPr>
        <w:t>C\</w:t>
      </w:r>
      <w:r w:rsidRPr="00B92AA6">
        <w:rPr>
          <w:rFonts w:asciiTheme="majorBidi" w:hAnsiTheme="majorBidi" w:cstheme="majorBidi"/>
          <w:b/>
          <w:bCs/>
          <w:sz w:val="24"/>
          <w:szCs w:val="24"/>
        </w:rPr>
        <w:t>13C-NMR Analysis:</w:t>
      </w:r>
    </w:p>
    <w:p w14:paraId="2117811D" w14:textId="77777777" w:rsidR="00B92AA6" w:rsidRPr="00B92AA6" w:rsidRDefault="001D6D97" w:rsidP="00576FB4">
      <w:pPr>
        <w:jc w:val="both"/>
        <w:rPr>
          <w:rFonts w:asciiTheme="majorBidi" w:hAnsiTheme="majorBidi" w:cstheme="majorBidi"/>
          <w:sz w:val="24"/>
          <w:szCs w:val="24"/>
        </w:rPr>
      </w:pPr>
      <w:r w:rsidRPr="00B92AA6">
        <w:rPr>
          <w:rFonts w:asciiTheme="majorBidi" w:hAnsiTheme="majorBidi" w:cstheme="majorBidi"/>
          <w:sz w:val="24"/>
          <w:szCs w:val="24"/>
        </w:rPr>
        <w:t>The 13C-NMR spectrum of the new compound, recorded in DMSO-d₆, revealed chemical shifts consistent with the proposed structure:</w:t>
      </w:r>
    </w:p>
    <w:p w14:paraId="1DC0EC3C" w14:textId="77777777" w:rsidR="00B92AA6" w:rsidRPr="00B92AA6" w:rsidRDefault="001D6D97" w:rsidP="00576FB4">
      <w:pPr>
        <w:jc w:val="both"/>
        <w:rPr>
          <w:rFonts w:asciiTheme="majorBidi" w:hAnsiTheme="majorBidi" w:cstheme="majorBidi"/>
          <w:sz w:val="24"/>
          <w:szCs w:val="24"/>
        </w:rPr>
      </w:pPr>
      <w:r w:rsidRPr="00B92AA6">
        <w:rPr>
          <w:rFonts w:asciiTheme="majorBidi" w:hAnsiTheme="majorBidi" w:cstheme="majorBidi"/>
          <w:sz w:val="24"/>
          <w:szCs w:val="24"/>
        </w:rPr>
        <w:t>A resonance signal observed between 160–170 ppm is assigned to the carbon atom of the imine group (C=N), confirming the successful condensation reaction.</w:t>
      </w:r>
    </w:p>
    <w:p w14:paraId="0D338434" w14:textId="77777777" w:rsidR="00B92AA6" w:rsidRPr="00B92AA6" w:rsidRDefault="001D6D97" w:rsidP="00576FB4">
      <w:pPr>
        <w:jc w:val="both"/>
        <w:rPr>
          <w:rFonts w:asciiTheme="majorBidi" w:hAnsiTheme="majorBidi" w:cstheme="majorBidi"/>
          <w:sz w:val="24"/>
          <w:szCs w:val="24"/>
        </w:rPr>
      </w:pPr>
      <w:r w:rsidRPr="00B92AA6">
        <w:rPr>
          <w:rFonts w:asciiTheme="majorBidi" w:hAnsiTheme="majorBidi" w:cstheme="majorBidi"/>
          <w:sz w:val="24"/>
          <w:szCs w:val="24"/>
        </w:rPr>
        <w:t>Multiple signals between 120–140 ppm are characteristic of aromatic carbon atoms, corresponding to carbons from the pyridine ring, benzene ring (from sulfapyridine), and benzodioxole structure.</w:t>
      </w:r>
    </w:p>
    <w:p w14:paraId="0C638088" w14:textId="77777777" w:rsidR="00B92AA6" w:rsidRPr="00B92AA6" w:rsidRDefault="001D6D97" w:rsidP="00576FB4">
      <w:pPr>
        <w:jc w:val="both"/>
        <w:rPr>
          <w:rFonts w:asciiTheme="majorBidi" w:hAnsiTheme="majorBidi" w:cstheme="majorBidi"/>
          <w:sz w:val="24"/>
          <w:szCs w:val="24"/>
        </w:rPr>
      </w:pPr>
      <w:r w:rsidRPr="00B92AA6">
        <w:rPr>
          <w:rFonts w:asciiTheme="majorBidi" w:hAnsiTheme="majorBidi" w:cstheme="majorBidi"/>
          <w:sz w:val="24"/>
          <w:szCs w:val="24"/>
        </w:rPr>
        <w:t>Signals appearing around 110–90 ppm are attributed to carbons connected to oxygen atoms (C–O–C) within the benzodioxole moiety.</w:t>
      </w:r>
    </w:p>
    <w:p w14:paraId="60469960" w14:textId="77777777" w:rsidR="00B92AA6" w:rsidRPr="00B92AA6" w:rsidRDefault="001D6D97" w:rsidP="00576FB4">
      <w:pPr>
        <w:jc w:val="both"/>
        <w:rPr>
          <w:rFonts w:asciiTheme="majorBidi" w:hAnsiTheme="majorBidi" w:cstheme="majorBidi"/>
          <w:sz w:val="24"/>
          <w:szCs w:val="24"/>
        </w:rPr>
      </w:pPr>
      <w:r w:rsidRPr="00B92AA6">
        <w:rPr>
          <w:rFonts w:asciiTheme="majorBidi" w:hAnsiTheme="majorBidi" w:cstheme="majorBidi"/>
          <w:sz w:val="24"/>
          <w:szCs w:val="24"/>
        </w:rPr>
        <w:t>A distinct signal at approximately 40 ppm is associated with carbons attached to nitrogen atoms, likely from the sulfonamide group linked to the pyridine ring.</w:t>
      </w:r>
    </w:p>
    <w:p w14:paraId="0F76EC04" w14:textId="77777777" w:rsidR="00B92AA6" w:rsidRPr="00B92AA6" w:rsidRDefault="001D6D97" w:rsidP="00576FB4">
      <w:pPr>
        <w:jc w:val="both"/>
        <w:rPr>
          <w:rFonts w:asciiTheme="majorBidi" w:hAnsiTheme="majorBidi" w:cstheme="majorBidi"/>
          <w:sz w:val="24"/>
          <w:szCs w:val="24"/>
        </w:rPr>
      </w:pPr>
      <w:r w:rsidRPr="00B92AA6">
        <w:rPr>
          <w:rFonts w:asciiTheme="majorBidi" w:hAnsiTheme="majorBidi" w:cstheme="majorBidi"/>
          <w:sz w:val="24"/>
          <w:szCs w:val="24"/>
        </w:rPr>
        <w:t>The 13C-NMR spectrum matches the expected structure of the newly synthesized compound, confirming the presence of imine linkage, sulfonamide groups, and benzodioxole architecture. No signals corresponding to aldehydic carbons were observed, indicating complete consumption of the aldehyde functionality during the condensation reaction.</w:t>
      </w:r>
      <w:r w:rsidR="00016916">
        <w:rPr>
          <w:rFonts w:asciiTheme="majorBidi" w:hAnsiTheme="majorBidi" w:cstheme="majorBidi"/>
          <w:sz w:val="24"/>
          <w:szCs w:val="24"/>
        </w:rPr>
        <w:t>Fig3</w:t>
      </w:r>
    </w:p>
    <w:p w14:paraId="60491DC2" w14:textId="77777777" w:rsidR="00EA3741" w:rsidRDefault="001D6D97" w:rsidP="00576FB4">
      <w:pPr>
        <w:jc w:val="both"/>
        <w:rPr>
          <w:rFonts w:asciiTheme="majorBidi" w:hAnsiTheme="majorBidi" w:cstheme="majorBidi"/>
          <w:b/>
          <w:bCs/>
          <w:sz w:val="28"/>
          <w:szCs w:val="28"/>
        </w:rPr>
      </w:pPr>
      <w:r>
        <w:rPr>
          <w:rFonts w:asciiTheme="majorBidi" w:hAnsiTheme="majorBidi" w:cstheme="majorBidi"/>
          <w:b/>
          <w:bCs/>
          <w:sz w:val="28"/>
          <w:szCs w:val="28"/>
        </w:rPr>
        <w:lastRenderedPageBreak/>
        <w:t>ADMET:</w:t>
      </w:r>
      <w:r w:rsidR="00F44BED">
        <w:rPr>
          <w:rFonts w:asciiTheme="majorBidi" w:hAnsiTheme="majorBidi" w:cstheme="majorBidi"/>
          <w:b/>
          <w:bCs/>
          <w:sz w:val="28"/>
          <w:szCs w:val="28"/>
        </w:rPr>
        <w:t xml:space="preserve"> </w:t>
      </w:r>
    </w:p>
    <w:p w14:paraId="7007802D" w14:textId="77777777" w:rsidR="00EA3741" w:rsidRPr="00F44BED" w:rsidRDefault="001D6D97" w:rsidP="00576FB4">
      <w:pPr>
        <w:jc w:val="both"/>
        <w:rPr>
          <w:rFonts w:asciiTheme="majorBidi" w:hAnsiTheme="majorBidi" w:cstheme="majorBidi"/>
          <w:sz w:val="24"/>
          <w:szCs w:val="24"/>
        </w:rPr>
      </w:pPr>
      <w:r w:rsidRPr="00F44BED">
        <w:rPr>
          <w:rFonts w:asciiTheme="majorBidi" w:hAnsiTheme="majorBidi" w:cstheme="majorBidi"/>
          <w:sz w:val="24"/>
          <w:szCs w:val="24"/>
        </w:rPr>
        <w:t>The Bowel Permeability Estimation Method (BOILED</w:t>
      </w:r>
      <w:r w:rsidR="00CB4A44">
        <w:rPr>
          <w:rFonts w:asciiTheme="majorBidi" w:hAnsiTheme="majorBidi" w:cstheme="majorBidi"/>
          <w:sz w:val="24"/>
          <w:szCs w:val="24"/>
        </w:rPr>
        <w:t xml:space="preserve"> </w:t>
      </w:r>
      <w:r w:rsidRPr="00F44BED">
        <w:rPr>
          <w:rFonts w:asciiTheme="majorBidi" w:hAnsiTheme="majorBidi" w:cstheme="majorBidi"/>
          <w:sz w:val="24"/>
          <w:szCs w:val="24"/>
        </w:rPr>
        <w:t>Egg) is used to obtain an accurate predictive model</w:t>
      </w:r>
      <w:r w:rsidR="00F44BED" w:rsidRPr="00F44BED">
        <w:rPr>
          <w:rFonts w:asciiTheme="majorBidi" w:hAnsiTheme="majorBidi" w:cstheme="majorBidi"/>
          <w:sz w:val="24"/>
          <w:szCs w:val="24"/>
        </w:rPr>
        <w:t>.</w:t>
      </w:r>
    </w:p>
    <w:p w14:paraId="6ACD4358" w14:textId="77777777" w:rsidR="00F44BED" w:rsidRPr="00F44BED" w:rsidRDefault="001D6D97" w:rsidP="00576FB4">
      <w:pPr>
        <w:jc w:val="both"/>
        <w:rPr>
          <w:rFonts w:asciiTheme="majorBidi" w:hAnsiTheme="majorBidi" w:cstheme="majorBidi"/>
          <w:sz w:val="24"/>
          <w:szCs w:val="24"/>
        </w:rPr>
      </w:pPr>
      <w:r w:rsidRPr="00F44BED">
        <w:rPr>
          <w:rFonts w:asciiTheme="majorBidi" w:hAnsiTheme="majorBidi" w:cstheme="majorBidi"/>
          <w:sz w:val="24"/>
          <w:szCs w:val="24"/>
        </w:rPr>
        <w:t>The molecule “Molecule 1” is located within the HIA region (high intestinal absorption)</w:t>
      </w:r>
      <w:r>
        <w:rPr>
          <w:rFonts w:asciiTheme="majorBidi" w:hAnsiTheme="majorBidi" w:cstheme="majorBidi"/>
          <w:sz w:val="24"/>
          <w:szCs w:val="24"/>
        </w:rPr>
        <w:t>, white color</w:t>
      </w:r>
      <w:r w:rsidRPr="00F44BED">
        <w:rPr>
          <w:rFonts w:asciiTheme="majorBidi" w:hAnsiTheme="majorBidi" w:cstheme="majorBidi"/>
          <w:sz w:val="24"/>
          <w:szCs w:val="24"/>
        </w:rPr>
        <w:t>, and at the edge of the BBB region (possibility of crossing the blood-brain barrier)</w:t>
      </w:r>
      <w:r>
        <w:rPr>
          <w:rFonts w:asciiTheme="majorBidi" w:hAnsiTheme="majorBidi" w:cstheme="majorBidi"/>
          <w:sz w:val="24"/>
          <w:szCs w:val="24"/>
        </w:rPr>
        <w:t>, yellow color</w:t>
      </w:r>
      <w:r w:rsidRPr="00F44BED">
        <w:rPr>
          <w:rFonts w:asciiTheme="majorBidi" w:hAnsiTheme="majorBidi" w:cstheme="majorBidi"/>
          <w:sz w:val="24"/>
          <w:szCs w:val="24"/>
        </w:rPr>
        <w:t>.</w:t>
      </w:r>
    </w:p>
    <w:p w14:paraId="5F9D70B1" w14:textId="77777777" w:rsidR="00EA3741" w:rsidRPr="00F44BED" w:rsidRDefault="001D6D97" w:rsidP="00576FB4">
      <w:pPr>
        <w:jc w:val="both"/>
        <w:rPr>
          <w:rFonts w:asciiTheme="majorBidi" w:hAnsiTheme="majorBidi" w:cstheme="majorBidi"/>
          <w:sz w:val="24"/>
          <w:szCs w:val="24"/>
        </w:rPr>
      </w:pPr>
      <w:r w:rsidRPr="00F44BED">
        <w:rPr>
          <w:rFonts w:asciiTheme="majorBidi" w:hAnsiTheme="majorBidi" w:cstheme="majorBidi"/>
          <w:sz w:val="24"/>
          <w:szCs w:val="24"/>
        </w:rPr>
        <w:t xml:space="preserve"> This means that the compound is well absorbable through the intestine, and may have some limited ability to </w:t>
      </w:r>
      <w:r w:rsidR="005A781C">
        <w:rPr>
          <w:rFonts w:asciiTheme="majorBidi" w:hAnsiTheme="majorBidi" w:cstheme="majorBidi"/>
          <w:sz w:val="24"/>
          <w:szCs w:val="24"/>
        </w:rPr>
        <w:t>cross the brain (not very high), Fig. 4</w:t>
      </w:r>
    </w:p>
    <w:p w14:paraId="35F91B88" w14:textId="77777777" w:rsidR="00EA3741" w:rsidRPr="006A18A2" w:rsidRDefault="001D6D97" w:rsidP="00576FB4">
      <w:pPr>
        <w:jc w:val="both"/>
        <w:rPr>
          <w:rFonts w:asciiTheme="majorBidi" w:hAnsiTheme="majorBidi" w:cstheme="majorBidi"/>
          <w:sz w:val="24"/>
          <w:szCs w:val="24"/>
        </w:rPr>
      </w:pPr>
      <w:r>
        <w:rPr>
          <w:rFonts w:asciiTheme="majorBidi" w:hAnsiTheme="majorBidi" w:cstheme="majorBidi"/>
          <w:sz w:val="24"/>
          <w:szCs w:val="24"/>
        </w:rPr>
        <w:t>B</w:t>
      </w:r>
      <w:r w:rsidRPr="006A18A2">
        <w:rPr>
          <w:rFonts w:asciiTheme="majorBidi" w:hAnsiTheme="majorBidi" w:cstheme="majorBidi"/>
          <w:sz w:val="24"/>
          <w:szCs w:val="24"/>
        </w:rPr>
        <w:t>ioavailability</w:t>
      </w:r>
      <w:r>
        <w:rPr>
          <w:rFonts w:asciiTheme="majorBidi" w:hAnsiTheme="majorBidi" w:cstheme="majorBidi"/>
          <w:sz w:val="24"/>
          <w:szCs w:val="24"/>
        </w:rPr>
        <w:t xml:space="preserve"> Radar  </w:t>
      </w:r>
      <w:r w:rsidR="00F44BED" w:rsidRPr="006A18A2">
        <w:rPr>
          <w:rFonts w:asciiTheme="majorBidi" w:hAnsiTheme="majorBidi" w:cstheme="majorBidi"/>
          <w:sz w:val="24"/>
          <w:szCs w:val="24"/>
        </w:rPr>
        <w:t>Fig</w:t>
      </w:r>
      <w:r>
        <w:rPr>
          <w:rFonts w:asciiTheme="majorBidi" w:hAnsiTheme="majorBidi" w:cstheme="majorBidi"/>
          <w:sz w:val="24"/>
          <w:szCs w:val="24"/>
        </w:rPr>
        <w:t xml:space="preserve"> 5</w:t>
      </w:r>
      <w:r w:rsidRPr="006A18A2">
        <w:rPr>
          <w:rFonts w:asciiTheme="majorBidi" w:hAnsiTheme="majorBidi" w:cstheme="majorBidi"/>
          <w:sz w:val="24"/>
          <w:szCs w:val="24"/>
        </w:rPr>
        <w:t xml:space="preserve"> </w:t>
      </w:r>
      <w:r>
        <w:rPr>
          <w:rFonts w:asciiTheme="majorBidi" w:hAnsiTheme="majorBidi" w:cstheme="majorBidi"/>
          <w:sz w:val="24"/>
          <w:szCs w:val="24"/>
        </w:rPr>
        <w:t xml:space="preserve">showed that the coloured area </w:t>
      </w:r>
      <w:r w:rsidRPr="006A18A2">
        <w:rPr>
          <w:rFonts w:asciiTheme="majorBidi" w:hAnsiTheme="majorBidi" w:cstheme="majorBidi"/>
          <w:sz w:val="24"/>
          <w:szCs w:val="24"/>
        </w:rPr>
        <w:t>where the following characteristics were</w:t>
      </w:r>
      <w:r w:rsidR="00CB4A44">
        <w:rPr>
          <w:rFonts w:asciiTheme="majorBidi" w:hAnsiTheme="majorBidi" w:cstheme="majorBidi"/>
          <w:sz w:val="24"/>
          <w:szCs w:val="24"/>
        </w:rPr>
        <w:t>:</w:t>
      </w:r>
    </w:p>
    <w:p w14:paraId="30A1F318" w14:textId="77777777" w:rsidR="00EA3741" w:rsidRPr="006A18A2" w:rsidRDefault="001D6D97" w:rsidP="00576FB4">
      <w:pPr>
        <w:jc w:val="both"/>
        <w:rPr>
          <w:rFonts w:asciiTheme="majorBidi" w:hAnsiTheme="majorBidi" w:cstheme="majorBidi"/>
          <w:sz w:val="24"/>
          <w:szCs w:val="24"/>
        </w:rPr>
      </w:pPr>
      <w:r>
        <w:rPr>
          <w:rFonts w:asciiTheme="majorBidi" w:hAnsiTheme="majorBidi" w:cstheme="majorBidi"/>
          <w:sz w:val="24"/>
          <w:szCs w:val="24"/>
        </w:rPr>
        <w:t xml:space="preserve">LIPO: </w:t>
      </w:r>
      <w:r w:rsidR="00CB4A44" w:rsidRPr="006A18A2">
        <w:rPr>
          <w:rFonts w:asciiTheme="majorBidi" w:hAnsiTheme="majorBidi" w:cstheme="majorBidi"/>
          <w:sz w:val="24"/>
          <w:szCs w:val="24"/>
        </w:rPr>
        <w:t>L</w:t>
      </w:r>
      <w:r w:rsidRPr="006A18A2">
        <w:rPr>
          <w:rFonts w:asciiTheme="majorBidi" w:hAnsiTheme="majorBidi" w:cstheme="majorBidi"/>
          <w:sz w:val="24"/>
          <w:szCs w:val="24"/>
        </w:rPr>
        <w:t>ipophilicity</w:t>
      </w:r>
      <w:r w:rsidR="00CB4A44">
        <w:rPr>
          <w:rFonts w:asciiTheme="majorBidi" w:hAnsiTheme="majorBidi" w:cstheme="majorBidi"/>
          <w:sz w:val="24"/>
          <w:szCs w:val="24"/>
        </w:rPr>
        <w:t xml:space="preserve"> is high, </w:t>
      </w:r>
      <w:r>
        <w:rPr>
          <w:rFonts w:asciiTheme="majorBidi" w:hAnsiTheme="majorBidi" w:cstheme="majorBidi"/>
          <w:sz w:val="24"/>
          <w:szCs w:val="24"/>
        </w:rPr>
        <w:t xml:space="preserve">SIZE: </w:t>
      </w:r>
      <w:r w:rsidR="00CB4A44">
        <w:rPr>
          <w:rFonts w:asciiTheme="majorBidi" w:hAnsiTheme="majorBidi" w:cstheme="majorBidi"/>
          <w:sz w:val="24"/>
          <w:szCs w:val="24"/>
        </w:rPr>
        <w:t>is moderate,</w:t>
      </w:r>
      <w:r w:rsidRPr="006A18A2">
        <w:rPr>
          <w:rFonts w:asciiTheme="majorBidi" w:hAnsiTheme="majorBidi" w:cstheme="majorBidi"/>
          <w:sz w:val="24"/>
          <w:szCs w:val="24"/>
        </w:rPr>
        <w:t xml:space="preserve"> </w:t>
      </w:r>
      <w:r>
        <w:rPr>
          <w:rFonts w:asciiTheme="majorBidi" w:hAnsiTheme="majorBidi" w:cstheme="majorBidi"/>
          <w:sz w:val="24"/>
          <w:szCs w:val="24"/>
        </w:rPr>
        <w:t xml:space="preserve">POLR: </w:t>
      </w:r>
      <w:r w:rsidR="00CB4A44" w:rsidRPr="006A18A2">
        <w:rPr>
          <w:rFonts w:asciiTheme="majorBidi" w:hAnsiTheme="majorBidi" w:cstheme="majorBidi"/>
          <w:sz w:val="24"/>
          <w:szCs w:val="24"/>
        </w:rPr>
        <w:t xml:space="preserve">polarity </w:t>
      </w:r>
      <w:r w:rsidR="00CB4A44">
        <w:rPr>
          <w:rFonts w:asciiTheme="majorBidi" w:hAnsiTheme="majorBidi" w:cstheme="majorBidi"/>
          <w:sz w:val="24"/>
          <w:szCs w:val="24"/>
        </w:rPr>
        <w:t>is few to moderate,</w:t>
      </w:r>
      <w:r w:rsidR="00CB4A44" w:rsidRPr="00CB4A44">
        <w:rPr>
          <w:rFonts w:asciiTheme="majorBidi" w:hAnsiTheme="majorBidi" w:cstheme="majorBidi"/>
          <w:sz w:val="24"/>
          <w:szCs w:val="24"/>
        </w:rPr>
        <w:t xml:space="preserve"> </w:t>
      </w:r>
      <w:r>
        <w:rPr>
          <w:rFonts w:asciiTheme="majorBidi" w:hAnsiTheme="majorBidi" w:cstheme="majorBidi"/>
          <w:sz w:val="24"/>
          <w:szCs w:val="24"/>
        </w:rPr>
        <w:t>INSOLU: ins</w:t>
      </w:r>
      <w:r w:rsidR="00CB4A44" w:rsidRPr="006A18A2">
        <w:rPr>
          <w:rFonts w:asciiTheme="majorBidi" w:hAnsiTheme="majorBidi" w:cstheme="majorBidi"/>
          <w:sz w:val="24"/>
          <w:szCs w:val="24"/>
        </w:rPr>
        <w:t>olubility</w:t>
      </w:r>
      <w:r>
        <w:rPr>
          <w:rFonts w:asciiTheme="majorBidi" w:hAnsiTheme="majorBidi" w:cstheme="majorBidi"/>
          <w:sz w:val="24"/>
          <w:szCs w:val="24"/>
        </w:rPr>
        <w:t xml:space="preserve"> is moderate</w:t>
      </w:r>
      <w:r w:rsidRPr="005A781C">
        <w:rPr>
          <w:rFonts w:asciiTheme="majorBidi" w:hAnsiTheme="majorBidi" w:cstheme="majorBidi"/>
          <w:sz w:val="24"/>
          <w:szCs w:val="24"/>
        </w:rPr>
        <w:t xml:space="preserve">, INSATU: </w:t>
      </w:r>
      <w:r>
        <w:rPr>
          <w:rFonts w:asciiTheme="majorBidi" w:hAnsiTheme="majorBidi" w:cstheme="majorBidi"/>
          <w:sz w:val="24"/>
          <w:szCs w:val="24"/>
        </w:rPr>
        <w:t>ins</w:t>
      </w:r>
      <w:r w:rsidRPr="006A18A2">
        <w:rPr>
          <w:rFonts w:asciiTheme="majorBidi" w:hAnsiTheme="majorBidi" w:cstheme="majorBidi"/>
          <w:sz w:val="24"/>
          <w:szCs w:val="24"/>
        </w:rPr>
        <w:t>aturation</w:t>
      </w:r>
      <w:r>
        <w:rPr>
          <w:rFonts w:asciiTheme="majorBidi" w:hAnsiTheme="majorBidi" w:cstheme="majorBidi"/>
          <w:sz w:val="24"/>
          <w:szCs w:val="24"/>
        </w:rPr>
        <w:t xml:space="preserve"> is present in the linkage, and  FLEX: </w:t>
      </w:r>
      <w:r w:rsidRPr="006A18A2">
        <w:rPr>
          <w:rFonts w:asciiTheme="majorBidi" w:hAnsiTheme="majorBidi" w:cstheme="majorBidi"/>
          <w:sz w:val="24"/>
          <w:szCs w:val="24"/>
        </w:rPr>
        <w:t>Flexibility</w:t>
      </w:r>
      <w:r>
        <w:rPr>
          <w:rFonts w:asciiTheme="majorBidi" w:hAnsiTheme="majorBidi" w:cstheme="majorBidi"/>
          <w:sz w:val="24"/>
          <w:szCs w:val="24"/>
        </w:rPr>
        <w:t xml:space="preserve"> is few to moderate </w:t>
      </w:r>
    </w:p>
    <w:p w14:paraId="4FF7AC85" w14:textId="77777777" w:rsidR="00EA3741" w:rsidRPr="006A18A2" w:rsidRDefault="001D6D97" w:rsidP="00576FB4">
      <w:pPr>
        <w:jc w:val="both"/>
        <w:rPr>
          <w:rFonts w:asciiTheme="majorBidi" w:hAnsiTheme="majorBidi" w:cstheme="majorBidi"/>
          <w:sz w:val="24"/>
          <w:szCs w:val="24"/>
        </w:rPr>
      </w:pPr>
      <w:r w:rsidRPr="006A18A2">
        <w:rPr>
          <w:rFonts w:asciiTheme="majorBidi" w:hAnsiTheme="majorBidi" w:cstheme="majorBidi"/>
          <w:sz w:val="24"/>
          <w:szCs w:val="24"/>
        </w:rPr>
        <w:t>The pkCSM revealed that Lazar and Protox were given</w:t>
      </w:r>
      <w:r w:rsidR="00016916">
        <w:rPr>
          <w:rFonts w:asciiTheme="majorBidi" w:hAnsiTheme="majorBidi" w:cstheme="majorBidi"/>
          <w:sz w:val="24"/>
          <w:szCs w:val="24"/>
        </w:rPr>
        <w:t>. Fig6</w:t>
      </w:r>
    </w:p>
    <w:p w14:paraId="6BA24B1F" w14:textId="77777777" w:rsidR="00F44BED" w:rsidRPr="00016916" w:rsidRDefault="001D6D97" w:rsidP="00576FB4">
      <w:pPr>
        <w:jc w:val="both"/>
        <w:rPr>
          <w:rFonts w:asciiTheme="majorBidi" w:hAnsiTheme="majorBidi" w:cstheme="majorBidi"/>
          <w:b/>
          <w:bCs/>
          <w:sz w:val="24"/>
          <w:szCs w:val="24"/>
        </w:rPr>
      </w:pPr>
      <w:r w:rsidRPr="00016916">
        <w:rPr>
          <w:rFonts w:asciiTheme="majorBidi" w:hAnsiTheme="majorBidi" w:cstheme="majorBidi"/>
          <w:b/>
          <w:bCs/>
          <w:sz w:val="24"/>
          <w:szCs w:val="24"/>
        </w:rPr>
        <w:t>IL-6 and IL-10</w:t>
      </w:r>
      <w:r w:rsidR="00122CAD" w:rsidRPr="00016916">
        <w:rPr>
          <w:rFonts w:asciiTheme="majorBidi" w:hAnsiTheme="majorBidi" w:cstheme="majorBidi"/>
          <w:b/>
          <w:bCs/>
          <w:sz w:val="24"/>
          <w:szCs w:val="24"/>
        </w:rPr>
        <w:t>:</w:t>
      </w:r>
    </w:p>
    <w:p w14:paraId="4C28D82D" w14:textId="77777777" w:rsidR="003B4158" w:rsidRDefault="001D6D97" w:rsidP="003B4158">
      <w:pPr>
        <w:jc w:val="both"/>
        <w:rPr>
          <w:rFonts w:asciiTheme="majorBidi" w:hAnsiTheme="majorBidi" w:cstheme="majorBidi"/>
          <w:sz w:val="24"/>
          <w:szCs w:val="24"/>
        </w:rPr>
      </w:pPr>
      <w:r w:rsidRPr="00F44BED">
        <w:rPr>
          <w:rFonts w:asciiTheme="majorBidi" w:hAnsiTheme="majorBidi" w:cstheme="majorBidi"/>
          <w:sz w:val="24"/>
          <w:szCs w:val="24"/>
        </w:rPr>
        <w:t xml:space="preserve">The significant rise in IL-6 </w:t>
      </w:r>
      <w:r w:rsidR="00F419DB">
        <w:rPr>
          <w:rFonts w:asciiTheme="majorBidi" w:hAnsiTheme="majorBidi" w:cstheme="majorBidi"/>
          <w:sz w:val="24"/>
          <w:szCs w:val="24"/>
        </w:rPr>
        <w:t xml:space="preserve"> and IL-10 </w:t>
      </w:r>
      <w:r w:rsidRPr="00F44BED">
        <w:rPr>
          <w:rFonts w:asciiTheme="majorBidi" w:hAnsiTheme="majorBidi" w:cstheme="majorBidi"/>
          <w:sz w:val="24"/>
          <w:szCs w:val="24"/>
        </w:rPr>
        <w:t>levels in female pigeons is attributed to the stimulating effect of female hormones (especially estrogen) on the inflammatory response</w:t>
      </w:r>
      <w:r>
        <w:rPr>
          <w:rFonts w:asciiTheme="majorBidi" w:hAnsiTheme="majorBidi" w:cstheme="majorBidi"/>
          <w:sz w:val="24"/>
          <w:szCs w:val="24"/>
        </w:rPr>
        <w:t xml:space="preserve"> (Figs. 7 and 8</w:t>
      </w:r>
      <w:r w:rsidR="00CB4A44">
        <w:rPr>
          <w:rFonts w:asciiTheme="majorBidi" w:hAnsiTheme="majorBidi" w:cstheme="majorBidi"/>
          <w:sz w:val="24"/>
          <w:szCs w:val="24"/>
        </w:rPr>
        <w:t>)</w:t>
      </w:r>
      <w:r w:rsidRPr="00F44BED">
        <w:rPr>
          <w:rFonts w:asciiTheme="majorBidi" w:hAnsiTheme="majorBidi" w:cstheme="majorBidi"/>
          <w:sz w:val="24"/>
          <w:szCs w:val="24"/>
        </w:rPr>
        <w:t>, while the inhibitory effect of testosterone in males may explain their absence of significant differences</w:t>
      </w:r>
      <w:r w:rsidR="00CB4A44">
        <w:rPr>
          <w:rFonts w:asciiTheme="majorBidi" w:hAnsiTheme="majorBidi" w:cstheme="majorBidi"/>
          <w:sz w:val="24"/>
          <w:szCs w:val="24"/>
        </w:rPr>
        <w:t xml:space="preserve"> </w:t>
      </w:r>
    </w:p>
    <w:p w14:paraId="55FA1030" w14:textId="77777777" w:rsidR="00F44BED" w:rsidRDefault="001D6D97" w:rsidP="003B4158">
      <w:pPr>
        <w:jc w:val="both"/>
        <w:rPr>
          <w:rFonts w:asciiTheme="majorBidi" w:hAnsiTheme="majorBidi" w:cstheme="majorBidi"/>
          <w:sz w:val="24"/>
          <w:szCs w:val="24"/>
        </w:rPr>
      </w:pPr>
      <w:r w:rsidRPr="00F44BED">
        <w:rPr>
          <w:rFonts w:asciiTheme="majorBidi" w:hAnsiTheme="majorBidi" w:cstheme="majorBidi"/>
          <w:sz w:val="24"/>
          <w:szCs w:val="24"/>
        </w:rPr>
        <w:t>This finding supports previous studies that have shown immunological differences between the sexes that are associated with hormonal regulation.</w:t>
      </w:r>
    </w:p>
    <w:p w14:paraId="754BD31B" w14:textId="77777777" w:rsidR="00576FB4" w:rsidRDefault="001D6D97" w:rsidP="00576FB4">
      <w:pPr>
        <w:jc w:val="both"/>
        <w:rPr>
          <w:rFonts w:asciiTheme="majorBidi" w:hAnsiTheme="majorBidi" w:cstheme="majorBidi"/>
          <w:sz w:val="24"/>
          <w:szCs w:val="24"/>
        </w:rPr>
        <w:sectPr w:rsidR="00576FB4" w:rsidSect="00EF67C9">
          <w:type w:val="continuous"/>
          <w:pgSz w:w="12240" w:h="15840"/>
          <w:pgMar w:top="990" w:right="1440" w:bottom="1440" w:left="1440" w:header="720" w:footer="720" w:gutter="0"/>
          <w:cols w:space="720"/>
          <w:docGrid w:linePitch="360"/>
        </w:sectPr>
      </w:pPr>
      <w:r w:rsidRPr="00122CAD">
        <w:rPr>
          <w:rFonts w:asciiTheme="majorBidi" w:hAnsiTheme="majorBidi" w:cstheme="majorBidi"/>
          <w:sz w:val="24"/>
          <w:szCs w:val="24"/>
        </w:rPr>
        <w:t>Although significant differences were recorded in IL-6 and IL-10 levels within tissues</w:t>
      </w:r>
      <w:r w:rsidR="003B4158">
        <w:rPr>
          <w:rFonts w:asciiTheme="majorBidi" w:hAnsiTheme="majorBidi" w:cstheme="majorBidi"/>
          <w:sz w:val="24"/>
          <w:szCs w:val="24"/>
        </w:rPr>
        <w:t xml:space="preserve"> (7,8</w:t>
      </w:r>
      <w:r w:rsidR="00CB4A44">
        <w:rPr>
          <w:rFonts w:asciiTheme="majorBidi" w:hAnsiTheme="majorBidi" w:cstheme="majorBidi"/>
          <w:sz w:val="24"/>
          <w:szCs w:val="24"/>
        </w:rPr>
        <w:t>)</w:t>
      </w:r>
      <w:r w:rsidRPr="00122CAD">
        <w:rPr>
          <w:rFonts w:asciiTheme="majorBidi" w:hAnsiTheme="majorBidi" w:cstheme="majorBidi"/>
          <w:sz w:val="24"/>
          <w:szCs w:val="24"/>
        </w:rPr>
        <w:t>, serum results did not show significant differences between groups</w:t>
      </w:r>
      <w:r w:rsidR="00F419DB">
        <w:rPr>
          <w:rFonts w:asciiTheme="majorBidi" w:hAnsiTheme="majorBidi" w:cstheme="majorBidi"/>
          <w:sz w:val="24"/>
          <w:szCs w:val="24"/>
        </w:rPr>
        <w:t xml:space="preserve"> (group infected with cypermethrine and group treated with the new sulfa drug</w:t>
      </w:r>
      <w:r w:rsidRPr="00122CAD">
        <w:rPr>
          <w:rFonts w:asciiTheme="majorBidi" w:hAnsiTheme="majorBidi" w:cstheme="majorBidi"/>
          <w:sz w:val="24"/>
          <w:szCs w:val="24"/>
        </w:rPr>
        <w:t>). This is due to the local nature of the inflammatory response resulting from exposure to the pesticide cypermethrin, in addition to the therapeutic effect of the drug used, which contributed to containing the inflammatory response locally and preventing its spread to the blood circulation. Furthermore, blood cytokine levels may not accurately reflect local changes in tissues, especially in the case of limited injuries.</w:t>
      </w:r>
    </w:p>
    <w:p w14:paraId="78EEB28F" w14:textId="77777777" w:rsidR="00EF67C9" w:rsidRDefault="00EF67C9" w:rsidP="00D4480A">
      <w:pPr>
        <w:jc w:val="center"/>
        <w:rPr>
          <w:rFonts w:asciiTheme="majorBidi" w:hAnsiTheme="majorBidi" w:cstheme="majorBidi"/>
          <w:b/>
          <w:bCs/>
          <w:sz w:val="28"/>
          <w:szCs w:val="28"/>
        </w:rPr>
        <w:sectPr w:rsidR="00EF67C9" w:rsidSect="00576FB4">
          <w:type w:val="continuous"/>
          <w:pgSz w:w="12240" w:h="15840"/>
          <w:pgMar w:top="990" w:right="1440" w:bottom="1440" w:left="1440" w:header="720" w:footer="720" w:gutter="0"/>
          <w:cols w:space="720"/>
          <w:docGrid w:linePitch="360"/>
        </w:sectPr>
      </w:pPr>
    </w:p>
    <w:p w14:paraId="78450C9C" w14:textId="77777777" w:rsidR="006A34B0" w:rsidRDefault="001D6D97" w:rsidP="00D4480A">
      <w:pPr>
        <w:jc w:val="center"/>
        <w:rPr>
          <w:rFonts w:asciiTheme="majorBidi" w:hAnsiTheme="majorBidi" w:cstheme="majorBidi"/>
          <w:b/>
          <w:bCs/>
          <w:sz w:val="28"/>
          <w:szCs w:val="28"/>
        </w:rPr>
      </w:pPr>
      <w:r>
        <w:rPr>
          <w:noProof/>
        </w:rPr>
        <w:lastRenderedPageBreak/>
        <w:drawing>
          <wp:inline distT="0" distB="0" distL="0" distR="0" wp14:anchorId="47EA2FF5" wp14:editId="273C3C0C">
            <wp:extent cx="4181358"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4-01-28_11-52-47.jpg"/>
                    <pic:cNvPicPr/>
                  </pic:nvPicPr>
                  <pic:blipFill>
                    <a:blip r:embed="rId16" cstate="print">
                      <a:extLst>
                        <a:ext uri="{28A0092B-C50C-407E-A947-70E740481C1C}">
                          <a14:useLocalDpi xmlns:a14="http://schemas.microsoft.com/office/drawing/2010/main" val="0"/>
                        </a:ext>
                      </a:extLst>
                    </a:blip>
                    <a:srcRect l="3685" t="9595" r="2406" b="17397"/>
                    <a:stretch>
                      <a:fillRect/>
                    </a:stretch>
                  </pic:blipFill>
                  <pic:spPr bwMode="auto">
                    <a:xfrm>
                      <a:off x="0" y="0"/>
                      <a:ext cx="4202531" cy="1761474"/>
                    </a:xfrm>
                    <a:prstGeom prst="rect">
                      <a:avLst/>
                    </a:prstGeom>
                    <a:ln>
                      <a:noFill/>
                    </a:ln>
                    <a:extLst>
                      <a:ext uri="{53640926-AAD7-44D8-BBD7-CCE9431645EC}">
                        <a14:shadowObscured xmlns:a14="http://schemas.microsoft.com/office/drawing/2010/main"/>
                      </a:ext>
                    </a:extLst>
                  </pic:spPr>
                </pic:pic>
              </a:graphicData>
            </a:graphic>
          </wp:inline>
        </w:drawing>
      </w:r>
    </w:p>
    <w:p w14:paraId="0C01B5D6" w14:textId="77777777" w:rsidR="007D502B" w:rsidRPr="007D502B" w:rsidRDefault="001D6D97" w:rsidP="007D502B">
      <w:pPr>
        <w:rPr>
          <w:rFonts w:ascii="Times New Roman" w:eastAsia="Times New Roman" w:hAnsi="Times New Roman" w:cs="Times New Roman"/>
          <w:sz w:val="24"/>
          <w:szCs w:val="24"/>
        </w:rPr>
      </w:pPr>
      <w:r w:rsidRPr="006E02D6">
        <w:rPr>
          <w:rFonts w:asciiTheme="majorBidi" w:hAnsiTheme="majorBidi" w:cstheme="majorBidi"/>
          <w:sz w:val="24"/>
          <w:szCs w:val="24"/>
        </w:rPr>
        <w:t xml:space="preserve">Fig 1. </w:t>
      </w:r>
      <w:r w:rsidR="006E02D6" w:rsidRPr="006E02D6">
        <w:rPr>
          <w:rFonts w:asciiTheme="majorBidi" w:hAnsiTheme="majorBidi" w:cstheme="majorBidi"/>
          <w:sz w:val="24"/>
          <w:szCs w:val="24"/>
        </w:rPr>
        <w:t xml:space="preserve"> FT-IR</w:t>
      </w:r>
      <w:r>
        <w:rPr>
          <w:rFonts w:asciiTheme="majorBidi" w:hAnsiTheme="majorBidi" w:cstheme="majorBidi"/>
          <w:sz w:val="24"/>
          <w:szCs w:val="24"/>
        </w:rPr>
        <w:t>.</w:t>
      </w:r>
      <w:r w:rsidRPr="007D502B">
        <w:rPr>
          <w:rFonts w:ascii="Times New Roman" w:eastAsia="Times New Roman" w:hAnsi="Times New Roman" w:cs="Times New Roman"/>
          <w:sz w:val="24"/>
          <w:szCs w:val="24"/>
        </w:rPr>
        <w:t xml:space="preserve"> The spectrum reveals key functional groups, including sulfonamide, imine, and benzodioxole, confirming Schiff base formation, S=O and C–O–C signals, and complete piperonal reaction without aldehyde-related peaks.</w:t>
      </w:r>
    </w:p>
    <w:p w14:paraId="38A97B47" w14:textId="77777777" w:rsidR="006214B4" w:rsidRPr="006E02D6" w:rsidRDefault="006214B4" w:rsidP="007D502B">
      <w:pPr>
        <w:jc w:val="both"/>
        <w:rPr>
          <w:rFonts w:asciiTheme="majorBidi" w:hAnsiTheme="majorBidi" w:cstheme="majorBidi"/>
          <w:sz w:val="24"/>
          <w:szCs w:val="24"/>
          <w:rtl/>
        </w:rPr>
      </w:pPr>
    </w:p>
    <w:p w14:paraId="58EB36E5" w14:textId="77777777" w:rsidR="00716202" w:rsidRDefault="001D6D97" w:rsidP="00D4480A">
      <w:pPr>
        <w:jc w:val="center"/>
        <w:rPr>
          <w:rFonts w:asciiTheme="majorBidi" w:hAnsiTheme="majorBidi" w:cstheme="majorBidi"/>
          <w:b/>
          <w:bCs/>
          <w:sz w:val="28"/>
          <w:szCs w:val="28"/>
        </w:rPr>
      </w:pPr>
      <w:r>
        <w:rPr>
          <w:noProof/>
        </w:rPr>
        <w:drawing>
          <wp:inline distT="0" distB="0" distL="0" distR="0" wp14:anchorId="4437661B" wp14:editId="14DE179A">
            <wp:extent cx="3611880" cy="18592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2024-01-28_11-53-17.jpg"/>
                    <pic:cNvPicPr/>
                  </pic:nvPicPr>
                  <pic:blipFill>
                    <a:blip r:embed="rId17" cstate="print">
                      <a:extLst>
                        <a:ext uri="{28A0092B-C50C-407E-A947-70E740481C1C}">
                          <a14:useLocalDpi xmlns:a14="http://schemas.microsoft.com/office/drawing/2010/main" val="0"/>
                        </a:ext>
                      </a:extLst>
                    </a:blip>
                    <a:srcRect l="2884" t="1460" r="2884" b="6327"/>
                    <a:stretch>
                      <a:fillRect/>
                    </a:stretch>
                  </pic:blipFill>
                  <pic:spPr bwMode="auto">
                    <a:xfrm>
                      <a:off x="0" y="0"/>
                      <a:ext cx="3598608" cy="1852448"/>
                    </a:xfrm>
                    <a:prstGeom prst="rect">
                      <a:avLst/>
                    </a:prstGeom>
                    <a:ln>
                      <a:noFill/>
                    </a:ln>
                    <a:extLst>
                      <a:ext uri="{53640926-AAD7-44D8-BBD7-CCE9431645EC}">
                        <a14:shadowObscured xmlns:a14="http://schemas.microsoft.com/office/drawing/2010/main"/>
                      </a:ext>
                    </a:extLst>
                  </pic:spPr>
                </pic:pic>
              </a:graphicData>
            </a:graphic>
          </wp:inline>
        </w:drawing>
      </w:r>
    </w:p>
    <w:p w14:paraId="52A5E2CE" w14:textId="77777777" w:rsidR="00716202" w:rsidRPr="00E41ABF" w:rsidRDefault="001D6D97" w:rsidP="00E41ABF">
      <w:pPr>
        <w:rPr>
          <w:rFonts w:ascii="Times New Roman" w:eastAsia="Times New Roman" w:hAnsi="Times New Roman" w:cs="Times New Roman"/>
          <w:sz w:val="24"/>
          <w:szCs w:val="24"/>
        </w:rPr>
      </w:pPr>
      <w:r w:rsidRPr="00EC7937">
        <w:rPr>
          <w:rFonts w:asciiTheme="majorBidi" w:hAnsiTheme="majorBidi" w:cstheme="majorBidi"/>
          <w:sz w:val="24"/>
          <w:szCs w:val="24"/>
        </w:rPr>
        <w:t xml:space="preserve">Fig 2. </w:t>
      </w:r>
      <w:r>
        <w:rPr>
          <w:rFonts w:asciiTheme="majorBidi" w:hAnsiTheme="majorBidi" w:cstheme="majorBidi"/>
          <w:sz w:val="24"/>
          <w:szCs w:val="24"/>
        </w:rPr>
        <w:t xml:space="preserve"> </w:t>
      </w:r>
      <w:r w:rsidR="00216617" w:rsidRPr="00216617">
        <w:rPr>
          <w:rFonts w:asciiTheme="majorBidi" w:hAnsiTheme="majorBidi" w:cstheme="majorBidi"/>
          <w:sz w:val="24"/>
          <w:szCs w:val="24"/>
        </w:rPr>
        <w:t>1</w:t>
      </w:r>
      <w:r w:rsidR="007D502B">
        <w:rPr>
          <w:rFonts w:asciiTheme="majorBidi" w:hAnsiTheme="majorBidi" w:cstheme="majorBidi"/>
          <w:sz w:val="24"/>
          <w:szCs w:val="24"/>
        </w:rPr>
        <w:t xml:space="preserve">H NMR </w:t>
      </w:r>
      <w:r w:rsidR="007D502B" w:rsidRPr="007D502B">
        <w:rPr>
          <w:rFonts w:ascii="Times New Roman" w:eastAsia="Times New Roman" w:hAnsi="Times New Roman" w:cs="Times New Roman"/>
          <w:sz w:val="24"/>
          <w:szCs w:val="24"/>
        </w:rPr>
        <w:t xml:space="preserve"> The proton NMR spectrum reveals aromatic multiplets, pyridine and benzodioxole rings, and the presence of a methylenedioxy group, confirming the presence of an intact methylenedioxy group. Absence of aldehydic proton signals confirms full condensation.</w:t>
      </w:r>
    </w:p>
    <w:p w14:paraId="40FADD17" w14:textId="77777777" w:rsidR="00276BAE" w:rsidRPr="00216617" w:rsidRDefault="001D6D97" w:rsidP="005B102A">
      <w:pPr>
        <w:jc w:val="center"/>
        <w:rPr>
          <w:rFonts w:asciiTheme="majorBidi" w:hAnsiTheme="majorBidi" w:cstheme="majorBidi"/>
          <w:b/>
          <w:bCs/>
          <w:sz w:val="32"/>
          <w:szCs w:val="32"/>
        </w:rPr>
      </w:pPr>
      <w:r w:rsidRPr="00216617">
        <w:rPr>
          <w:rFonts w:asciiTheme="majorBidi" w:hAnsiTheme="majorBidi" w:cstheme="majorBidi"/>
          <w:noProof/>
          <w:sz w:val="24"/>
          <w:szCs w:val="24"/>
        </w:rPr>
        <w:drawing>
          <wp:inline distT="0" distB="0" distL="0" distR="0" wp14:anchorId="02D77030" wp14:editId="57F609AD">
            <wp:extent cx="3398520" cy="185950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4-01-28_11-53-01.jpg"/>
                    <pic:cNvPicPr/>
                  </pic:nvPicPr>
                  <pic:blipFill>
                    <a:blip r:embed="rId18" cstate="print">
                      <a:extLst>
                        <a:ext uri="{28A0092B-C50C-407E-A947-70E740481C1C}">
                          <a14:useLocalDpi xmlns:a14="http://schemas.microsoft.com/office/drawing/2010/main" val="0"/>
                        </a:ext>
                      </a:extLst>
                    </a:blip>
                    <a:srcRect l="1754" t="1828" r="6029" b="2612"/>
                    <a:stretch>
                      <a:fillRect/>
                    </a:stretch>
                  </pic:blipFill>
                  <pic:spPr bwMode="auto">
                    <a:xfrm>
                      <a:off x="0" y="0"/>
                      <a:ext cx="3405125" cy="1863121"/>
                    </a:xfrm>
                    <a:prstGeom prst="rect">
                      <a:avLst/>
                    </a:prstGeom>
                    <a:ln>
                      <a:noFill/>
                    </a:ln>
                    <a:extLst>
                      <a:ext uri="{53640926-AAD7-44D8-BBD7-CCE9431645EC}">
                        <a14:shadowObscured xmlns:a14="http://schemas.microsoft.com/office/drawing/2010/main"/>
                      </a:ext>
                    </a:extLst>
                  </pic:spPr>
                </pic:pic>
              </a:graphicData>
            </a:graphic>
          </wp:inline>
        </w:drawing>
      </w:r>
    </w:p>
    <w:p w14:paraId="7300968A" w14:textId="77777777" w:rsidR="005B102A" w:rsidRPr="00E41ABF" w:rsidRDefault="001D6D97" w:rsidP="00E41ABF">
      <w:pPr>
        <w:rPr>
          <w:rFonts w:ascii="Times New Roman" w:eastAsia="Times New Roman" w:hAnsi="Times New Roman" w:cs="Times New Roman"/>
          <w:sz w:val="24"/>
          <w:szCs w:val="24"/>
        </w:rPr>
      </w:pPr>
      <w:r w:rsidRPr="00216617">
        <w:rPr>
          <w:rFonts w:asciiTheme="majorBidi" w:hAnsiTheme="majorBidi" w:cstheme="majorBidi"/>
          <w:sz w:val="24"/>
          <w:szCs w:val="24"/>
        </w:rPr>
        <w:t xml:space="preserve">Fig 3. </w:t>
      </w:r>
      <w:r w:rsidR="00216617" w:rsidRPr="00216617">
        <w:rPr>
          <w:rFonts w:asciiTheme="majorBidi" w:hAnsiTheme="majorBidi" w:cstheme="majorBidi"/>
          <w:sz w:val="24"/>
          <w:szCs w:val="24"/>
        </w:rPr>
        <w:t>13C NMR</w:t>
      </w:r>
      <w:r w:rsidR="007D502B">
        <w:rPr>
          <w:rFonts w:asciiTheme="majorBidi" w:hAnsiTheme="majorBidi" w:cstheme="majorBidi"/>
          <w:sz w:val="24"/>
          <w:szCs w:val="24"/>
        </w:rPr>
        <w:t>.</w:t>
      </w:r>
      <w:r w:rsidR="007D502B" w:rsidRPr="007D502B">
        <w:rPr>
          <w:rFonts w:ascii="Times New Roman" w:eastAsia="Times New Roman" w:hAnsi="Times New Roman" w:cs="Times New Roman"/>
          <w:sz w:val="24"/>
          <w:szCs w:val="24"/>
        </w:rPr>
        <w:t xml:space="preserve"> The molecule's carbon framework is confirmed by the spectrum, which reveals imine, aromatic, oxygenated, and nitrogen-adjacent carbons, aligning perfectly with the proposed structure.</w:t>
      </w:r>
    </w:p>
    <w:p w14:paraId="789C2E81" w14:textId="77777777" w:rsidR="006214B4" w:rsidRDefault="001D6D97" w:rsidP="005B102A">
      <w:pPr>
        <w:jc w:val="center"/>
        <w:rPr>
          <w:rFonts w:asciiTheme="majorBidi" w:hAnsiTheme="majorBidi" w:cstheme="majorBidi"/>
          <w:b/>
          <w:bCs/>
          <w:sz w:val="24"/>
          <w:szCs w:val="24"/>
          <w:rtl/>
        </w:rPr>
      </w:pPr>
      <w:r>
        <w:rPr>
          <w:noProof/>
        </w:rPr>
        <w:lastRenderedPageBreak/>
        <w:drawing>
          <wp:inline distT="0" distB="0" distL="0" distR="0" wp14:anchorId="3C46FBA2" wp14:editId="0A304F52">
            <wp:extent cx="3860800" cy="2463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866454" cy="2467408"/>
                    </a:xfrm>
                    <a:prstGeom prst="rect">
                      <a:avLst/>
                    </a:prstGeom>
                    <a:noFill/>
                  </pic:spPr>
                </pic:pic>
              </a:graphicData>
            </a:graphic>
          </wp:inline>
        </w:drawing>
      </w:r>
    </w:p>
    <w:p w14:paraId="1AB10D2B" w14:textId="77777777" w:rsidR="005A781C" w:rsidRPr="000E3AB7" w:rsidRDefault="001D6D97" w:rsidP="000E3AB7">
      <w:pPr>
        <w:spacing w:after="0" w:line="240" w:lineRule="auto"/>
        <w:rPr>
          <w:rFonts w:ascii="Times New Roman" w:eastAsia="Times New Roman" w:hAnsi="Times New Roman" w:cs="Times New Roman"/>
          <w:sz w:val="24"/>
          <w:szCs w:val="24"/>
        </w:rPr>
      </w:pPr>
      <w:r w:rsidRPr="00E41ABF">
        <w:rPr>
          <w:rFonts w:asciiTheme="majorBidi" w:hAnsiTheme="majorBidi" w:cstheme="majorBidi"/>
          <w:shd w:val="clear" w:color="auto" w:fill="FFFFFF"/>
        </w:rPr>
        <w:t>Fig 4: BOILED-Egg Plot (SwissADME),</w:t>
      </w:r>
      <w:r>
        <w:rPr>
          <w:rFonts w:ascii="Times New Roman" w:eastAsia="Times New Roman" w:hAnsi="Times New Roman" w:cs="Times New Roman"/>
          <w:sz w:val="24"/>
          <w:szCs w:val="24"/>
        </w:rPr>
        <w:t xml:space="preserve"> t</w:t>
      </w:r>
      <w:r w:rsidRPr="00E41ABF">
        <w:rPr>
          <w:rFonts w:ascii="Times New Roman" w:eastAsia="Times New Roman" w:hAnsi="Times New Roman" w:cs="Times New Roman"/>
          <w:sz w:val="24"/>
          <w:szCs w:val="24"/>
        </w:rPr>
        <w:t>he compound's location within the HIA white zone indicates excellent oral bioavailability, but its partial overlap with the yellow BBB zone suggests limited blood-brain barrier permeability.</w:t>
      </w:r>
    </w:p>
    <w:p w14:paraId="1552D94E" w14:textId="77777777" w:rsidR="00EA3741" w:rsidRPr="00B92AA6" w:rsidRDefault="001D6D97" w:rsidP="00B92AA6">
      <w:pPr>
        <w:jc w:val="center"/>
      </w:pPr>
      <w:r>
        <w:rPr>
          <w:noProof/>
        </w:rPr>
        <w:drawing>
          <wp:inline distT="0" distB="0" distL="0" distR="0" wp14:anchorId="7A5FAB9E" wp14:editId="4347BA65">
            <wp:extent cx="4191000" cy="266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187895" cy="2665024"/>
                    </a:xfrm>
                    <a:prstGeom prst="rect">
                      <a:avLst/>
                    </a:prstGeom>
                    <a:noFill/>
                  </pic:spPr>
                </pic:pic>
              </a:graphicData>
            </a:graphic>
          </wp:inline>
        </w:drawing>
      </w:r>
    </w:p>
    <w:p w14:paraId="26673F08" w14:textId="77777777" w:rsidR="00B92AA6" w:rsidRPr="0070102B" w:rsidRDefault="001D6D97" w:rsidP="0070102B">
      <w:pPr>
        <w:rPr>
          <w:rFonts w:asciiTheme="majorBidi" w:eastAsia="Times New Roman" w:hAnsiTheme="majorBidi" w:cstheme="majorBidi"/>
        </w:rPr>
      </w:pPr>
      <w:r w:rsidRPr="0070102B">
        <w:rPr>
          <w:rFonts w:asciiTheme="majorBidi" w:hAnsiTheme="majorBidi" w:cstheme="majorBidi"/>
        </w:rPr>
        <w:t>Figure 5</w:t>
      </w:r>
      <w:r w:rsidR="00EA3741" w:rsidRPr="0070102B">
        <w:rPr>
          <w:rFonts w:asciiTheme="majorBidi" w:hAnsiTheme="majorBidi" w:cstheme="majorBidi"/>
        </w:rPr>
        <w:t>: The Bioavailability radar using Swiss ADME predictor</w:t>
      </w:r>
      <w:r w:rsidR="0070102B" w:rsidRPr="0070102B">
        <w:rPr>
          <w:rFonts w:asciiTheme="majorBidi" w:eastAsia="Times New Roman" w:hAnsiTheme="majorBidi" w:cstheme="majorBidi"/>
        </w:rPr>
        <w:t xml:space="preserve"> shows a compound with favorable drug-likeness, including high lipophilicity, moderate polarity, acceptable size and flexibility, and unsaturation, making it an optimal oral drug candidate.</w:t>
      </w:r>
    </w:p>
    <w:p w14:paraId="61E9EA80" w14:textId="77777777" w:rsidR="00EA3741" w:rsidRPr="00EA3741" w:rsidRDefault="001D6D97" w:rsidP="00B92AA6">
      <w:pPr>
        <w:tabs>
          <w:tab w:val="left" w:pos="3680"/>
        </w:tabs>
        <w:jc w:val="center"/>
        <w:rPr>
          <w:rFonts w:asciiTheme="majorBidi" w:hAnsiTheme="majorBidi" w:cstheme="majorBidi"/>
          <w:sz w:val="24"/>
          <w:szCs w:val="24"/>
        </w:rPr>
      </w:pPr>
      <w:r>
        <w:rPr>
          <w:noProof/>
        </w:rPr>
        <w:lastRenderedPageBreak/>
        <w:drawing>
          <wp:inline distT="0" distB="0" distL="0" distR="0" wp14:anchorId="31C6810B" wp14:editId="2751605C">
            <wp:extent cx="5520691" cy="4089400"/>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513483" cy="4084061"/>
                    </a:xfrm>
                    <a:prstGeom prst="rect">
                      <a:avLst/>
                    </a:prstGeom>
                    <a:noFill/>
                  </pic:spPr>
                </pic:pic>
              </a:graphicData>
            </a:graphic>
          </wp:inline>
        </w:drawing>
      </w:r>
    </w:p>
    <w:p w14:paraId="65D60D1C" w14:textId="77777777" w:rsidR="004C277C" w:rsidRDefault="001D6D97" w:rsidP="005B102A">
      <w:pPr>
        <w:rPr>
          <w:rFonts w:asciiTheme="majorBidi" w:hAnsiTheme="majorBidi" w:cstheme="majorBidi"/>
          <w:b/>
          <w:bCs/>
          <w:sz w:val="24"/>
          <w:szCs w:val="24"/>
          <w:rtl/>
        </w:rPr>
      </w:pPr>
      <w:r>
        <w:t xml:space="preserve"> </w:t>
      </w:r>
      <w:r w:rsidR="00F419DB" w:rsidRPr="00016916">
        <w:rPr>
          <w:rFonts w:asciiTheme="majorBidi" w:hAnsiTheme="majorBidi" w:cstheme="majorBidi"/>
          <w:sz w:val="24"/>
          <w:szCs w:val="24"/>
        </w:rPr>
        <w:t>Figure 6</w:t>
      </w:r>
      <w:r w:rsidR="00EA3741">
        <w:t xml:space="preserve">: </w:t>
      </w:r>
      <w:r w:rsidR="00EA3741" w:rsidRPr="00016916">
        <w:rPr>
          <w:rFonts w:asciiTheme="majorBidi" w:hAnsiTheme="majorBidi" w:cstheme="majorBidi"/>
          <w:sz w:val="24"/>
          <w:szCs w:val="24"/>
        </w:rPr>
        <w:t>The Bioavailability radar using Swiss ADME predictor</w:t>
      </w:r>
      <w:r w:rsidR="0070102B">
        <w:rPr>
          <w:rFonts w:asciiTheme="majorBidi" w:hAnsiTheme="majorBidi" w:cstheme="majorBidi"/>
        </w:rPr>
        <w:t>, t</w:t>
      </w:r>
      <w:r w:rsidR="0070102B" w:rsidRPr="0070102B">
        <w:rPr>
          <w:rFonts w:asciiTheme="majorBidi" w:hAnsiTheme="majorBidi" w:cstheme="majorBidi"/>
        </w:rPr>
        <w:t>he Bioavailability radar using Swiss ADME predictor</w:t>
      </w:r>
      <w:r w:rsidR="0070102B" w:rsidRPr="0070102B">
        <w:rPr>
          <w:rFonts w:asciiTheme="majorBidi" w:eastAsia="Times New Roman" w:hAnsiTheme="majorBidi" w:cstheme="majorBidi"/>
        </w:rPr>
        <w:t>, shows a compound with favorable drug-likeness, including high lipophilicity, moderate polarity, acceptable size and flexibility, and unsaturation, making it an optimal oral drug candidate.</w:t>
      </w:r>
    </w:p>
    <w:p w14:paraId="5FC1D87E" w14:textId="77777777" w:rsidR="006214B4" w:rsidRDefault="001D6D97" w:rsidP="00750F10">
      <w:pPr>
        <w:jc w:val="center"/>
        <w:rPr>
          <w:rFonts w:asciiTheme="majorBidi" w:hAnsiTheme="majorBidi" w:cstheme="majorBidi"/>
          <w:b/>
          <w:bCs/>
          <w:sz w:val="24"/>
          <w:szCs w:val="24"/>
        </w:rPr>
      </w:pPr>
      <w:r w:rsidRPr="00750F10">
        <w:rPr>
          <w:rFonts w:asciiTheme="majorBidi" w:hAnsiTheme="majorBidi" w:cstheme="majorBidi"/>
          <w:b/>
          <w:bCs/>
          <w:noProof/>
          <w:sz w:val="24"/>
          <w:szCs w:val="24"/>
        </w:rPr>
        <w:drawing>
          <wp:inline distT="0" distB="0" distL="0" distR="0" wp14:anchorId="77EA6955" wp14:editId="76D7DFC1">
            <wp:extent cx="3754232" cy="18910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2"/>
                    <a:stretch>
                      <a:fillRect/>
                    </a:stretch>
                  </pic:blipFill>
                  <pic:spPr>
                    <a:xfrm>
                      <a:off x="0" y="0"/>
                      <a:ext cx="3768463" cy="1898240"/>
                    </a:xfrm>
                    <a:prstGeom prst="rect">
                      <a:avLst/>
                    </a:prstGeom>
                  </pic:spPr>
                </pic:pic>
              </a:graphicData>
            </a:graphic>
          </wp:inline>
        </w:drawing>
      </w:r>
    </w:p>
    <w:p w14:paraId="2A9B3423" w14:textId="77777777" w:rsidR="004B00DE" w:rsidRDefault="001D6D97" w:rsidP="00BF2067">
      <w:pPr>
        <w:rPr>
          <w:rFonts w:asciiTheme="majorBidi" w:hAnsiTheme="majorBidi" w:cstheme="majorBidi"/>
          <w:b/>
          <w:bCs/>
          <w:sz w:val="24"/>
          <w:szCs w:val="24"/>
        </w:rPr>
      </w:pPr>
      <w:r>
        <w:rPr>
          <w:noProof/>
        </w:rPr>
        <mc:AlternateContent>
          <mc:Choice Requires="wps">
            <w:drawing>
              <wp:anchor distT="0" distB="0" distL="114300" distR="114300" simplePos="0" relativeHeight="251661312" behindDoc="0" locked="0" layoutInCell="1" allowOverlap="1" wp14:anchorId="52AFF54F" wp14:editId="4362BDD4">
                <wp:simplePos x="0" y="0"/>
                <wp:positionH relativeFrom="column">
                  <wp:posOffset>-130810</wp:posOffset>
                </wp:positionH>
                <wp:positionV relativeFrom="paragraph">
                  <wp:posOffset>113665</wp:posOffset>
                </wp:positionV>
                <wp:extent cx="5969000" cy="728980"/>
                <wp:effectExtent l="0" t="0" r="12700" b="13970"/>
                <wp:wrapNone/>
                <wp:docPr id="9" name="Text Box 9"/>
                <wp:cNvGraphicFramePr/>
                <a:graphic xmlns:a="http://schemas.openxmlformats.org/drawingml/2006/main">
                  <a:graphicData uri="http://schemas.microsoft.com/office/word/2010/wordprocessingShape">
                    <wps:wsp>
                      <wps:cNvSpPr txBox="1"/>
                      <wps:spPr>
                        <a:xfrm>
                          <a:off x="0" y="0"/>
                          <a:ext cx="5969000" cy="728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C12F72" w14:textId="455D71AA" w:rsidR="004B00DE" w:rsidRPr="004B00DE" w:rsidRDefault="001D6D97" w:rsidP="004B00DE">
                            <w:pPr>
                              <w:pStyle w:val="NormalWeb"/>
                              <w:spacing w:after="0" w:afterAutospacing="0"/>
                              <w:rPr>
                                <w:sz w:val="22"/>
                                <w:szCs w:val="22"/>
                              </w:rPr>
                            </w:pPr>
                            <w:r>
                              <w:rPr>
                                <w:sz w:val="22"/>
                                <w:szCs w:val="22"/>
                              </w:rPr>
                              <w:t>Fig.</w:t>
                            </w:r>
                            <w:r w:rsidR="00360B4B">
                              <w:rPr>
                                <w:sz w:val="22"/>
                                <w:szCs w:val="22"/>
                              </w:rPr>
                              <w:t xml:space="preserve">7 </w:t>
                            </w:r>
                            <w:r>
                              <w:rPr>
                                <w:sz w:val="22"/>
                                <w:szCs w:val="22"/>
                              </w:rPr>
                              <w:t xml:space="preserve">: </w:t>
                            </w:r>
                            <w:r w:rsidRPr="004B00DE">
                              <w:rPr>
                                <w:sz w:val="22"/>
                                <w:szCs w:val="22"/>
                              </w:rPr>
                              <w:t xml:space="preserve">These figures reveal </w:t>
                            </w:r>
                            <w:r w:rsidRPr="004B00DE">
                              <w:rPr>
                                <w:rStyle w:val="Strong"/>
                                <w:sz w:val="22"/>
                                <w:szCs w:val="22"/>
                              </w:rPr>
                              <w:t>significant sex-based differences</w:t>
                            </w:r>
                            <w:r w:rsidRPr="004B00DE">
                              <w:rPr>
                                <w:sz w:val="22"/>
                                <w:szCs w:val="22"/>
                              </w:rPr>
                              <w:t xml:space="preserve"> in </w:t>
                            </w:r>
                            <w:r w:rsidR="005D68D9">
                              <w:rPr>
                                <w:sz w:val="22"/>
                                <w:szCs w:val="22"/>
                              </w:rPr>
                              <w:t>liver</w:t>
                            </w:r>
                            <w:r w:rsidR="00750F10">
                              <w:rPr>
                                <w:sz w:val="22"/>
                                <w:szCs w:val="22"/>
                              </w:rPr>
                              <w:t xml:space="preserve"> </w:t>
                            </w:r>
                            <w:r w:rsidRPr="004B00DE">
                              <w:rPr>
                                <w:sz w:val="22"/>
                                <w:szCs w:val="22"/>
                              </w:rPr>
                              <w:t>cytokine expression</w:t>
                            </w:r>
                            <w:r>
                              <w:rPr>
                                <w:sz w:val="22"/>
                                <w:szCs w:val="22"/>
                              </w:rPr>
                              <w:t>.</w:t>
                            </w:r>
                            <w:r>
                              <w:rPr>
                                <w:rStyle w:val="Strong"/>
                                <w:sz w:val="22"/>
                                <w:szCs w:val="22"/>
                              </w:rPr>
                              <w:t xml:space="preserve">IL-6 levels </w:t>
                            </w:r>
                            <w:r w:rsidRPr="004B00DE">
                              <w:rPr>
                                <w:sz w:val="22"/>
                                <w:szCs w:val="22"/>
                              </w:rPr>
                              <w:t>are higher in females, indicating a stronger inflammato</w:t>
                            </w:r>
                            <w:r>
                              <w:rPr>
                                <w:sz w:val="22"/>
                                <w:szCs w:val="22"/>
                              </w:rPr>
                              <w:t>ry response due to estrogen sti</w:t>
                            </w:r>
                            <w:r w:rsidRPr="004B00DE">
                              <w:rPr>
                                <w:sz w:val="22"/>
                                <w:szCs w:val="22"/>
                              </w:rPr>
                              <w:t>mulatio</w:t>
                            </w:r>
                            <w:r>
                              <w:rPr>
                                <w:sz w:val="22"/>
                                <w:szCs w:val="22"/>
                              </w:rPr>
                              <w:t>n</w:t>
                            </w:r>
                          </w:p>
                          <w:p w14:paraId="15460A20" w14:textId="77777777" w:rsidR="004B00DE" w:rsidRPr="004B00DE" w:rsidRDefault="004B00D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AFF54F" id="Text Box 9" o:spid="_x0000_s1027" type="#_x0000_t202" style="position:absolute;margin-left:-10.3pt;margin-top:8.95pt;width:470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0hjQIAAKsFAAAOAAAAZHJzL2Uyb0RvYy54bWysVE1v2zAMvQ/YfxB0X+1k/UpQp8hadBhQ&#10;tMXaoWdFlhKjsqRJauzs1/dJdtyk66XDLjYpPlLkE8mz87ZWZC2cr4wu6Oggp0RobspKLwv66+Hq&#10;yyklPjBdMmW0KOhGeHo++/zprLFTMTYro0rhCIJoP21sQVch2GmWeb4SNfMHxgoNozSuZgGqW2al&#10;Yw2i1yob5/lx1hhXWme48B6nl52RzlJ8KQUPt1J6EYgqKHIL6evSdxG/2eyMTZeO2VXF+zTYP2RR&#10;s0rj0iHUJQuMPLvqr1B1xZ3xRoYDburMSFlxkWpANaP8TTX3K2ZFqgXkeDvQ5P9fWH6zvnOkKgs6&#10;oUSzGk/0INpAvpmWTCI7jfVTgO4tYKHFMV55e+5xGItupavjH+UQ2MHzZuA2BuM4PJocT/IcJg7b&#10;yfh0cprIz169rfPhuzA1iUJBHd4uUcrW1z4gE0C3kHiZN6oqryqlkhL7RVwoR9YML61CyhEeeyil&#10;SVPQ469HeQq8Z4uhB/+FYvwpVrkfAZrS8TqROqtPKzLUMZGksFEiYpT+KSSYTYS8kyPjXOghz4SO&#10;KImKPuLY41+z+ohzVwc80s1Gh8G5rrRxHUv71JZPW2plhwdJO3VHMbSLNrXU0CgLU27QP8508+ct&#10;v6rA9zXz4Y45DBz6Aksk3OIjlcEjmV6iZGXcn/fOIx5zACslDQa4oP73M3OCEvVDY0Imo8PDOPFJ&#10;OTw6GUNxu5bFrkU/1xcGnTPCurI8iREf1FaUztSP2DXzeCtMTHPcXdCwFS9Ct1awq7iYzxMIM25Z&#10;uNb3lsfQkeXYZw/tI3O27/OACbkx21Fn0zft3mF7kjseewUbITVov73iytnVE+p1x85eAAAA//8D&#10;AFBLAwQUAAYACAAAACEASCos8d0AAAAKAQAADwAAAGRycy9kb3ducmV2LnhtbEyPwU7DMAyG70i8&#10;Q2Qkblu6gra2NJ0ADS6cGIhz1nhJRJNUSdaVt8ec2NH+P/3+3G5nN7AJY7LBC1gtC2Do+6Cs1wI+&#10;P14WFbCUpVdyCB4F/GCCbXd91cpGhbN/x2mfNaMSnxopwOQ8Npyn3qCTaRlG9JQdQ3Qy0xg1V1Ge&#10;qdwNvCyKNXfSerpg5IjPBvvv/ckJ2D3pWveVjGZXKWun+ev4pl+FuL2ZHx+AZZzzPwx/+qQOHTkd&#10;wsmrxAYBi7JYE0rBpgZGQL2q74EdaHFXboB3Lb98ofsFAAD//wMAUEsBAi0AFAAGAAgAAAAhALaD&#10;OJL+AAAA4QEAABMAAAAAAAAAAAAAAAAAAAAAAFtDb250ZW50X1R5cGVzXS54bWxQSwECLQAUAAYA&#10;CAAAACEAOP0h/9YAAACUAQAACwAAAAAAAAAAAAAAAAAvAQAAX3JlbHMvLnJlbHNQSwECLQAUAAYA&#10;CAAAACEAMXU9IY0CAACrBQAADgAAAAAAAAAAAAAAAAAuAgAAZHJzL2Uyb0RvYy54bWxQSwECLQAU&#10;AAYACAAAACEASCos8d0AAAAKAQAADwAAAAAAAAAAAAAAAADnBAAAZHJzL2Rvd25yZXYueG1sUEsF&#10;BgAAAAAEAAQA8wAAAPEFAAAAAA==&#10;" fillcolor="white [3201]" strokeweight=".5pt">
                <v:textbox>
                  <w:txbxContent>
                    <w:p w14:paraId="33C12F72" w14:textId="455D71AA" w:rsidR="004B00DE" w:rsidRPr="004B00DE" w:rsidRDefault="001D6D97" w:rsidP="004B00DE">
                      <w:pPr>
                        <w:pStyle w:val="NormalWeb"/>
                        <w:spacing w:after="0" w:afterAutospacing="0"/>
                        <w:rPr>
                          <w:sz w:val="22"/>
                          <w:szCs w:val="22"/>
                        </w:rPr>
                      </w:pPr>
                      <w:r>
                        <w:rPr>
                          <w:sz w:val="22"/>
                          <w:szCs w:val="22"/>
                        </w:rPr>
                        <w:t>Fig.</w:t>
                      </w:r>
                      <w:r w:rsidR="00360B4B">
                        <w:rPr>
                          <w:sz w:val="22"/>
                          <w:szCs w:val="22"/>
                        </w:rPr>
                        <w:t xml:space="preserve">7 </w:t>
                      </w:r>
                      <w:r>
                        <w:rPr>
                          <w:sz w:val="22"/>
                          <w:szCs w:val="22"/>
                        </w:rPr>
                        <w:t xml:space="preserve">: </w:t>
                      </w:r>
                      <w:r w:rsidRPr="004B00DE">
                        <w:rPr>
                          <w:sz w:val="22"/>
                          <w:szCs w:val="22"/>
                        </w:rPr>
                        <w:t xml:space="preserve">These figures reveal </w:t>
                      </w:r>
                      <w:r w:rsidRPr="004B00DE">
                        <w:rPr>
                          <w:rStyle w:val="Strong"/>
                          <w:sz w:val="22"/>
                          <w:szCs w:val="22"/>
                        </w:rPr>
                        <w:t>significant sex-based differences</w:t>
                      </w:r>
                      <w:r w:rsidRPr="004B00DE">
                        <w:rPr>
                          <w:sz w:val="22"/>
                          <w:szCs w:val="22"/>
                        </w:rPr>
                        <w:t xml:space="preserve"> in </w:t>
                      </w:r>
                      <w:r w:rsidR="005D68D9">
                        <w:rPr>
                          <w:sz w:val="22"/>
                          <w:szCs w:val="22"/>
                        </w:rPr>
                        <w:t>liver</w:t>
                      </w:r>
                      <w:r w:rsidR="00750F10">
                        <w:rPr>
                          <w:sz w:val="22"/>
                          <w:szCs w:val="22"/>
                        </w:rPr>
                        <w:t xml:space="preserve"> </w:t>
                      </w:r>
                      <w:r w:rsidRPr="004B00DE">
                        <w:rPr>
                          <w:sz w:val="22"/>
                          <w:szCs w:val="22"/>
                        </w:rPr>
                        <w:t>cytokine expression</w:t>
                      </w:r>
                      <w:r>
                        <w:rPr>
                          <w:sz w:val="22"/>
                          <w:szCs w:val="22"/>
                        </w:rPr>
                        <w:t>.</w:t>
                      </w:r>
                      <w:r>
                        <w:rPr>
                          <w:rStyle w:val="Strong"/>
                          <w:sz w:val="22"/>
                          <w:szCs w:val="22"/>
                        </w:rPr>
                        <w:t xml:space="preserve">IL-6 levels </w:t>
                      </w:r>
                      <w:r w:rsidRPr="004B00DE">
                        <w:rPr>
                          <w:sz w:val="22"/>
                          <w:szCs w:val="22"/>
                        </w:rPr>
                        <w:t>are higher in females, indicating a stronger inflammato</w:t>
                      </w:r>
                      <w:r>
                        <w:rPr>
                          <w:sz w:val="22"/>
                          <w:szCs w:val="22"/>
                        </w:rPr>
                        <w:t>ry response due to estrogen sti</w:t>
                      </w:r>
                      <w:r w:rsidRPr="004B00DE">
                        <w:rPr>
                          <w:sz w:val="22"/>
                          <w:szCs w:val="22"/>
                        </w:rPr>
                        <w:t>mulatio</w:t>
                      </w:r>
                      <w:r>
                        <w:rPr>
                          <w:sz w:val="22"/>
                          <w:szCs w:val="22"/>
                        </w:rPr>
                        <w:t>n</w:t>
                      </w:r>
                    </w:p>
                    <w:p w14:paraId="15460A20" w14:textId="77777777" w:rsidR="004B00DE" w:rsidRPr="004B00DE" w:rsidRDefault="004B00DE">
                      <w:pPr>
                        <w:rPr>
                          <w:sz w:val="20"/>
                          <w:szCs w:val="20"/>
                        </w:rPr>
                      </w:pPr>
                    </w:p>
                  </w:txbxContent>
                </v:textbox>
              </v:shape>
            </w:pict>
          </mc:Fallback>
        </mc:AlternateContent>
      </w:r>
    </w:p>
    <w:p w14:paraId="1F2BFECE" w14:textId="77777777" w:rsidR="004C277C" w:rsidRDefault="001D6D97" w:rsidP="00D4480A">
      <w:pPr>
        <w:jc w:val="center"/>
        <w:rPr>
          <w:rFonts w:asciiTheme="majorBidi" w:hAnsiTheme="majorBidi" w:cstheme="majorBidi"/>
          <w:b/>
          <w:bCs/>
          <w:sz w:val="24"/>
          <w:szCs w:val="24"/>
          <w:rtl/>
        </w:rPr>
      </w:pPr>
      <w:r>
        <w:rPr>
          <w:rFonts w:cs="Arial"/>
          <w:noProof/>
          <w:rtl/>
        </w:rPr>
        <w:lastRenderedPageBreak/>
        <mc:AlternateContent>
          <mc:Choice Requires="wps">
            <w:drawing>
              <wp:anchor distT="0" distB="0" distL="114300" distR="114300" simplePos="0" relativeHeight="251663360" behindDoc="0" locked="0" layoutInCell="1" allowOverlap="1" wp14:anchorId="3E193798" wp14:editId="6876AA4B">
                <wp:simplePos x="0" y="0"/>
                <wp:positionH relativeFrom="column">
                  <wp:posOffset>-127000</wp:posOffset>
                </wp:positionH>
                <wp:positionV relativeFrom="paragraph">
                  <wp:posOffset>2435225</wp:posOffset>
                </wp:positionV>
                <wp:extent cx="63119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3119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D6BD6D" w14:textId="6C54866C" w:rsidR="004B00DE" w:rsidRPr="008F121D" w:rsidRDefault="001D6D97" w:rsidP="008F121D">
                            <w:pPr>
                              <w:pStyle w:val="NormalWeb"/>
                              <w:ind w:left="360"/>
                              <w:jc w:val="both"/>
                              <w:rPr>
                                <w:sz w:val="22"/>
                                <w:szCs w:val="22"/>
                              </w:rPr>
                            </w:pPr>
                            <w:r>
                              <w:rPr>
                                <w:sz w:val="22"/>
                                <w:szCs w:val="22"/>
                              </w:rPr>
                              <w:t>Fig</w:t>
                            </w:r>
                            <w:r w:rsidR="00360B4B">
                              <w:rPr>
                                <w:sz w:val="22"/>
                                <w:szCs w:val="22"/>
                              </w:rPr>
                              <w:t xml:space="preserve"> 8</w:t>
                            </w:r>
                            <w:r>
                              <w:rPr>
                                <w:sz w:val="22"/>
                                <w:szCs w:val="22"/>
                              </w:rPr>
                              <w:t xml:space="preserve">.; </w:t>
                            </w:r>
                            <w:r w:rsidR="008F121D" w:rsidRPr="008F121D">
                              <w:rPr>
                                <w:sz w:val="22"/>
                                <w:szCs w:val="22"/>
                              </w:rPr>
                              <w:t xml:space="preserve">These figures reveal an </w:t>
                            </w:r>
                            <w:r w:rsidRPr="008F121D">
                              <w:rPr>
                                <w:sz w:val="22"/>
                                <w:szCs w:val="22"/>
                              </w:rPr>
                              <w:t>elevation in females, pointing to a compens</w:t>
                            </w:r>
                            <w:r w:rsidR="008F121D" w:rsidRPr="008F121D">
                              <w:rPr>
                                <w:sz w:val="22"/>
                                <w:szCs w:val="22"/>
                              </w:rPr>
                              <w:t xml:space="preserve">atory anti-inflammatory effect. </w:t>
                            </w:r>
                            <w:r w:rsidRPr="008F121D">
                              <w:rPr>
                                <w:sz w:val="22"/>
                                <w:szCs w:val="22"/>
                              </w:rPr>
                              <w:t xml:space="preserve">The therapeutic group shows </w:t>
                            </w:r>
                            <w:r w:rsidRPr="008F121D">
                              <w:rPr>
                                <w:rStyle w:val="Strong"/>
                                <w:sz w:val="22"/>
                                <w:szCs w:val="22"/>
                              </w:rPr>
                              <w:t>reduced IL-6 and elevated IL-10</w:t>
                            </w:r>
                            <w:r w:rsidRPr="008F121D">
                              <w:rPr>
                                <w:sz w:val="22"/>
                                <w:szCs w:val="22"/>
                              </w:rPr>
                              <w:t>, suggesting that the compound effectively mitigates inflammation and promotes healing, especially in female subjects.</w:t>
                            </w:r>
                          </w:p>
                          <w:p w14:paraId="342DF429" w14:textId="77777777" w:rsidR="004B00DE" w:rsidRPr="008F121D" w:rsidRDefault="004B00DE" w:rsidP="008F121D">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3E193798" id="Text Box 13" o:spid="_x0000_s1028" type="#_x0000_t202" style="position:absolute;left:0;text-align:left;margin-left:-10pt;margin-top:191.75pt;width:497pt;height: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myiwIAAK0FAAAOAAAAZHJzL2Uyb0RvYy54bWysVE1PGzEQvVfqf7B8L5uEACVigyiIqhIC&#10;1FBxdrw2WeGv2ia76a/n2bsbAuVC1cvueObNeOZ5Zk5OW63IWvhQW1PS8d6IEmG4rWrzUNJfd5df&#10;vlISIjMVU9aIkm5EoKfzz59OGjcTE7uyqhKeIIgJs8aVdBWjmxVF4CuhWdizThgYpfWaRRz9Q1F5&#10;1iC6VsVkNDosGusr5y0XIUB70RnpPMeXUvB4I2UQkaiSIreYvz5/l+lbzE/Y7MEzt6p5nwb7hyw0&#10;qw0u3Ya6YJGRJ1//FUrX3NtgZdzjVhdWypqLXAOqGY/eVLNYMSdyLSAnuC1N4f+F5dfrW0/qCm+3&#10;T4lhGm90J9pIvtmWQAV+GhdmgC0cgLGFHthBH6BMZbfS6/RHQQR2ML3ZspuicSgP98fj4xFMHLbD&#10;6dERZIQvXrydD/G7sJokoaQer5dJZeurEDvoAEmXBavq6rJWKh9Sx4hz5cma4a1VzDki+CuUMqRJ&#10;mRyMcuBXthR6679UjD/26e2gEE+ZdJ3IvdWnlRjqmMhS3CiRMMr8FBLcZkLeyZFxLsw2z4xOKImK&#10;PuLY41+y+ohzVwc88s3WxK2zro31HUuvqa0eB2plh8cb7tSdxNgu29xUk6FRlrbaoH+87SYwOH5Z&#10;g+8rFuIt8xg59AXWSLzBRyqLR7K9RMnK+j/v6RMekwArJQ1GuKTh9xPzghL1w2BGjsfTaZr5fJge&#10;HE1w8LuW5a7FPOlzi84ZY2E5nsWEj2oQpbf6HtvmLN0KEzMcd5c0DuJ57BYLthUXZ2cZhCl3LF6Z&#10;heMpdGI59dlde8+86/s8YkKu7TDsbPam3TtsT3LHY3/ATsjz0++vtHR2zxn1smXnzwAAAP//AwBQ&#10;SwMEFAAGAAgAAAAhADRkMdbeAAAACwEAAA8AAABkcnMvZG93bnJldi54bWxMj8FOwzAMhu9IvENk&#10;JG5bClshK00nQIPLToxp56zJ0ojGqZKsK2+POcHR9q/P31+vJ9+z0cTkAkq4mxfADLZBO7QS9p9v&#10;MwEsZYVa9QGNhG+TYN1cX9Wq0uGCH2bcZcsIgqlSErqch4rz1HbGqzQPg0G6nUL0KtMYLddRXQju&#10;e35fFA/cK4f0oVODee1M+7U7ewmbF7uyrVCx2wjt3DgdTlv7LuXtzfT8BCybKf+F4Vef1KEhp2M4&#10;o06slzAjPEUlLMSiBEaJ1eOSNkcJS1GWwJua/+/Q/AAAAP//AwBQSwECLQAUAAYACAAAACEAtoM4&#10;kv4AAADhAQAAEwAAAAAAAAAAAAAAAAAAAAAAW0NvbnRlbnRfVHlwZXNdLnhtbFBLAQItABQABgAI&#10;AAAAIQA4/SH/1gAAAJQBAAALAAAAAAAAAAAAAAAAAC8BAABfcmVscy8ucmVsc1BLAQItABQABgAI&#10;AAAAIQDGCFmyiwIAAK0FAAAOAAAAAAAAAAAAAAAAAC4CAABkcnMvZTJvRG9jLnhtbFBLAQItABQA&#10;BgAIAAAAIQA0ZDHW3gAAAAsBAAAPAAAAAAAAAAAAAAAAAOUEAABkcnMvZG93bnJldi54bWxQSwUG&#10;AAAAAAQABADzAAAA8AUAAAAA&#10;" fillcolor="white [3201]" strokeweight=".5pt">
                <v:textbox>
                  <w:txbxContent>
                    <w:p w14:paraId="67D6BD6D" w14:textId="6C54866C" w:rsidR="004B00DE" w:rsidRPr="008F121D" w:rsidRDefault="001D6D97" w:rsidP="008F121D">
                      <w:pPr>
                        <w:pStyle w:val="NormalWeb"/>
                        <w:ind w:left="360"/>
                        <w:jc w:val="both"/>
                        <w:rPr>
                          <w:sz w:val="22"/>
                          <w:szCs w:val="22"/>
                        </w:rPr>
                      </w:pPr>
                      <w:r>
                        <w:rPr>
                          <w:sz w:val="22"/>
                          <w:szCs w:val="22"/>
                        </w:rPr>
                        <w:t>Fig</w:t>
                      </w:r>
                      <w:r w:rsidR="00360B4B">
                        <w:rPr>
                          <w:sz w:val="22"/>
                          <w:szCs w:val="22"/>
                        </w:rPr>
                        <w:t xml:space="preserve"> 8</w:t>
                      </w:r>
                      <w:r>
                        <w:rPr>
                          <w:sz w:val="22"/>
                          <w:szCs w:val="22"/>
                        </w:rPr>
                        <w:t xml:space="preserve">.; </w:t>
                      </w:r>
                      <w:r w:rsidR="008F121D" w:rsidRPr="008F121D">
                        <w:rPr>
                          <w:sz w:val="22"/>
                          <w:szCs w:val="22"/>
                        </w:rPr>
                        <w:t xml:space="preserve">These figures reveal an </w:t>
                      </w:r>
                      <w:r w:rsidRPr="008F121D">
                        <w:rPr>
                          <w:sz w:val="22"/>
                          <w:szCs w:val="22"/>
                        </w:rPr>
                        <w:t>elevation in females, pointing to a compens</w:t>
                      </w:r>
                      <w:r w:rsidR="008F121D" w:rsidRPr="008F121D">
                        <w:rPr>
                          <w:sz w:val="22"/>
                          <w:szCs w:val="22"/>
                        </w:rPr>
                        <w:t xml:space="preserve">atory anti-inflammatory effect. </w:t>
                      </w:r>
                      <w:r w:rsidRPr="008F121D">
                        <w:rPr>
                          <w:sz w:val="22"/>
                          <w:szCs w:val="22"/>
                        </w:rPr>
                        <w:t xml:space="preserve">The therapeutic group shows </w:t>
                      </w:r>
                      <w:r w:rsidRPr="008F121D">
                        <w:rPr>
                          <w:rStyle w:val="Strong"/>
                          <w:sz w:val="22"/>
                          <w:szCs w:val="22"/>
                        </w:rPr>
                        <w:t>reduced IL-6 and elevated IL-10</w:t>
                      </w:r>
                      <w:r w:rsidRPr="008F121D">
                        <w:rPr>
                          <w:sz w:val="22"/>
                          <w:szCs w:val="22"/>
                        </w:rPr>
                        <w:t>, suggesting that the compound effectively mitigates inflammation and promotes healing, especially in female subjects.</w:t>
                      </w:r>
                    </w:p>
                    <w:p w14:paraId="342DF429" w14:textId="77777777" w:rsidR="004B00DE" w:rsidRPr="008F121D" w:rsidRDefault="004B00DE" w:rsidP="008F121D">
                      <w:pPr>
                        <w:jc w:val="both"/>
                      </w:pPr>
                    </w:p>
                  </w:txbxContent>
                </v:textbox>
              </v:shape>
            </w:pict>
          </mc:Fallback>
        </mc:AlternateContent>
      </w:r>
      <w:r w:rsidRPr="00750F10">
        <w:rPr>
          <w:rFonts w:asciiTheme="majorBidi" w:hAnsiTheme="majorBidi" w:cstheme="majorBidi"/>
          <w:b/>
          <w:bCs/>
          <w:noProof/>
          <w:sz w:val="24"/>
          <w:szCs w:val="24"/>
        </w:rPr>
        <w:drawing>
          <wp:inline distT="0" distB="0" distL="0" distR="0" wp14:anchorId="2B6FE48D" wp14:editId="7E9FBEE0">
            <wp:extent cx="4413411" cy="2388711"/>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3"/>
                    <a:stretch>
                      <a:fillRect/>
                    </a:stretch>
                  </pic:blipFill>
                  <pic:spPr>
                    <a:xfrm>
                      <a:off x="0" y="0"/>
                      <a:ext cx="4418709" cy="2391578"/>
                    </a:xfrm>
                    <a:prstGeom prst="rect">
                      <a:avLst/>
                    </a:prstGeom>
                  </pic:spPr>
                </pic:pic>
              </a:graphicData>
            </a:graphic>
          </wp:inline>
        </w:drawing>
      </w:r>
    </w:p>
    <w:p w14:paraId="75DAE160" w14:textId="77777777" w:rsidR="004C277C" w:rsidRDefault="001D6D97" w:rsidP="00BF2067">
      <w:pPr>
        <w:rPr>
          <w:rFonts w:asciiTheme="majorBidi" w:hAnsiTheme="majorBidi" w:cstheme="majorBidi"/>
          <w:b/>
          <w:bCs/>
          <w:sz w:val="24"/>
          <w:szCs w:val="24"/>
          <w:rtl/>
        </w:rPr>
      </w:pPr>
      <w:r>
        <w:rPr>
          <w:rFonts w:asciiTheme="majorBidi" w:hAnsiTheme="majorBidi" w:cstheme="majorBidi"/>
          <w:b/>
          <w:bCs/>
          <w:sz w:val="24"/>
          <w:szCs w:val="24"/>
        </w:rPr>
        <w:t xml:space="preserve">  </w:t>
      </w:r>
    </w:p>
    <w:p w14:paraId="69051715" w14:textId="77777777" w:rsidR="004C277C" w:rsidRDefault="001D6D97" w:rsidP="004B00DE">
      <w:pPr>
        <w:jc w:val="center"/>
        <w:rPr>
          <w:rFonts w:asciiTheme="majorBidi" w:hAnsiTheme="majorBidi" w:cstheme="majorBidi"/>
          <w:b/>
          <w:bCs/>
          <w:sz w:val="24"/>
          <w:szCs w:val="24"/>
          <w:rtl/>
        </w:rPr>
      </w:pPr>
      <w:r>
        <w:rPr>
          <w:rFonts w:asciiTheme="majorBidi" w:hAnsiTheme="majorBidi" w:cstheme="majorBidi"/>
          <w:b/>
          <w:bCs/>
          <w:sz w:val="24"/>
          <w:szCs w:val="24"/>
        </w:rPr>
        <w:t xml:space="preserve"> </w:t>
      </w:r>
    </w:p>
    <w:p w14:paraId="03538089" w14:textId="77777777" w:rsidR="004C277C" w:rsidRDefault="001D6D97" w:rsidP="00D4480A">
      <w:pPr>
        <w:jc w:val="center"/>
        <w:rPr>
          <w:rFonts w:asciiTheme="majorBidi" w:hAnsiTheme="majorBidi" w:cstheme="majorBidi"/>
          <w:b/>
          <w:bCs/>
          <w:sz w:val="24"/>
          <w:szCs w:val="24"/>
          <w:rtl/>
        </w:rPr>
      </w:pP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516A866B" wp14:editId="7EB39833">
                <wp:simplePos x="0" y="0"/>
                <wp:positionH relativeFrom="column">
                  <wp:posOffset>-130629</wp:posOffset>
                </wp:positionH>
                <wp:positionV relativeFrom="paragraph">
                  <wp:posOffset>2160089</wp:posOffset>
                </wp:positionV>
                <wp:extent cx="6175829" cy="596900"/>
                <wp:effectExtent l="0" t="0" r="15875" b="12700"/>
                <wp:wrapNone/>
                <wp:docPr id="15" name="Text Box 15"/>
                <wp:cNvGraphicFramePr/>
                <a:graphic xmlns:a="http://schemas.openxmlformats.org/drawingml/2006/main">
                  <a:graphicData uri="http://schemas.microsoft.com/office/word/2010/wordprocessingShape">
                    <wps:wsp>
                      <wps:cNvSpPr txBox="1"/>
                      <wps:spPr>
                        <a:xfrm>
                          <a:off x="0" y="0"/>
                          <a:ext cx="6175829" cy="59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F3385C" w14:textId="77777777" w:rsidR="008F121D" w:rsidRPr="008F121D" w:rsidRDefault="001D6D97" w:rsidP="008F121D">
                            <w:pPr>
                              <w:spacing w:after="0" w:line="240" w:lineRule="auto"/>
                              <w:rPr>
                                <w:rFonts w:ascii="Times New Roman" w:eastAsia="Times New Roman" w:hAnsi="Times New Roman" w:cs="Times New Roman"/>
                              </w:rPr>
                            </w:pPr>
                            <w:r>
                              <w:rPr>
                                <w:rFonts w:ascii="Times New Roman" w:eastAsia="Times New Roman" w:hAnsi="Times New Roman" w:cs="Times New Roman"/>
                              </w:rPr>
                              <w:t>Fig</w:t>
                            </w:r>
                            <w:r w:rsidR="00750F10">
                              <w:rPr>
                                <w:rFonts w:ascii="Times New Roman" w:eastAsia="Times New Roman" w:hAnsi="Times New Roman" w:cs="Times New Roman"/>
                              </w:rPr>
                              <w:t xml:space="preserve"> 9</w:t>
                            </w:r>
                            <w:r>
                              <w:rPr>
                                <w:rFonts w:ascii="Times New Roman" w:eastAsia="Times New Roman" w:hAnsi="Times New Roman" w:cs="Times New Roman"/>
                              </w:rPr>
                              <w:t xml:space="preserve">; </w:t>
                            </w:r>
                            <w:r w:rsidRPr="008F121D">
                              <w:rPr>
                                <w:rFonts w:ascii="Times New Roman" w:eastAsia="Times New Roman" w:hAnsi="Times New Roman" w:cs="Times New Roman"/>
                              </w:rPr>
                              <w:t>Serum cytokine levels show no significant difference between treated and untreated groups, indicating localized inflammatory response and drug action in the liver, emphasizing the importance of tissue-level biomarkers.</w:t>
                            </w:r>
                          </w:p>
                          <w:p w14:paraId="14C5E0D0" w14:textId="77777777" w:rsidR="008F121D" w:rsidRPr="00E42D7F" w:rsidRDefault="008F12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6A866B" id="Text Box 15" o:spid="_x0000_s1029" type="#_x0000_t202" style="position:absolute;left:0;text-align:left;margin-left:-10.3pt;margin-top:170.1pt;width:486.3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r4jgIAAK0FAAAOAAAAZHJzL2Uyb0RvYy54bWysVFFP2zAQfp+0/2D5faQtFGhFijoQ0yQE&#10;aGXi2XXsNsKxPds06X79PjtJaRkvTHtJfHffne8+393FZVMpshHOl0bndHg0oERobopSr3L68/Hm&#10;yzklPjBdMGW0yOlWeHo5+/zporZTMTJrowrhCIJoP61tTtch2GmWeb4WFfNHxgoNozSuYgGiW2WF&#10;YzWiVyobDQanWW1cYZ3hwntor1sjnaX4Ugoe7qX0IhCVU+QW0tel7zJ+s9kFm64cs+uSd2mwf8ii&#10;YqXGpbtQ1yww8uLKv0JVJXfGGxmOuKkyI2XJRaoB1QwHb6pZrJkVqRaQ4+2OJv//wvK7zYMjZYG3&#10;G1OiWYU3ehRNIF9NQ6ACP7X1U8AWFsDQQA9sr/dQxrIb6ar4R0EEdjC93bEbo3EoT4dn4/PRhBIO&#10;23hyOhkk+rNXb+t8+CZMReIhpw6vl0hlm1sfkAmgPSRe5o0qi5tSqSTEjhFXypENw1urkHKExwFK&#10;aVIjk+PxIAU+sMXQO/+lYvw5VnkYAZLS8TqReqtLKzLUMpFOYatExCj9Q0hwmwh5J0fGudC7PBM6&#10;oiQq+ohjh3/N6iPObR3wSDcbHXbOVamNa1k6pLZ47qmVLR4k7dUdj6FZNqmpjvtGWZpii/5xpp1A&#10;b/lNCb5vmQ8PzGHk0DJYI+EeH6kMHsl0J0rWxv1+Tx/xmARYKakxwjn1v16YE5So7xozMhmenMSZ&#10;T8LJ+GwEwe1blvsW/VJdGXTOEAvL8nSM+KD6o3SmesK2mcdbYWKa4+6chv54FdrFgm3FxXyeQJhy&#10;y8KtXlgeQ0eWY589Nk/M2a7PAybkzvTDzqZv2r3FdiS3PHYCdkJq0G5/xaWzLyfU65ad/QEAAP//&#10;AwBQSwMEFAAGAAgAAAAhANgAtBTfAAAACwEAAA8AAABkcnMvZG93bnJldi54bWxMj8FOwzAQRO9I&#10;/IO1SNxaGzdUaYhTASpcOFEQZzd2bYt4HdluGv4ec6LH1T7NvGm3sx/IpGNyAQXcLRkQjX1QDo2A&#10;z4+XRQ0kZYlKDgG1gB+dYNtdX7WyUeGM73raZ0NKCKZGCrA5jw2lqbfay7QMo8byO4boZS5nNFRF&#10;eS7hfqCcsTX10mFpsHLUz1b33/uTF7B7MhvT1zLaXa2cm+av45t5FeL2Zn58AJL1nP9h+NMv6tAV&#10;p0M4oUpkELDgbF1QAauKcSCF2Nzzsu4goFpVHGjX0ssN3S8AAAD//wMAUEsBAi0AFAAGAAgAAAAh&#10;ALaDOJL+AAAA4QEAABMAAAAAAAAAAAAAAAAAAAAAAFtDb250ZW50X1R5cGVzXS54bWxQSwECLQAU&#10;AAYACAAAACEAOP0h/9YAAACUAQAACwAAAAAAAAAAAAAAAAAvAQAAX3JlbHMvLnJlbHNQSwECLQAU&#10;AAYACAAAACEAOcuq+I4CAACtBQAADgAAAAAAAAAAAAAAAAAuAgAAZHJzL2Uyb0RvYy54bWxQSwEC&#10;LQAUAAYACAAAACEA2AC0FN8AAAALAQAADwAAAAAAAAAAAAAAAADoBAAAZHJzL2Rvd25yZXYueG1s&#10;UEsFBgAAAAAEAAQA8wAAAPQFAAAAAA==&#10;" fillcolor="white [3201]" strokeweight=".5pt">
                <v:textbox>
                  <w:txbxContent>
                    <w:p w14:paraId="33F3385C" w14:textId="77777777" w:rsidR="008F121D" w:rsidRPr="008F121D" w:rsidRDefault="001D6D97" w:rsidP="008F121D">
                      <w:pPr>
                        <w:spacing w:after="0" w:line="240" w:lineRule="auto"/>
                        <w:rPr>
                          <w:rFonts w:ascii="Times New Roman" w:eastAsia="Times New Roman" w:hAnsi="Times New Roman" w:cs="Times New Roman"/>
                        </w:rPr>
                      </w:pPr>
                      <w:r>
                        <w:rPr>
                          <w:rFonts w:ascii="Times New Roman" w:eastAsia="Times New Roman" w:hAnsi="Times New Roman" w:cs="Times New Roman"/>
                        </w:rPr>
                        <w:t>Fig</w:t>
                      </w:r>
                      <w:r w:rsidR="00750F10">
                        <w:rPr>
                          <w:rFonts w:ascii="Times New Roman" w:eastAsia="Times New Roman" w:hAnsi="Times New Roman" w:cs="Times New Roman"/>
                        </w:rPr>
                        <w:t xml:space="preserve"> 9</w:t>
                      </w:r>
                      <w:r>
                        <w:rPr>
                          <w:rFonts w:ascii="Times New Roman" w:eastAsia="Times New Roman" w:hAnsi="Times New Roman" w:cs="Times New Roman"/>
                        </w:rPr>
                        <w:t xml:space="preserve">; </w:t>
                      </w:r>
                      <w:r w:rsidRPr="008F121D">
                        <w:rPr>
                          <w:rFonts w:ascii="Times New Roman" w:eastAsia="Times New Roman" w:hAnsi="Times New Roman" w:cs="Times New Roman"/>
                        </w:rPr>
                        <w:t>Serum cytokine levels show no significant difference between treated and untreated groups, indicating localized inflammatory response and drug action in the liver, emphasizing the importance of tissue-level biomarkers.</w:t>
                      </w:r>
                    </w:p>
                    <w:p w14:paraId="14C5E0D0" w14:textId="77777777" w:rsidR="008F121D" w:rsidRPr="00E42D7F" w:rsidRDefault="008F121D">
                      <w:pPr>
                        <w:rPr>
                          <w:sz w:val="20"/>
                          <w:szCs w:val="20"/>
                        </w:rPr>
                      </w:pPr>
                    </w:p>
                  </w:txbxContent>
                </v:textbox>
              </v:shape>
            </w:pict>
          </mc:Fallback>
        </mc:AlternateContent>
      </w:r>
      <w:r w:rsidRPr="00750F10">
        <w:rPr>
          <w:rFonts w:asciiTheme="majorBidi" w:hAnsiTheme="majorBidi" w:cstheme="majorBidi"/>
          <w:b/>
          <w:bCs/>
          <w:noProof/>
          <w:sz w:val="24"/>
          <w:szCs w:val="24"/>
        </w:rPr>
        <w:drawing>
          <wp:inline distT="0" distB="0" distL="0" distR="0" wp14:anchorId="4AE2DADB" wp14:editId="7BF2E6FC">
            <wp:extent cx="4069080" cy="2092257"/>
            <wp:effectExtent l="0" t="0" r="762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4"/>
                    <a:srcRect l="4730" t="28633" b="3267"/>
                    <a:stretch>
                      <a:fillRect/>
                    </a:stretch>
                  </pic:blipFill>
                  <pic:spPr bwMode="auto">
                    <a:xfrm>
                      <a:off x="0" y="0"/>
                      <a:ext cx="4081955" cy="2098877"/>
                    </a:xfrm>
                    <a:prstGeom prst="rect">
                      <a:avLst/>
                    </a:prstGeom>
                    <a:ln>
                      <a:noFill/>
                    </a:ln>
                    <a:extLst>
                      <a:ext uri="{53640926-AAD7-44D8-BBD7-CCE9431645EC}">
                        <a14:shadowObscured xmlns:a14="http://schemas.microsoft.com/office/drawing/2010/main"/>
                      </a:ext>
                    </a:extLst>
                  </pic:spPr>
                </pic:pic>
              </a:graphicData>
            </a:graphic>
          </wp:inline>
        </w:drawing>
      </w:r>
    </w:p>
    <w:p w14:paraId="3576BD92" w14:textId="77777777" w:rsidR="004C277C" w:rsidRDefault="004C277C" w:rsidP="00D4480A">
      <w:pPr>
        <w:jc w:val="center"/>
        <w:rPr>
          <w:rFonts w:asciiTheme="majorBidi" w:hAnsiTheme="majorBidi" w:cstheme="majorBidi"/>
          <w:b/>
          <w:bCs/>
          <w:sz w:val="24"/>
          <w:szCs w:val="24"/>
          <w:rtl/>
        </w:rPr>
      </w:pPr>
    </w:p>
    <w:p w14:paraId="27534D8E" w14:textId="77777777" w:rsidR="00E60169" w:rsidRDefault="001D6D97" w:rsidP="00750F10">
      <w:pPr>
        <w:rPr>
          <w:rFonts w:asciiTheme="majorBidi" w:hAnsiTheme="majorBidi" w:cstheme="majorBidi"/>
          <w:b/>
          <w:bCs/>
          <w:sz w:val="28"/>
          <w:szCs w:val="28"/>
        </w:rPr>
        <w:sectPr w:rsidR="00E60169" w:rsidSect="00576FB4">
          <w:type w:val="continuous"/>
          <w:pgSz w:w="12240" w:h="15840"/>
          <w:pgMar w:top="990" w:right="1440" w:bottom="1440" w:left="1440" w:header="720" w:footer="720" w:gutter="0"/>
          <w:cols w:space="720"/>
          <w:docGrid w:linePitch="360"/>
        </w:sectPr>
      </w:pPr>
      <w:r>
        <w:rPr>
          <w:rFonts w:asciiTheme="majorBidi" w:hAnsiTheme="majorBidi" w:cstheme="majorBidi"/>
          <w:b/>
          <w:bCs/>
          <w:sz w:val="24"/>
          <w:szCs w:val="24"/>
        </w:rPr>
        <w:t xml:space="preserve"> </w:t>
      </w:r>
    </w:p>
    <w:p w14:paraId="41D2FDF4" w14:textId="77777777" w:rsidR="00C80F26" w:rsidRDefault="001D6D97" w:rsidP="00E60169">
      <w:pPr>
        <w:jc w:val="both"/>
        <w:rPr>
          <w:rFonts w:asciiTheme="majorBidi" w:hAnsiTheme="majorBidi" w:cstheme="majorBidi"/>
          <w:b/>
          <w:bCs/>
          <w:sz w:val="28"/>
          <w:szCs w:val="28"/>
        </w:rPr>
        <w:sectPr w:rsidR="00C80F26" w:rsidSect="00C80F26">
          <w:type w:val="continuous"/>
          <w:pgSz w:w="12240" w:h="15840"/>
          <w:pgMar w:top="990" w:right="1440" w:bottom="1440" w:left="1440" w:header="720" w:footer="720" w:gutter="0"/>
          <w:cols w:space="720"/>
          <w:docGrid w:linePitch="360"/>
        </w:sectPr>
      </w:pPr>
      <w:r w:rsidRPr="00E37E9D">
        <w:rPr>
          <w:rFonts w:asciiTheme="majorBidi" w:hAnsiTheme="majorBidi" w:cstheme="majorBidi"/>
          <w:b/>
          <w:bCs/>
          <w:sz w:val="28"/>
          <w:szCs w:val="28"/>
        </w:rPr>
        <w:t>Discussion</w:t>
      </w:r>
    </w:p>
    <w:p w14:paraId="56654A6A" w14:textId="77777777" w:rsidR="00F808DF" w:rsidRPr="00F808DF" w:rsidRDefault="001D6D97"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The Fourier Transform Infrared (FTIR) spectrum confirmed the successful formation of a sulfa-drug derivative incorporating imine (C=N), sulfonamide (SO₂NH), and benzodioxole moieties. The strong absorption at 1625 cm¹, corresponding to the C=N stretch, indicates the formation of a Schiff base—a finding consistent with previous studies that synthesized similar sulfonamide-based imine derivatives (</w:t>
      </w:r>
      <w:r w:rsidR="005D68D9">
        <w:rPr>
          <w:rFonts w:ascii="Times New Roman" w:eastAsia="Times New Roman" w:hAnsi="Times New Roman" w:cs="Times New Roman"/>
          <w:sz w:val="24"/>
          <w:szCs w:val="24"/>
        </w:rPr>
        <w:t>9</w:t>
      </w:r>
      <w:r w:rsidRPr="00F808DF">
        <w:rPr>
          <w:rFonts w:ascii="Times New Roman" w:eastAsia="Times New Roman" w:hAnsi="Times New Roman" w:cs="Times New Roman"/>
          <w:sz w:val="24"/>
          <w:szCs w:val="24"/>
        </w:rPr>
        <w:t>). Additional characteristic absorptions such as S=O symmetric stretching at 1259 cm⁻¹ and C–O–C stretches of the benzodioxole ring between 1131–1081 cm⁻¹ further substantiate the proposed structure (</w:t>
      </w:r>
      <w:r w:rsidR="005D68D9">
        <w:rPr>
          <w:rFonts w:ascii="Times New Roman" w:eastAsia="Times New Roman" w:hAnsi="Times New Roman" w:cs="Times New Roman"/>
          <w:sz w:val="24"/>
          <w:szCs w:val="24"/>
        </w:rPr>
        <w:t>4</w:t>
      </w:r>
      <w:r w:rsidRPr="00F808DF">
        <w:rPr>
          <w:rFonts w:ascii="Times New Roman" w:eastAsia="Times New Roman" w:hAnsi="Times New Roman" w:cs="Times New Roman"/>
          <w:sz w:val="24"/>
          <w:szCs w:val="24"/>
        </w:rPr>
        <w:t>).</w:t>
      </w:r>
    </w:p>
    <w:p w14:paraId="06E49702" w14:textId="77777777" w:rsidR="00F808DF" w:rsidRPr="00F808DF" w:rsidRDefault="001D6D97"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 xml:space="preserve">The ¹H-NMR spectrum presented a singlet around 11.9 ppm attributed to sulfonamide N–H protons, along with aromatic proton multiplets in the 7.0–8.5 ppm range, typical for polyaromatic systems. The distinctive singlet at 6.0–6.5 ppm confirms the presence of </w:t>
      </w:r>
      <w:r w:rsidRPr="00F808DF">
        <w:rPr>
          <w:rFonts w:ascii="Times New Roman" w:eastAsia="Times New Roman" w:hAnsi="Times New Roman" w:cs="Times New Roman"/>
          <w:sz w:val="24"/>
          <w:szCs w:val="24"/>
        </w:rPr>
        <w:lastRenderedPageBreak/>
        <w:t>methylenedioxy groups. Absence of aldehydic signals in the 9–10 ppm range strongly suggests complete condensation of the aldehyde, aligning with findings reported by (</w:t>
      </w:r>
      <w:r w:rsidR="005D68D9">
        <w:rPr>
          <w:rFonts w:ascii="Times New Roman" w:eastAsia="Times New Roman" w:hAnsi="Times New Roman" w:cs="Times New Roman"/>
          <w:sz w:val="24"/>
          <w:szCs w:val="24"/>
        </w:rPr>
        <w:t>11</w:t>
      </w:r>
      <w:r w:rsidRPr="00F808DF">
        <w:rPr>
          <w:rFonts w:ascii="Times New Roman" w:eastAsia="Times New Roman" w:hAnsi="Times New Roman" w:cs="Times New Roman"/>
          <w:sz w:val="24"/>
          <w:szCs w:val="24"/>
        </w:rPr>
        <w:t>), who synthesized benzodioxole derivatives with similar substitution patterns.</w:t>
      </w:r>
    </w:p>
    <w:p w14:paraId="0A81DAAE" w14:textId="77777777" w:rsidR="00F808DF" w:rsidRPr="00F808DF" w:rsidRDefault="001D6D97"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Chemical shifts in the ¹³C-NMR spectrum corresponded well to theoretical expectations. Signals between 160–170 ppm verified the presence of imine carbons. Aromatic carbons resonated in the 120–140 ppm range, consistent with those observed in sulfa-based aromatic frameworks (</w:t>
      </w:r>
      <w:r w:rsidR="005D68D9">
        <w:rPr>
          <w:rFonts w:ascii="Times New Roman" w:eastAsia="Times New Roman" w:hAnsi="Times New Roman" w:cs="Times New Roman"/>
          <w:sz w:val="24"/>
          <w:szCs w:val="24"/>
        </w:rPr>
        <w:t>6</w:t>
      </w:r>
      <w:r w:rsidRPr="00F808DF">
        <w:rPr>
          <w:rFonts w:ascii="Times New Roman" w:eastAsia="Times New Roman" w:hAnsi="Times New Roman" w:cs="Times New Roman"/>
          <w:sz w:val="24"/>
          <w:szCs w:val="24"/>
        </w:rPr>
        <w:t>). Oxygen-linked carbons in the benzodioxole ring (90–110 ppm) and nitrogen-bound aliphatic carbons (~40 ppm) further confirmed the successful synthesis of the target compound.</w:t>
      </w:r>
    </w:p>
    <w:p w14:paraId="32AF0C78" w14:textId="77777777" w:rsidR="00F808DF" w:rsidRPr="00F808DF" w:rsidRDefault="001D6D97"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The computational ADMET profile, generated using SwissADME and pkCSM platforms, indicated high intestinal absorption (HIA+) and potential limited permeability across the blood-brain barrier (BBB), placing the molecule at the border of central nervous system availability. The compound's bioavailability radar showed acceptable values for lipophilicity, polarity, size, and flexibility—properties favorable for oral bioavailability, as discussed in earlier works on sulfa-based drugs (Lazar &amp; Protox, 2020). These results echo similar pharmacokinetic profiles seen in Piperonal and sulfapyridine hybrid compounds (</w:t>
      </w:r>
      <w:r w:rsidR="005D68D9">
        <w:rPr>
          <w:rFonts w:ascii="Times New Roman" w:eastAsia="Times New Roman" w:hAnsi="Times New Roman" w:cs="Times New Roman"/>
          <w:sz w:val="24"/>
          <w:szCs w:val="24"/>
        </w:rPr>
        <w:t>11</w:t>
      </w:r>
      <w:r w:rsidRPr="00F808DF">
        <w:rPr>
          <w:rFonts w:ascii="Times New Roman" w:eastAsia="Times New Roman" w:hAnsi="Times New Roman" w:cs="Times New Roman"/>
          <w:sz w:val="24"/>
          <w:szCs w:val="24"/>
        </w:rPr>
        <w:t>).</w:t>
      </w:r>
    </w:p>
    <w:p w14:paraId="007E2779" w14:textId="77777777" w:rsidR="00C80F26" w:rsidRDefault="001D6D97" w:rsidP="00C80F26">
      <w:pPr>
        <w:spacing w:before="100" w:beforeAutospacing="1" w:after="100" w:afterAutospacing="1" w:line="240" w:lineRule="auto"/>
        <w:jc w:val="both"/>
        <w:rPr>
          <w:rFonts w:ascii="Times New Roman" w:eastAsia="Times New Roman" w:hAnsi="Times New Roman" w:cs="Times New Roman"/>
          <w:sz w:val="24"/>
          <w:szCs w:val="24"/>
        </w:rPr>
        <w:sectPr w:rsidR="00C80F26" w:rsidSect="00EF67C9">
          <w:type w:val="continuous"/>
          <w:pgSz w:w="12240" w:h="15840"/>
          <w:pgMar w:top="990" w:right="1440" w:bottom="1440" w:left="1440" w:header="720" w:footer="720" w:gutter="0"/>
          <w:cols w:space="720"/>
          <w:docGrid w:linePitch="360"/>
        </w:sectPr>
      </w:pPr>
      <w:r w:rsidRPr="00F808DF">
        <w:rPr>
          <w:rFonts w:ascii="Times New Roman" w:eastAsia="Times New Roman" w:hAnsi="Times New Roman" w:cs="Times New Roman"/>
          <w:sz w:val="24"/>
          <w:szCs w:val="24"/>
        </w:rPr>
        <w:t xml:space="preserve">The favorable ADMET characteristics, including non-inhibition of key CYP450 enzymes and lack of acute toxicity in in silico models, support the compound's potential as a low-risk therapeutic candidate. These predictions are in line with prior assessments of sulfonamide derivatives, which demonstrated suitable </w:t>
      </w:r>
    </w:p>
    <w:p w14:paraId="02BCF233" w14:textId="77777777" w:rsidR="005D68D9" w:rsidRDefault="001D6D97"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absorption and metabolism without significant systemic toxicity (</w:t>
      </w:r>
      <w:r>
        <w:rPr>
          <w:rFonts w:ascii="Times New Roman" w:eastAsia="Times New Roman" w:hAnsi="Times New Roman" w:cs="Times New Roman"/>
          <w:sz w:val="24"/>
          <w:szCs w:val="24"/>
        </w:rPr>
        <w:t>4)</w:t>
      </w:r>
    </w:p>
    <w:p w14:paraId="25A44C92" w14:textId="77777777" w:rsidR="00E60169" w:rsidRPr="00E60169" w:rsidRDefault="001D6D97" w:rsidP="005D68D9">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 xml:space="preserve">IL-6 is a key pro-inflammatory cytokine involved in acute and chronic inflammatory responses. In the present study, </w:t>
      </w:r>
      <w:r w:rsidRPr="005D68D9">
        <w:rPr>
          <w:rFonts w:ascii="Times New Roman" w:eastAsia="Times New Roman" w:hAnsi="Times New Roman" w:cs="Times New Roman"/>
          <w:sz w:val="24"/>
          <w:szCs w:val="24"/>
        </w:rPr>
        <w:t>cypermethrin exposure led to elevated IL-6 levels</w:t>
      </w:r>
      <w:r w:rsidRPr="00E60169">
        <w:rPr>
          <w:rFonts w:ascii="Times New Roman" w:eastAsia="Times New Roman" w:hAnsi="Times New Roman" w:cs="Times New Roman"/>
          <w:sz w:val="24"/>
          <w:szCs w:val="24"/>
        </w:rPr>
        <w:t>, particularly in female pigeons, while treatment with the synthesized sulfa-drug derivative significantly reduced these levels in liver tissue, indicating suppression of inflammation at the local tissue level.</w:t>
      </w:r>
    </w:p>
    <w:p w14:paraId="2B1A4B4D" w14:textId="77777777" w:rsidR="00C80F26" w:rsidRDefault="001D6D97" w:rsidP="00DD35B5">
      <w:pPr>
        <w:spacing w:before="100" w:beforeAutospacing="1" w:after="100" w:afterAutospacing="1" w:line="240" w:lineRule="auto"/>
        <w:jc w:val="both"/>
        <w:rPr>
          <w:rFonts w:ascii="Times New Roman" w:eastAsia="Times New Roman" w:hAnsi="Times New Roman" w:cs="Times New Roman"/>
          <w:sz w:val="24"/>
          <w:szCs w:val="24"/>
        </w:rPr>
        <w:sectPr w:rsidR="00C80F26" w:rsidSect="00EF67C9">
          <w:type w:val="continuous"/>
          <w:pgSz w:w="12240" w:h="15840"/>
          <w:pgMar w:top="990" w:right="1440" w:bottom="1440" w:left="1440" w:header="720" w:footer="720" w:gutter="0"/>
          <w:cols w:space="720"/>
          <w:docGrid w:linePitch="360"/>
        </w:sectPr>
      </w:pPr>
      <w:r w:rsidRPr="00E60169">
        <w:rPr>
          <w:rFonts w:ascii="Times New Roman" w:eastAsia="Times New Roman" w:hAnsi="Times New Roman" w:cs="Times New Roman"/>
          <w:sz w:val="24"/>
          <w:szCs w:val="24"/>
        </w:rPr>
        <w:t>These results align with previous findings where IL-6 was found to be markedly upregulated following exposure to environmental toxins such as pesticides (</w:t>
      </w:r>
      <w:r w:rsidR="00DD35B5">
        <w:rPr>
          <w:rFonts w:ascii="Times New Roman" w:eastAsia="Times New Roman" w:hAnsi="Times New Roman" w:cs="Times New Roman"/>
          <w:sz w:val="24"/>
          <w:szCs w:val="24"/>
        </w:rPr>
        <w:t>12and 13</w:t>
      </w:r>
      <w:r w:rsidRPr="00E60169">
        <w:rPr>
          <w:rFonts w:ascii="Times New Roman" w:eastAsia="Times New Roman" w:hAnsi="Times New Roman" w:cs="Times New Roman"/>
          <w:sz w:val="24"/>
          <w:szCs w:val="24"/>
        </w:rPr>
        <w:t xml:space="preserve">). Moreover, the sex-related difference observed—higher IL-6 levels in females—correlates </w:t>
      </w:r>
    </w:p>
    <w:p w14:paraId="2AC79464" w14:textId="77777777" w:rsidR="00E60169" w:rsidRPr="00E60169" w:rsidRDefault="001D6D97" w:rsidP="00734D6A">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With hormonal influences, estrogen has been shown to enhance IL-6 expression, while testosterone exhibits suppressive effects on pro-inflammatory signaling (</w:t>
      </w:r>
      <w:r w:rsidR="00734D6A">
        <w:rPr>
          <w:rFonts w:ascii="Times New Roman" w:eastAsia="Times New Roman" w:hAnsi="Times New Roman" w:cs="Times New Roman"/>
          <w:sz w:val="24"/>
          <w:szCs w:val="24"/>
        </w:rPr>
        <w:t>14</w:t>
      </w:r>
      <w:r w:rsidRPr="00E60169">
        <w:rPr>
          <w:rFonts w:ascii="Times New Roman" w:eastAsia="Times New Roman" w:hAnsi="Times New Roman" w:cs="Times New Roman"/>
          <w:sz w:val="24"/>
          <w:szCs w:val="24"/>
        </w:rPr>
        <w:t>).</w:t>
      </w:r>
    </w:p>
    <w:p w14:paraId="45948021" w14:textId="77777777" w:rsidR="00E60169" w:rsidRPr="00E60169" w:rsidRDefault="001D6D97" w:rsidP="00DD35B5">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The reduction in IL-6 levels following sulfa-derivative administration mirrors the anti-inflammatory effects observed in earlier research on sulfonamide derivatives, which demonstrated the ability to attenuate cytokine storms and oxidative stress in animal models (</w:t>
      </w:r>
      <w:r w:rsidR="00DD35B5">
        <w:rPr>
          <w:rFonts w:ascii="Times New Roman" w:eastAsia="Times New Roman" w:hAnsi="Times New Roman" w:cs="Times New Roman"/>
          <w:sz w:val="24"/>
          <w:szCs w:val="24"/>
        </w:rPr>
        <w:t>6</w:t>
      </w:r>
      <w:r w:rsidRPr="00E60169">
        <w:rPr>
          <w:rFonts w:ascii="Times New Roman" w:eastAsia="Times New Roman" w:hAnsi="Times New Roman" w:cs="Times New Roman"/>
          <w:sz w:val="24"/>
          <w:szCs w:val="24"/>
        </w:rPr>
        <w:t>).</w:t>
      </w:r>
    </w:p>
    <w:p w14:paraId="6D04523B" w14:textId="77777777" w:rsidR="00E60169" w:rsidRPr="00E60169" w:rsidRDefault="001D6D97" w:rsidP="00E60169">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 xml:space="preserve">IL-10 acts as an anti-inflammatory cytokine, promoting immune tolerance and tissue healing. The current study recorded </w:t>
      </w:r>
      <w:r w:rsidRPr="00C80F26">
        <w:rPr>
          <w:rFonts w:ascii="Times New Roman" w:eastAsia="Times New Roman" w:hAnsi="Times New Roman" w:cs="Times New Roman"/>
          <w:sz w:val="24"/>
          <w:szCs w:val="24"/>
        </w:rPr>
        <w:t>significantly elevated IL-10 levels in the liver tissues of pigeons treated with the sulfa-drug derivative</w:t>
      </w:r>
      <w:r w:rsidRPr="00E60169">
        <w:rPr>
          <w:rFonts w:ascii="Times New Roman" w:eastAsia="Times New Roman" w:hAnsi="Times New Roman" w:cs="Times New Roman"/>
          <w:sz w:val="24"/>
          <w:szCs w:val="24"/>
        </w:rPr>
        <w:t>, compared to both control and cypermethrin-only groups. This indicates an immunomodulatory effect promoting the resolution of inflammation and tissue repair.</w:t>
      </w:r>
    </w:p>
    <w:p w14:paraId="59D39AAB" w14:textId="77777777" w:rsidR="00E60169" w:rsidRPr="00E60169" w:rsidRDefault="001D6D97" w:rsidP="00734D6A">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lastRenderedPageBreak/>
        <w:t>These observations are consistent with prior findings by</w:t>
      </w:r>
      <w:r w:rsidR="00734D6A">
        <w:rPr>
          <w:rFonts w:ascii="Times New Roman" w:eastAsia="Times New Roman" w:hAnsi="Times New Roman" w:cs="Times New Roman"/>
          <w:sz w:val="24"/>
          <w:szCs w:val="24"/>
        </w:rPr>
        <w:t xml:space="preserve"> (4</w:t>
      </w:r>
      <w:r w:rsidRPr="00E60169">
        <w:rPr>
          <w:rFonts w:ascii="Times New Roman" w:eastAsia="Times New Roman" w:hAnsi="Times New Roman" w:cs="Times New Roman"/>
          <w:sz w:val="24"/>
          <w:szCs w:val="24"/>
        </w:rPr>
        <w:t>), who emphasized the immune-balancing properties of sulfa-based agents in reducing inflammation while enhancing protective immune responses. Additionally, elevated IL-10 in female birds also corresponds to findings in immunology that suggest estrogen enhances IL-10 transcription via ER-mediated pathways (</w:t>
      </w:r>
      <w:r w:rsidR="00DD35B5">
        <w:rPr>
          <w:rFonts w:ascii="Times New Roman" w:eastAsia="Times New Roman" w:hAnsi="Times New Roman" w:cs="Times New Roman"/>
          <w:sz w:val="24"/>
          <w:szCs w:val="24"/>
        </w:rPr>
        <w:t>15</w:t>
      </w:r>
      <w:r w:rsidRPr="00E60169">
        <w:rPr>
          <w:rFonts w:ascii="Times New Roman" w:eastAsia="Times New Roman" w:hAnsi="Times New Roman" w:cs="Times New Roman"/>
          <w:sz w:val="24"/>
          <w:szCs w:val="24"/>
        </w:rPr>
        <w:t>).</w:t>
      </w:r>
    </w:p>
    <w:p w14:paraId="25E16811" w14:textId="77777777" w:rsidR="00E60169" w:rsidRPr="00E60169" w:rsidRDefault="001D6D97" w:rsidP="0027509B">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 xml:space="preserve">However, it's notable that </w:t>
      </w:r>
      <w:r w:rsidRPr="00C80F26">
        <w:rPr>
          <w:rFonts w:ascii="Times New Roman" w:eastAsia="Times New Roman" w:hAnsi="Times New Roman" w:cs="Times New Roman"/>
          <w:sz w:val="24"/>
          <w:szCs w:val="24"/>
        </w:rPr>
        <w:t>serum IL-6 and IL-10 levels did not reflect significant</w:t>
      </w:r>
      <w:r w:rsidRPr="00E60169">
        <w:rPr>
          <w:rFonts w:ascii="Times New Roman" w:eastAsia="Times New Roman" w:hAnsi="Times New Roman" w:cs="Times New Roman"/>
          <w:b/>
          <w:bCs/>
          <w:sz w:val="24"/>
          <w:szCs w:val="24"/>
        </w:rPr>
        <w:t xml:space="preserve"> </w:t>
      </w:r>
      <w:r w:rsidRPr="00DD35B5">
        <w:rPr>
          <w:rFonts w:ascii="Times New Roman" w:eastAsia="Times New Roman" w:hAnsi="Times New Roman" w:cs="Times New Roman"/>
          <w:sz w:val="24"/>
          <w:szCs w:val="24"/>
        </w:rPr>
        <w:t>changes,</w:t>
      </w:r>
      <w:r w:rsidRPr="00E60169">
        <w:rPr>
          <w:rFonts w:ascii="Times New Roman" w:eastAsia="Times New Roman" w:hAnsi="Times New Roman" w:cs="Times New Roman"/>
          <w:sz w:val="24"/>
          <w:szCs w:val="24"/>
        </w:rPr>
        <w:t xml:space="preserve"> likely due to the localized nature of inflammation and the compound's tissue-specific effects. This is supported by</w:t>
      </w:r>
      <w:r w:rsidR="00DD35B5">
        <w:rPr>
          <w:rFonts w:ascii="Times New Roman" w:eastAsia="Times New Roman" w:hAnsi="Times New Roman" w:cs="Times New Roman"/>
          <w:sz w:val="24"/>
          <w:szCs w:val="24"/>
        </w:rPr>
        <w:t>(16</w:t>
      </w:r>
      <w:r w:rsidRPr="00E60169">
        <w:rPr>
          <w:rFonts w:ascii="Times New Roman" w:eastAsia="Times New Roman" w:hAnsi="Times New Roman" w:cs="Times New Roman"/>
          <w:sz w:val="24"/>
          <w:szCs w:val="24"/>
        </w:rPr>
        <w:t xml:space="preserve">), who emphasized that serum cytokine concentrations may not reliably indicate localized tissue-level immune activity, especially in acute pesticide-induced </w:t>
      </w:r>
      <w:r w:rsidR="0027509B">
        <w:rPr>
          <w:rFonts w:ascii="Times New Roman" w:eastAsia="Times New Roman" w:hAnsi="Times New Roman" w:cs="Times New Roman"/>
          <w:sz w:val="24"/>
          <w:szCs w:val="24"/>
        </w:rPr>
        <w:t>conditions.</w:t>
      </w:r>
    </w:p>
    <w:p w14:paraId="536214C3" w14:textId="77777777" w:rsidR="004C277C" w:rsidRDefault="001D6D97" w:rsidP="00E60169">
      <w:pPr>
        <w:jc w:val="both"/>
        <w:rPr>
          <w:rFonts w:asciiTheme="majorBidi" w:hAnsiTheme="majorBidi" w:cstheme="majorBidi"/>
          <w:b/>
          <w:bCs/>
          <w:sz w:val="28"/>
          <w:szCs w:val="28"/>
        </w:rPr>
      </w:pPr>
      <w:r w:rsidRPr="00EC7937">
        <w:rPr>
          <w:rFonts w:asciiTheme="majorBidi" w:hAnsiTheme="majorBidi" w:cstheme="majorBidi"/>
          <w:b/>
          <w:bCs/>
          <w:sz w:val="28"/>
          <w:szCs w:val="28"/>
        </w:rPr>
        <w:t>Conclusion</w:t>
      </w:r>
    </w:p>
    <w:p w14:paraId="74C36CB4" w14:textId="77777777" w:rsidR="00C80F26" w:rsidRDefault="001D6D97" w:rsidP="00E60169">
      <w:pPr>
        <w:jc w:val="both"/>
        <w:rPr>
          <w:rFonts w:asciiTheme="majorBidi" w:hAnsiTheme="majorBidi" w:cstheme="majorBidi"/>
          <w:sz w:val="24"/>
          <w:szCs w:val="24"/>
        </w:rPr>
        <w:sectPr w:rsidR="00C80F26" w:rsidSect="00EF67C9">
          <w:type w:val="continuous"/>
          <w:pgSz w:w="12240" w:h="15840"/>
          <w:pgMar w:top="990" w:right="1440" w:bottom="1440" w:left="1440" w:header="720" w:footer="720" w:gutter="0"/>
          <w:cols w:space="720"/>
          <w:docGrid w:linePitch="360"/>
        </w:sectPr>
      </w:pPr>
      <w:r>
        <w:rPr>
          <w:rFonts w:asciiTheme="majorBidi" w:hAnsiTheme="majorBidi" w:cstheme="majorBidi"/>
          <w:sz w:val="24"/>
          <w:szCs w:val="24"/>
        </w:rPr>
        <w:t>T</w:t>
      </w:r>
      <w:r w:rsidRPr="00F60562">
        <w:rPr>
          <w:rFonts w:asciiTheme="majorBidi" w:hAnsiTheme="majorBidi" w:cstheme="majorBidi"/>
          <w:sz w:val="24"/>
          <w:szCs w:val="24"/>
        </w:rPr>
        <w:t xml:space="preserve">his study successfully synthesized and evaluated a novel sulfa-drug derivative for its ability to counteract cypermethrin toxicity in domestic pigeons. Computational ADMET analysis revealed favorable pharmacokinetic properties and low predicted toxicity. In vivo results demonstrated the compound's therapeutic potential through improved survival rates, reduced levels of the pro-inflammatory cytokine IL-6, and increased levels of the anti-inflammatory cytokine IL-10. These findings underscore the value </w:t>
      </w:r>
    </w:p>
    <w:p w14:paraId="082E3CDD" w14:textId="77777777" w:rsidR="00B92AA6" w:rsidRDefault="001D6D97" w:rsidP="00E60169">
      <w:pPr>
        <w:jc w:val="both"/>
        <w:rPr>
          <w:rFonts w:asciiTheme="majorBidi" w:hAnsiTheme="majorBidi" w:cstheme="majorBidi"/>
          <w:sz w:val="24"/>
          <w:szCs w:val="24"/>
        </w:rPr>
      </w:pPr>
      <w:r w:rsidRPr="00F60562">
        <w:rPr>
          <w:rFonts w:asciiTheme="majorBidi" w:hAnsiTheme="majorBidi" w:cstheme="majorBidi"/>
          <w:sz w:val="24"/>
          <w:szCs w:val="24"/>
        </w:rPr>
        <w:t>of integrating synthetic chemistry, computational modeling, and animal studies in the development of novel veterinary therapeutics for pesticide poisoning.</w:t>
      </w:r>
    </w:p>
    <w:p w14:paraId="70E1AD58" w14:textId="77777777" w:rsidR="00C80F26" w:rsidRDefault="00C80F26" w:rsidP="00E60169">
      <w:pPr>
        <w:jc w:val="both"/>
        <w:rPr>
          <w:rFonts w:asciiTheme="majorBidi" w:hAnsiTheme="majorBidi" w:cstheme="majorBidi"/>
          <w:sz w:val="24"/>
          <w:szCs w:val="24"/>
        </w:rPr>
        <w:sectPr w:rsidR="00C80F26" w:rsidSect="00EF67C9">
          <w:type w:val="continuous"/>
          <w:pgSz w:w="12240" w:h="15840"/>
          <w:pgMar w:top="990" w:right="1440" w:bottom="1440" w:left="1440" w:header="720" w:footer="720" w:gutter="0"/>
          <w:cols w:space="720"/>
          <w:docGrid w:linePitch="360"/>
        </w:sectPr>
      </w:pPr>
    </w:p>
    <w:p w14:paraId="1CC3F89D" w14:textId="77777777" w:rsidR="00DD35B5" w:rsidRDefault="00DD35B5" w:rsidP="00E60169">
      <w:pPr>
        <w:jc w:val="both"/>
        <w:rPr>
          <w:rFonts w:asciiTheme="majorBidi" w:hAnsiTheme="majorBidi" w:cstheme="majorBidi"/>
          <w:sz w:val="24"/>
          <w:szCs w:val="24"/>
        </w:rPr>
      </w:pPr>
    </w:p>
    <w:p w14:paraId="25256B64" w14:textId="77777777" w:rsidR="00E60169" w:rsidRPr="005B102A" w:rsidRDefault="00E60169" w:rsidP="00E60169">
      <w:pPr>
        <w:jc w:val="both"/>
        <w:rPr>
          <w:rFonts w:asciiTheme="majorBidi" w:hAnsiTheme="majorBidi" w:cstheme="majorBidi"/>
          <w:sz w:val="24"/>
          <w:szCs w:val="24"/>
        </w:rPr>
      </w:pPr>
    </w:p>
    <w:p w14:paraId="27959254" w14:textId="77777777" w:rsidR="002A7ECF" w:rsidRPr="00454704" w:rsidRDefault="001D6D97" w:rsidP="00E60169">
      <w:pPr>
        <w:jc w:val="both"/>
        <w:rPr>
          <w:rFonts w:asciiTheme="majorBidi" w:hAnsiTheme="majorBidi" w:cstheme="majorBidi"/>
          <w:b/>
          <w:bCs/>
          <w:sz w:val="32"/>
          <w:szCs w:val="32"/>
        </w:rPr>
      </w:pPr>
      <w:r w:rsidRPr="00454704">
        <w:rPr>
          <w:rFonts w:asciiTheme="majorBidi" w:hAnsiTheme="majorBidi" w:cstheme="majorBidi"/>
          <w:b/>
          <w:bCs/>
          <w:sz w:val="32"/>
          <w:szCs w:val="32"/>
        </w:rPr>
        <w:t>References</w:t>
      </w:r>
    </w:p>
    <w:p w14:paraId="301B606E" w14:textId="77777777" w:rsidR="00B9672F" w:rsidRPr="00E37E9D" w:rsidRDefault="001D6D97" w:rsidP="00B9672F">
      <w:pPr>
        <w:rPr>
          <w:rFonts w:asciiTheme="majorBidi" w:hAnsiTheme="majorBidi" w:cstheme="majorBidi"/>
          <w:sz w:val="24"/>
          <w:szCs w:val="24"/>
        </w:rPr>
      </w:pPr>
      <w:r w:rsidRPr="00E37E9D">
        <w:rPr>
          <w:rFonts w:asciiTheme="majorBidi" w:hAnsiTheme="majorBidi" w:cstheme="majorBidi"/>
          <w:b/>
          <w:bCs/>
          <w:sz w:val="24"/>
          <w:szCs w:val="24"/>
        </w:rPr>
        <w:t>1.</w:t>
      </w:r>
      <w:r w:rsidRPr="00E37E9D">
        <w:rPr>
          <w:sz w:val="20"/>
          <w:szCs w:val="20"/>
        </w:rPr>
        <w:t xml:space="preserve"> </w:t>
      </w:r>
      <w:r w:rsidRPr="00E37E9D">
        <w:rPr>
          <w:rFonts w:asciiTheme="majorBidi" w:hAnsiTheme="majorBidi" w:cstheme="majorBidi"/>
          <w:sz w:val="24"/>
          <w:szCs w:val="24"/>
        </w:rPr>
        <w:t xml:space="preserve">Al-Barwari, S. &amp; Saeed, I. (2012). The Parasitic Communities of the Rock Pigeon *Columba </w:t>
      </w:r>
      <w:r>
        <w:rPr>
          <w:rFonts w:asciiTheme="majorBidi" w:hAnsiTheme="majorBidi" w:cstheme="majorBidi"/>
          <w:sz w:val="24"/>
          <w:szCs w:val="24"/>
        </w:rPr>
        <w:t>livia* from Iraq: Component and</w:t>
      </w:r>
      <w:r w:rsidRPr="00B9672F">
        <w:rPr>
          <w:rFonts w:asciiTheme="majorBidi" w:hAnsiTheme="majorBidi" w:cstheme="majorBidi"/>
          <w:sz w:val="24"/>
          <w:szCs w:val="24"/>
        </w:rPr>
        <w:t xml:space="preserve"> </w:t>
      </w:r>
      <w:r w:rsidRPr="00E37E9D">
        <w:rPr>
          <w:rFonts w:asciiTheme="majorBidi" w:hAnsiTheme="majorBidi" w:cstheme="majorBidi"/>
          <w:sz w:val="24"/>
          <w:szCs w:val="24"/>
        </w:rPr>
        <w:t>Importance. Turkiye Parazitol Derg ;36(4):232-239</w:t>
      </w:r>
    </w:p>
    <w:p w14:paraId="254F337B" w14:textId="77777777" w:rsidR="00C80F26" w:rsidRDefault="00C80F26" w:rsidP="00B9672F">
      <w:pPr>
        <w:rPr>
          <w:rFonts w:asciiTheme="majorBidi" w:hAnsiTheme="majorBidi" w:cstheme="majorBidi"/>
          <w:sz w:val="24"/>
          <w:szCs w:val="24"/>
        </w:rPr>
        <w:sectPr w:rsidR="00C80F26" w:rsidSect="00C80F26">
          <w:type w:val="continuous"/>
          <w:pgSz w:w="12240" w:h="15840"/>
          <w:pgMar w:top="990" w:right="1440" w:bottom="1440" w:left="1440" w:header="720" w:footer="720" w:gutter="0"/>
          <w:cols w:space="720"/>
          <w:docGrid w:linePitch="360"/>
        </w:sectPr>
      </w:pPr>
    </w:p>
    <w:p w14:paraId="6A76AF27" w14:textId="77777777" w:rsidR="002A7ECF" w:rsidRPr="00E37E9D" w:rsidRDefault="001D6D97" w:rsidP="002A7ECF">
      <w:pPr>
        <w:jc w:val="both"/>
        <w:rPr>
          <w:rFonts w:asciiTheme="majorBidi" w:hAnsiTheme="majorBidi" w:cstheme="majorBidi"/>
          <w:sz w:val="24"/>
          <w:szCs w:val="24"/>
        </w:rPr>
      </w:pPr>
      <w:r>
        <w:rPr>
          <w:rFonts w:asciiTheme="majorBidi" w:hAnsiTheme="majorBidi" w:cstheme="majorBidi"/>
          <w:b/>
          <w:bCs/>
          <w:sz w:val="24"/>
          <w:szCs w:val="24"/>
        </w:rPr>
        <w:t>2</w:t>
      </w:r>
      <w:r w:rsidR="006E4FB4" w:rsidRPr="00E37E9D">
        <w:rPr>
          <w:rFonts w:asciiTheme="majorBidi" w:hAnsiTheme="majorBidi" w:cstheme="majorBidi"/>
          <w:b/>
          <w:bCs/>
          <w:sz w:val="24"/>
          <w:szCs w:val="24"/>
        </w:rPr>
        <w:t>.</w:t>
      </w:r>
      <w:r w:rsidR="006E4FB4" w:rsidRPr="00E37E9D">
        <w:rPr>
          <w:sz w:val="20"/>
          <w:szCs w:val="20"/>
        </w:rPr>
        <w:t xml:space="preserve"> </w:t>
      </w:r>
      <w:r w:rsidR="006E4FB4" w:rsidRPr="00E37E9D">
        <w:rPr>
          <w:rFonts w:asciiTheme="majorBidi" w:hAnsiTheme="majorBidi" w:cstheme="majorBidi"/>
          <w:sz w:val="24"/>
          <w:szCs w:val="24"/>
        </w:rPr>
        <w:t>Chourasiya, S., &amp; Mahobiya, P. (2022). Toxicology and Mode of Action of Cypermethrin. Department of Zoology, University of Sagar, (M.P.), India</w:t>
      </w:r>
    </w:p>
    <w:p w14:paraId="662A5138" w14:textId="77777777" w:rsidR="002A7ECF" w:rsidRDefault="001D6D97" w:rsidP="002A7ECF">
      <w:pPr>
        <w:jc w:val="both"/>
        <w:rPr>
          <w:rFonts w:asciiTheme="majorBidi" w:hAnsiTheme="majorBidi" w:cstheme="majorBidi"/>
          <w:sz w:val="24"/>
          <w:szCs w:val="24"/>
        </w:rPr>
      </w:pPr>
      <w:r>
        <w:rPr>
          <w:rFonts w:asciiTheme="majorBidi" w:hAnsiTheme="majorBidi" w:cstheme="majorBidi"/>
          <w:b/>
          <w:bCs/>
          <w:sz w:val="24"/>
          <w:szCs w:val="24"/>
        </w:rPr>
        <w:t>3</w:t>
      </w:r>
      <w:r w:rsidR="006E4FB4" w:rsidRPr="00E37E9D">
        <w:rPr>
          <w:rFonts w:asciiTheme="majorBidi" w:hAnsiTheme="majorBidi" w:cstheme="majorBidi"/>
          <w:b/>
          <w:bCs/>
          <w:sz w:val="24"/>
          <w:szCs w:val="24"/>
        </w:rPr>
        <w:t>.</w:t>
      </w:r>
      <w:r w:rsidR="006E4FB4" w:rsidRPr="00E37E9D">
        <w:rPr>
          <w:sz w:val="20"/>
          <w:szCs w:val="20"/>
        </w:rPr>
        <w:t xml:space="preserve"> </w:t>
      </w:r>
      <w:r w:rsidR="006E4FB4" w:rsidRPr="00E37E9D">
        <w:rPr>
          <w:rFonts w:asciiTheme="majorBidi" w:hAnsiTheme="majorBidi" w:cstheme="majorBidi"/>
          <w:sz w:val="24"/>
          <w:szCs w:val="24"/>
        </w:rPr>
        <w:t>Velisek, J., Wlasow, T., &amp; P.(2006) . Effects of Cypermethrin on Rainbow Trout (Oncorhynchus mykiss). Veterinarni Medicina, 51, (10): 469–476</w:t>
      </w:r>
    </w:p>
    <w:p w14:paraId="007ABA53" w14:textId="77777777" w:rsidR="006F204E" w:rsidRPr="00E37E9D" w:rsidRDefault="001D6D97" w:rsidP="006F204E">
      <w:pPr>
        <w:jc w:val="both"/>
        <w:rPr>
          <w:rFonts w:asciiTheme="majorBidi" w:hAnsiTheme="majorBidi" w:cstheme="majorBidi"/>
          <w:sz w:val="24"/>
          <w:szCs w:val="24"/>
        </w:rPr>
      </w:pPr>
      <w:r>
        <w:rPr>
          <w:rFonts w:asciiTheme="majorBidi" w:hAnsiTheme="majorBidi" w:cstheme="majorBidi"/>
          <w:b/>
          <w:bCs/>
          <w:sz w:val="24"/>
          <w:szCs w:val="24"/>
        </w:rPr>
        <w:t>4</w:t>
      </w:r>
      <w:r w:rsidRPr="00E37E9D">
        <w:rPr>
          <w:rFonts w:asciiTheme="majorBidi" w:hAnsiTheme="majorBidi" w:cstheme="majorBidi"/>
          <w:b/>
          <w:bCs/>
          <w:sz w:val="24"/>
          <w:szCs w:val="24"/>
        </w:rPr>
        <w:t>.</w:t>
      </w:r>
      <w:r w:rsidRPr="00E37E9D">
        <w:rPr>
          <w:sz w:val="20"/>
          <w:szCs w:val="20"/>
        </w:rPr>
        <w:t xml:space="preserve"> </w:t>
      </w:r>
      <w:r w:rsidRPr="00E37E9D">
        <w:rPr>
          <w:rFonts w:asciiTheme="majorBidi" w:hAnsiTheme="majorBidi" w:cstheme="majorBidi"/>
          <w:sz w:val="24"/>
          <w:szCs w:val="24"/>
        </w:rPr>
        <w:t>Mohammed, S. J., Azzam, A. A., &amp; Al-Hadedi, S. A. (2022). The Role of Sulfa Drugs in Our Lives. Rafidain Journal of Science. Vol. 31, No.3, pp.64-74.</w:t>
      </w:r>
    </w:p>
    <w:p w14:paraId="7F4AA19E" w14:textId="77777777" w:rsidR="002A7ECF" w:rsidRPr="00E37E9D" w:rsidRDefault="001D6D97" w:rsidP="002A7ECF">
      <w:pPr>
        <w:jc w:val="both"/>
        <w:rPr>
          <w:rFonts w:asciiTheme="majorBidi" w:hAnsiTheme="majorBidi" w:cstheme="majorBidi"/>
          <w:sz w:val="24"/>
          <w:szCs w:val="24"/>
        </w:rPr>
      </w:pPr>
      <w:r>
        <w:rPr>
          <w:rFonts w:asciiTheme="majorBidi" w:hAnsiTheme="majorBidi" w:cstheme="majorBidi"/>
          <w:b/>
          <w:bCs/>
          <w:sz w:val="24"/>
          <w:szCs w:val="24"/>
        </w:rPr>
        <w:t>5</w:t>
      </w:r>
      <w:r w:rsidR="006E4FB4" w:rsidRPr="00E37E9D">
        <w:rPr>
          <w:rFonts w:asciiTheme="majorBidi" w:hAnsiTheme="majorBidi" w:cstheme="majorBidi"/>
          <w:b/>
          <w:bCs/>
          <w:sz w:val="24"/>
          <w:szCs w:val="24"/>
        </w:rPr>
        <w:t>.</w:t>
      </w:r>
      <w:r w:rsidR="006E4FB4" w:rsidRPr="00E37E9D">
        <w:rPr>
          <w:sz w:val="20"/>
          <w:szCs w:val="20"/>
        </w:rPr>
        <w:t xml:space="preserve"> </w:t>
      </w:r>
      <w:r w:rsidR="006E4FB4" w:rsidRPr="00E37E9D">
        <w:rPr>
          <w:rFonts w:asciiTheme="majorBidi" w:hAnsiTheme="majorBidi" w:cstheme="majorBidi"/>
          <w:sz w:val="24"/>
          <w:szCs w:val="24"/>
        </w:rPr>
        <w:t>Kiser, J. S., Waters, M. K., Wirshup, M. I., &amp; Bottorff, C. A. (1946). Sulfonamide Blood Concentrations in Chickens and Turkey Poults. *Volume 27, Issue 2*, 1 March 1948, Pages 219-222.</w:t>
      </w:r>
    </w:p>
    <w:p w14:paraId="6D2735B0" w14:textId="77777777" w:rsidR="002A7ECF" w:rsidRDefault="001D6D97" w:rsidP="002A7ECF">
      <w:pPr>
        <w:jc w:val="both"/>
        <w:rPr>
          <w:rFonts w:asciiTheme="majorBidi" w:hAnsiTheme="majorBidi" w:cstheme="majorBidi"/>
          <w:sz w:val="24"/>
          <w:szCs w:val="24"/>
        </w:rPr>
      </w:pPr>
      <w:r>
        <w:rPr>
          <w:rFonts w:asciiTheme="majorBidi" w:hAnsiTheme="majorBidi" w:cstheme="majorBidi"/>
          <w:b/>
          <w:bCs/>
          <w:sz w:val="24"/>
          <w:szCs w:val="24"/>
        </w:rPr>
        <w:t>6</w:t>
      </w:r>
      <w:r w:rsidR="006E4FB4" w:rsidRPr="00E37E9D">
        <w:rPr>
          <w:rFonts w:asciiTheme="majorBidi" w:hAnsiTheme="majorBidi" w:cstheme="majorBidi"/>
          <w:b/>
          <w:bCs/>
          <w:sz w:val="24"/>
          <w:szCs w:val="24"/>
        </w:rPr>
        <w:t>.</w:t>
      </w:r>
      <w:r w:rsidR="006E4FB4" w:rsidRPr="00E37E9D">
        <w:rPr>
          <w:sz w:val="20"/>
          <w:szCs w:val="20"/>
        </w:rPr>
        <w:t xml:space="preserve"> </w:t>
      </w:r>
      <w:r w:rsidR="006E4FB4" w:rsidRPr="00E37E9D">
        <w:rPr>
          <w:rFonts w:asciiTheme="majorBidi" w:hAnsiTheme="majorBidi" w:cstheme="majorBidi"/>
          <w:sz w:val="24"/>
          <w:szCs w:val="24"/>
        </w:rPr>
        <w:t>Al-Masoudi, W. A.; Faaz, R. A.; Al-Asadi, R. H.; Jabbar, H. S. Synthesis, Antimicrobial Activity and Modelling Studies of Some New Metal Complexes of Schiff Base Derived from Sulphonamide Drug in Vitro</w:t>
      </w:r>
      <w:r>
        <w:rPr>
          <w:rFonts w:asciiTheme="majorBidi" w:hAnsiTheme="majorBidi" w:cstheme="majorBidi"/>
          <w:sz w:val="24"/>
          <w:szCs w:val="24"/>
        </w:rPr>
        <w:t xml:space="preserve"> (2016)</w:t>
      </w:r>
      <w:r w:rsidR="006E4FB4" w:rsidRPr="00E37E9D">
        <w:rPr>
          <w:rFonts w:asciiTheme="majorBidi" w:hAnsiTheme="majorBidi" w:cstheme="majorBidi"/>
          <w:sz w:val="24"/>
          <w:szCs w:val="24"/>
        </w:rPr>
        <w:t>. Eur. J. Chem. 2016, 7, 102-106.</w:t>
      </w:r>
    </w:p>
    <w:p w14:paraId="1443A018" w14:textId="77777777" w:rsidR="001D330D" w:rsidRDefault="001D6D97" w:rsidP="002A7ECF">
      <w:pPr>
        <w:jc w:val="both"/>
        <w:rPr>
          <w:rFonts w:asciiTheme="majorBidi" w:hAnsiTheme="majorBidi" w:cstheme="majorBidi"/>
          <w:sz w:val="24"/>
          <w:szCs w:val="24"/>
        </w:rPr>
      </w:pPr>
      <w:r>
        <w:rPr>
          <w:rFonts w:asciiTheme="majorBidi" w:hAnsiTheme="majorBidi" w:cstheme="majorBidi"/>
          <w:sz w:val="24"/>
          <w:szCs w:val="24"/>
        </w:rPr>
        <w:lastRenderedPageBreak/>
        <w:t>7</w:t>
      </w:r>
      <w:r w:rsidRPr="001D330D">
        <w:rPr>
          <w:rFonts w:asciiTheme="majorBidi" w:hAnsiTheme="majorBidi" w:cstheme="majorBidi"/>
          <w:sz w:val="24"/>
          <w:szCs w:val="24"/>
        </w:rPr>
        <w:t>. Vaickelionienė R, Petrikaitė V, Vasˇkevičienė I, Pavilonis A, Mickevičius V</w:t>
      </w:r>
      <w:r>
        <w:rPr>
          <w:rFonts w:asciiTheme="majorBidi" w:hAnsiTheme="majorBidi" w:cstheme="majorBidi"/>
          <w:sz w:val="24"/>
          <w:szCs w:val="24"/>
        </w:rPr>
        <w:t>.</w:t>
      </w:r>
      <w:r w:rsidRPr="001D330D">
        <w:rPr>
          <w:rFonts w:asciiTheme="majorBidi" w:hAnsiTheme="majorBidi" w:cstheme="majorBidi"/>
          <w:sz w:val="24"/>
          <w:szCs w:val="24"/>
        </w:rPr>
        <w:t xml:space="preserve"> (2023) Synthesis of novel sulphamethoxazole derivatives and exploration of their anticancer and antimicrobial properties. PLoS ONE 18(3): e0283289. </w:t>
      </w:r>
      <w:hyperlink r:id="rId25" w:history="1">
        <w:r w:rsidRPr="00EB2D69">
          <w:rPr>
            <w:rStyle w:val="Hyperlink"/>
            <w:rFonts w:asciiTheme="majorBidi" w:hAnsiTheme="majorBidi" w:cstheme="majorBidi"/>
            <w:sz w:val="24"/>
            <w:szCs w:val="24"/>
          </w:rPr>
          <w:t>https://doi.org/10.1371/journal. pone.0283289</w:t>
        </w:r>
      </w:hyperlink>
    </w:p>
    <w:p w14:paraId="016175A4" w14:textId="77777777" w:rsidR="00F47192" w:rsidRPr="00F47192" w:rsidRDefault="001D6D97" w:rsidP="002A7ECF">
      <w:pPr>
        <w:jc w:val="both"/>
        <w:rPr>
          <w:rFonts w:asciiTheme="majorBidi" w:hAnsiTheme="majorBidi" w:cstheme="majorBidi"/>
          <w:sz w:val="28"/>
          <w:szCs w:val="28"/>
        </w:rPr>
      </w:pPr>
      <w:r>
        <w:rPr>
          <w:rFonts w:asciiTheme="majorBidi" w:hAnsiTheme="majorBidi" w:cstheme="majorBidi"/>
          <w:sz w:val="24"/>
          <w:szCs w:val="24"/>
        </w:rPr>
        <w:t>8</w:t>
      </w:r>
      <w:r w:rsidRPr="00F47192">
        <w:rPr>
          <w:rFonts w:asciiTheme="majorBidi" w:hAnsiTheme="majorBidi" w:cstheme="majorBidi"/>
          <w:sz w:val="24"/>
          <w:szCs w:val="24"/>
        </w:rPr>
        <w:t xml:space="preserve">. Golub, A. (2022, January 21). </w:t>
      </w:r>
      <w:r w:rsidRPr="00F47192">
        <w:rPr>
          <w:rFonts w:asciiTheme="majorBidi" w:hAnsiTheme="majorBidi" w:cstheme="majorBidi"/>
          <w:i/>
          <w:iCs/>
          <w:sz w:val="24"/>
          <w:szCs w:val="24"/>
        </w:rPr>
        <w:t>Importance of ADME/Tox in Early Drug Discovery</w:t>
      </w:r>
      <w:r w:rsidRPr="00F47192">
        <w:rPr>
          <w:rFonts w:asciiTheme="majorBidi" w:hAnsiTheme="majorBidi" w:cstheme="majorBidi"/>
          <w:sz w:val="24"/>
          <w:szCs w:val="24"/>
        </w:rPr>
        <w:t xml:space="preserve">. Life Chemicals. </w:t>
      </w:r>
      <w:hyperlink r:id="rId26" w:tgtFrame="_new" w:history="1">
        <w:r w:rsidRPr="00F47192">
          <w:rPr>
            <w:rFonts w:asciiTheme="majorBidi" w:hAnsiTheme="majorBidi" w:cstheme="majorBidi"/>
            <w:color w:val="0000FF"/>
            <w:sz w:val="24"/>
            <w:szCs w:val="24"/>
            <w:u w:val="single"/>
          </w:rPr>
          <w:t>https://lifechemicals.com/blog/computational-chemistry/424-importance-of-adme/tox-in-early-drug-discovery</w:t>
        </w:r>
      </w:hyperlink>
    </w:p>
    <w:p w14:paraId="12EABB8B" w14:textId="77777777" w:rsidR="001D330D" w:rsidRPr="00D15116" w:rsidRDefault="001D6D97" w:rsidP="001D33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D</w:t>
      </w:r>
      <w:r w:rsidRPr="00D15116">
        <w:rPr>
          <w:rFonts w:ascii="Times New Roman" w:eastAsia="Times New Roman" w:hAnsi="Times New Roman" w:cs="Times New Roman"/>
          <w:sz w:val="24"/>
          <w:szCs w:val="24"/>
        </w:rPr>
        <w:t xml:space="preserve">ixon, W. J. (1980). Efficient analysis of experimental observations. </w:t>
      </w:r>
      <w:r w:rsidRPr="00D15116">
        <w:rPr>
          <w:rFonts w:ascii="Times New Roman" w:eastAsia="Times New Roman" w:hAnsi="Times New Roman" w:cs="Times New Roman"/>
          <w:i/>
          <w:iCs/>
          <w:sz w:val="24"/>
          <w:szCs w:val="24"/>
        </w:rPr>
        <w:t>Annual Review of Pharmacology and Toxicology</w:t>
      </w:r>
      <w:r w:rsidRPr="00D15116">
        <w:rPr>
          <w:rFonts w:ascii="Times New Roman" w:eastAsia="Times New Roman" w:hAnsi="Times New Roman" w:cs="Times New Roman"/>
          <w:sz w:val="24"/>
          <w:szCs w:val="24"/>
        </w:rPr>
        <w:t xml:space="preserve">, 20, 441–462. </w:t>
      </w:r>
      <w:hyperlink r:id="rId27" w:tgtFrame="_new" w:history="1">
        <w:r w:rsidRPr="00D15116">
          <w:rPr>
            <w:rFonts w:ascii="Times New Roman" w:eastAsia="Times New Roman" w:hAnsi="Times New Roman" w:cs="Times New Roman"/>
            <w:color w:val="0000FF"/>
            <w:sz w:val="24"/>
            <w:szCs w:val="24"/>
            <w:u w:val="single"/>
          </w:rPr>
          <w:t>https://doi.org/10.1146/annurev.pa.20.040180.002301</w:t>
        </w:r>
      </w:hyperlink>
      <w:r w:rsidRPr="00D15116">
        <w:rPr>
          <w:rFonts w:ascii="Times New Roman" w:eastAsia="Times New Roman" w:hAnsi="Times New Roman" w:cs="Times New Roman"/>
          <w:sz w:val="24"/>
          <w:szCs w:val="24"/>
        </w:rPr>
        <w:t xml:space="preserve"> </w:t>
      </w:r>
      <w:hyperlink r:id="rId28" w:tgtFrame="_blank" w:history="1">
        <w:r w:rsidRPr="00D15116">
          <w:rPr>
            <w:rFonts w:ascii="Times New Roman" w:eastAsia="Times New Roman" w:hAnsi="Times New Roman" w:cs="Times New Roman"/>
            <w:color w:val="0000FF"/>
            <w:sz w:val="24"/>
            <w:szCs w:val="24"/>
            <w:u w:val="single"/>
          </w:rPr>
          <w:t>Annual Reviews+2SCIRP+2PubMed+2</w:t>
        </w:r>
      </w:hyperlink>
    </w:p>
    <w:p w14:paraId="5229885B" w14:textId="77777777" w:rsidR="001D330D" w:rsidRPr="00F47192" w:rsidRDefault="001D6D97" w:rsidP="00F47192">
      <w:pPr>
        <w:pStyle w:val="NormalWeb"/>
      </w:pPr>
      <w:r>
        <w:rPr>
          <w:rFonts w:asciiTheme="majorBidi" w:hAnsiTheme="majorBidi" w:cstheme="majorBidi"/>
          <w:sz w:val="28"/>
          <w:szCs w:val="28"/>
        </w:rPr>
        <w:t>10.</w:t>
      </w:r>
      <w:r w:rsidRPr="00F47192">
        <w:t xml:space="preserve"> FineTest. (2022, June 6). </w:t>
      </w:r>
      <w:r w:rsidRPr="00F47192">
        <w:rPr>
          <w:i/>
          <w:iCs/>
        </w:rPr>
        <w:t>ELISA Sample Preparation Protocol</w:t>
      </w:r>
      <w:r w:rsidRPr="00F47192">
        <w:t>. Wuhan Fine Biotech Co., Ltd. https://www.fn-test.com/content/uploads/2022/06/ELISA-Sample-Preparation-Protocol-2022.6.6.pdf</w:t>
      </w:r>
    </w:p>
    <w:p w14:paraId="1E60EDA1" w14:textId="77777777" w:rsidR="002A7ECF" w:rsidRDefault="001D6D97" w:rsidP="002A7ECF">
      <w:pPr>
        <w:jc w:val="both"/>
        <w:rPr>
          <w:rFonts w:asciiTheme="majorBidi" w:hAnsiTheme="majorBidi" w:cstheme="majorBidi"/>
          <w:sz w:val="24"/>
          <w:szCs w:val="24"/>
        </w:rPr>
      </w:pPr>
      <w:r w:rsidRPr="00E37E9D">
        <w:rPr>
          <w:rFonts w:asciiTheme="majorBidi" w:hAnsiTheme="majorBidi" w:cstheme="majorBidi"/>
          <w:b/>
          <w:bCs/>
          <w:sz w:val="24"/>
          <w:szCs w:val="24"/>
        </w:rPr>
        <w:t>11.</w:t>
      </w:r>
      <w:r w:rsidRPr="00E37E9D">
        <w:rPr>
          <w:sz w:val="20"/>
          <w:szCs w:val="20"/>
        </w:rPr>
        <w:t xml:space="preserve"> </w:t>
      </w:r>
      <w:r w:rsidRPr="00E37E9D">
        <w:rPr>
          <w:rFonts w:asciiTheme="majorBidi" w:hAnsiTheme="majorBidi" w:cstheme="majorBidi"/>
          <w:sz w:val="24"/>
          <w:szCs w:val="24"/>
        </w:rPr>
        <w:t>Meriga, B., Parim, B., Chunduri, V. R., Naik, R. R., Nemani, H., Suresh, P., Ganapathy, S., &amp; VVU, S. B. (2017). The antiobesity potential of Piperonal: promising modulation of body composition, lipid profiles, and obesogenic marker expression in HFD-induced obese rats. Nutrition &amp; Metabolism, 14, 72. doi:10.1186/s12986-017-0228-9</w:t>
      </w:r>
    </w:p>
    <w:p w14:paraId="0788FE20" w14:textId="77777777" w:rsidR="00734D6A" w:rsidRPr="00734D6A" w:rsidRDefault="001D6D97" w:rsidP="00734D6A">
      <w:pPr>
        <w:pStyle w:val="ListParagraph"/>
        <w:numPr>
          <w:ilvl w:val="0"/>
          <w:numId w:val="11"/>
        </w:numPr>
        <w:tabs>
          <w:tab w:val="right" w:pos="9360"/>
        </w:tabs>
        <w:spacing w:line="360" w:lineRule="auto"/>
        <w:rPr>
          <w:rFonts w:asciiTheme="majorBidi" w:hAnsiTheme="majorBidi" w:cstheme="majorBidi"/>
          <w:sz w:val="24"/>
          <w:szCs w:val="24"/>
          <w:lang w:bidi="ar-EG"/>
        </w:rPr>
      </w:pPr>
      <w:r w:rsidRPr="00734D6A">
        <w:rPr>
          <w:rFonts w:asciiTheme="majorBidi" w:hAnsiTheme="majorBidi" w:cstheme="majorBidi"/>
          <w:sz w:val="24"/>
          <w:szCs w:val="24"/>
          <w:lang w:bidi="ar-EG"/>
        </w:rPr>
        <w:t>Chourasiya, S., &amp; Mahobiya, P. (2022). Toxicology and Mode of Action of Cypermethrin. Department of Zoology, University of Sagar, (M.P.), India</w:t>
      </w:r>
    </w:p>
    <w:p w14:paraId="2D89D3CA" w14:textId="77777777" w:rsidR="00C80F26" w:rsidRPr="00734D6A" w:rsidRDefault="001D6D97" w:rsidP="00734D6A">
      <w:pPr>
        <w:pStyle w:val="ListParagraph"/>
        <w:numPr>
          <w:ilvl w:val="0"/>
          <w:numId w:val="11"/>
        </w:numPr>
        <w:rPr>
          <w:rFonts w:asciiTheme="majorBidi" w:hAnsiTheme="majorBidi" w:cstheme="majorBidi"/>
          <w:sz w:val="24"/>
          <w:szCs w:val="24"/>
        </w:rPr>
      </w:pPr>
      <w:r w:rsidRPr="00734D6A">
        <w:rPr>
          <w:rFonts w:asciiTheme="majorBidi" w:hAnsiTheme="majorBidi" w:cstheme="majorBidi"/>
          <w:sz w:val="24"/>
          <w:szCs w:val="24"/>
        </w:rPr>
        <w:t>Velisek, J., Wlasow, T., &amp; P.(2006) . Effects of Cypermethrin on Rainbow Trout (Oncorhynchus mykiss).</w:t>
      </w:r>
      <w:r w:rsidRPr="00734D6A">
        <w:rPr>
          <w:sz w:val="20"/>
          <w:szCs w:val="20"/>
        </w:rPr>
        <w:t xml:space="preserve"> </w:t>
      </w:r>
      <w:r w:rsidRPr="00734D6A">
        <w:rPr>
          <w:rFonts w:asciiTheme="majorBidi" w:hAnsiTheme="majorBidi" w:cstheme="majorBidi"/>
          <w:sz w:val="24"/>
          <w:szCs w:val="24"/>
        </w:rPr>
        <w:t>Veterinarni Medicina, 51, (10): 469–476</w:t>
      </w:r>
      <w:r w:rsidRPr="00734D6A">
        <w:rPr>
          <w:rFonts w:asciiTheme="majorBidi" w:hAnsiTheme="majorBidi" w:cstheme="majorBidi"/>
          <w:b/>
          <w:bCs/>
          <w:sz w:val="24"/>
          <w:szCs w:val="24"/>
          <w:lang w:bidi="ar-EG"/>
        </w:rPr>
        <w:tab/>
      </w:r>
    </w:p>
    <w:p w14:paraId="1B8EAEC6" w14:textId="77777777" w:rsidR="00734D6A" w:rsidRDefault="00734D6A" w:rsidP="008B5619">
      <w:pPr>
        <w:spacing w:line="360" w:lineRule="auto"/>
        <w:jc w:val="right"/>
        <w:rPr>
          <w:rFonts w:asciiTheme="majorBidi" w:hAnsiTheme="majorBidi" w:cstheme="majorBidi"/>
          <w:b/>
          <w:bCs/>
          <w:sz w:val="24"/>
          <w:szCs w:val="24"/>
          <w:rtl/>
          <w:lang w:bidi="ar-EG"/>
        </w:rPr>
        <w:sectPr w:rsidR="00734D6A" w:rsidSect="00C80F26">
          <w:type w:val="continuous"/>
          <w:pgSz w:w="12240" w:h="15840"/>
          <w:pgMar w:top="990" w:right="1440" w:bottom="1440" w:left="1440" w:header="720" w:footer="720" w:gutter="0"/>
          <w:cols w:space="720"/>
          <w:docGrid w:linePitch="360"/>
        </w:sectPr>
      </w:pPr>
    </w:p>
    <w:p w14:paraId="4BD392DC" w14:textId="77777777" w:rsidR="00514F3F" w:rsidRPr="00DD35B5" w:rsidRDefault="001D6D97" w:rsidP="00C80F26">
      <w:pPr>
        <w:spacing w:line="360" w:lineRule="auto"/>
        <w:rPr>
          <w:rFonts w:asciiTheme="majorBidi" w:hAnsiTheme="majorBidi" w:cstheme="majorBidi"/>
          <w:sz w:val="24"/>
          <w:szCs w:val="24"/>
        </w:rPr>
      </w:pPr>
      <w:r w:rsidRPr="00DD35B5">
        <w:rPr>
          <w:rFonts w:asciiTheme="majorBidi" w:hAnsiTheme="majorBidi" w:cstheme="majorBidi"/>
          <w:sz w:val="24"/>
          <w:szCs w:val="24"/>
          <w:lang w:bidi="ar-EG"/>
        </w:rPr>
        <w:t>14.</w:t>
      </w:r>
      <w:r w:rsidR="006A34B0" w:rsidRPr="00DD35B5">
        <w:rPr>
          <w:rFonts w:asciiTheme="majorBidi" w:hAnsiTheme="majorBidi" w:cstheme="majorBidi"/>
          <w:sz w:val="24"/>
          <w:szCs w:val="24"/>
          <w:rtl/>
          <w:lang w:bidi="ar-EG"/>
        </w:rPr>
        <w:t xml:space="preserve"> </w:t>
      </w:r>
      <w:r w:rsidRPr="00DD35B5">
        <w:rPr>
          <w:rFonts w:asciiTheme="majorBidi" w:hAnsiTheme="majorBidi" w:cstheme="majorBidi"/>
          <w:sz w:val="24"/>
          <w:szCs w:val="24"/>
        </w:rPr>
        <w:t xml:space="preserve">Klein, S. L., &amp; Flanagan, K. L. (2016). Sex differences in immune responses. </w:t>
      </w:r>
      <w:r w:rsidRPr="00DD35B5">
        <w:rPr>
          <w:rStyle w:val="Emphasis"/>
          <w:rFonts w:asciiTheme="majorBidi" w:hAnsiTheme="majorBidi" w:cstheme="majorBidi"/>
          <w:sz w:val="24"/>
          <w:szCs w:val="24"/>
        </w:rPr>
        <w:t>Nature Reviews Immunology</w:t>
      </w:r>
      <w:r w:rsidRPr="00DD35B5">
        <w:rPr>
          <w:rFonts w:asciiTheme="majorBidi" w:hAnsiTheme="majorBidi" w:cstheme="majorBidi"/>
          <w:sz w:val="24"/>
          <w:szCs w:val="24"/>
        </w:rPr>
        <w:t xml:space="preserve">, </w:t>
      </w:r>
      <w:r w:rsidRPr="00DD35B5">
        <w:rPr>
          <w:rStyle w:val="Emphasis"/>
          <w:rFonts w:asciiTheme="majorBidi" w:hAnsiTheme="majorBidi" w:cstheme="majorBidi"/>
          <w:sz w:val="24"/>
          <w:szCs w:val="24"/>
        </w:rPr>
        <w:t>16</w:t>
      </w:r>
      <w:r w:rsidRPr="00DD35B5">
        <w:rPr>
          <w:rFonts w:asciiTheme="majorBidi" w:hAnsiTheme="majorBidi" w:cstheme="majorBidi"/>
          <w:sz w:val="24"/>
          <w:szCs w:val="24"/>
        </w:rPr>
        <w:t xml:space="preserve">(10), 626–638. </w:t>
      </w:r>
      <w:hyperlink r:id="rId29" w:history="1">
        <w:r w:rsidRPr="00DD35B5">
          <w:rPr>
            <w:rStyle w:val="Hyperlink"/>
            <w:rFonts w:asciiTheme="majorBidi" w:hAnsiTheme="majorBidi" w:cstheme="majorBidi"/>
            <w:sz w:val="24"/>
            <w:szCs w:val="24"/>
          </w:rPr>
          <w:t>https://doi.org/10.1038/nri.2016.9</w:t>
        </w:r>
      </w:hyperlink>
    </w:p>
    <w:p w14:paraId="0EB5CCDA" w14:textId="77777777" w:rsidR="00DD35B5" w:rsidRPr="00DD35B5" w:rsidRDefault="001D6D97" w:rsidP="00DD35B5">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DD35B5">
        <w:rPr>
          <w:rFonts w:ascii="Times New Roman" w:eastAsia="Times New Roman" w:hAnsi="Times New Roman" w:cs="Times New Roman"/>
          <w:sz w:val="24"/>
          <w:szCs w:val="24"/>
        </w:rPr>
        <w:t xml:space="preserve">Straub, R. H. (2007). The complex role of estrogens in inflammation. </w:t>
      </w:r>
      <w:r w:rsidRPr="00DD35B5">
        <w:rPr>
          <w:rFonts w:ascii="Times New Roman" w:eastAsia="Times New Roman" w:hAnsi="Times New Roman" w:cs="Times New Roman"/>
          <w:i/>
          <w:iCs/>
          <w:sz w:val="24"/>
          <w:szCs w:val="24"/>
        </w:rPr>
        <w:t>Endocrine Reviews</w:t>
      </w:r>
      <w:r w:rsidRPr="00DD35B5">
        <w:rPr>
          <w:rFonts w:ascii="Times New Roman" w:eastAsia="Times New Roman" w:hAnsi="Times New Roman" w:cs="Times New Roman"/>
          <w:sz w:val="24"/>
          <w:szCs w:val="24"/>
        </w:rPr>
        <w:t xml:space="preserve">, </w:t>
      </w:r>
      <w:r w:rsidRPr="00DD35B5">
        <w:rPr>
          <w:rFonts w:ascii="Times New Roman" w:eastAsia="Times New Roman" w:hAnsi="Times New Roman" w:cs="Times New Roman"/>
          <w:i/>
          <w:iCs/>
          <w:sz w:val="24"/>
          <w:szCs w:val="24"/>
        </w:rPr>
        <w:t>28</w:t>
      </w:r>
      <w:r w:rsidRPr="00DD35B5">
        <w:rPr>
          <w:rFonts w:ascii="Times New Roman" w:eastAsia="Times New Roman" w:hAnsi="Times New Roman" w:cs="Times New Roman"/>
          <w:sz w:val="24"/>
          <w:szCs w:val="24"/>
        </w:rPr>
        <w:t>(5), 521–574. https://doi.org/10.1210/er.2007-0001</w:t>
      </w:r>
    </w:p>
    <w:p w14:paraId="6F80933F" w14:textId="77777777" w:rsidR="00DD35B5" w:rsidRPr="00DD35B5" w:rsidRDefault="001D6D97" w:rsidP="00DD35B5">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DD35B5">
        <w:rPr>
          <w:rFonts w:ascii="Times New Roman" w:eastAsia="Times New Roman" w:hAnsi="Times New Roman" w:cs="Times New Roman"/>
          <w:sz w:val="24"/>
          <w:szCs w:val="24"/>
        </w:rPr>
        <w:t xml:space="preserve">Baker, M., &amp; Hargreaves, P. (2012). Limitations of serum cytokine measurements in detecting localized inflammation. </w:t>
      </w:r>
      <w:r w:rsidRPr="00DD35B5">
        <w:rPr>
          <w:rFonts w:ascii="Times New Roman" w:eastAsia="Times New Roman" w:hAnsi="Times New Roman" w:cs="Times New Roman"/>
          <w:i/>
          <w:iCs/>
          <w:sz w:val="24"/>
          <w:szCs w:val="24"/>
        </w:rPr>
        <w:t>Journal of Clinical Immunology</w:t>
      </w:r>
      <w:r w:rsidRPr="00DD35B5">
        <w:rPr>
          <w:rFonts w:ascii="Times New Roman" w:eastAsia="Times New Roman" w:hAnsi="Times New Roman" w:cs="Times New Roman"/>
          <w:sz w:val="24"/>
          <w:szCs w:val="24"/>
        </w:rPr>
        <w:t xml:space="preserve">, </w:t>
      </w:r>
      <w:r w:rsidRPr="00DD35B5">
        <w:rPr>
          <w:rFonts w:ascii="Times New Roman" w:eastAsia="Times New Roman" w:hAnsi="Times New Roman" w:cs="Times New Roman"/>
          <w:i/>
          <w:iCs/>
          <w:sz w:val="24"/>
          <w:szCs w:val="24"/>
        </w:rPr>
        <w:t>32</w:t>
      </w:r>
      <w:r w:rsidRPr="00DD35B5">
        <w:rPr>
          <w:rFonts w:ascii="Times New Roman" w:eastAsia="Times New Roman" w:hAnsi="Times New Roman" w:cs="Times New Roman"/>
          <w:sz w:val="24"/>
          <w:szCs w:val="24"/>
        </w:rPr>
        <w:t>(4), 568–576. https://doi.org/10.1007/s10875-012-9693-0</w:t>
      </w:r>
    </w:p>
    <w:p w14:paraId="329DBFBD" w14:textId="77777777" w:rsidR="00DD35B5" w:rsidRPr="00276BAE" w:rsidRDefault="00DD35B5" w:rsidP="00C80F26">
      <w:pPr>
        <w:spacing w:line="360" w:lineRule="auto"/>
        <w:rPr>
          <w:rFonts w:asciiTheme="majorBidi" w:hAnsiTheme="majorBidi" w:cstheme="majorBidi"/>
          <w:sz w:val="24"/>
          <w:szCs w:val="24"/>
          <w:rtl/>
          <w:lang w:bidi="ar-EG"/>
        </w:rPr>
      </w:pPr>
    </w:p>
    <w:sectPr w:rsidR="00DD35B5" w:rsidRPr="00276BAE" w:rsidSect="00576FB4">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DF5C7" w14:textId="77777777" w:rsidR="00164FDA" w:rsidRDefault="00164FDA">
      <w:pPr>
        <w:spacing w:after="0" w:line="240" w:lineRule="auto"/>
      </w:pPr>
      <w:r>
        <w:separator/>
      </w:r>
    </w:p>
  </w:endnote>
  <w:endnote w:type="continuationSeparator" w:id="0">
    <w:p w14:paraId="5AEF032B" w14:textId="77777777" w:rsidR="00164FDA" w:rsidRDefault="0016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1A6D9" w14:textId="77777777" w:rsidR="00113238" w:rsidRDefault="00113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653885"/>
      <w:docPartObj>
        <w:docPartGallery w:val="Page Numbers (Bottom of Page)"/>
        <w:docPartUnique/>
      </w:docPartObj>
    </w:sdtPr>
    <w:sdtEndPr>
      <w:rPr>
        <w:noProof/>
      </w:rPr>
    </w:sdtEndPr>
    <w:sdtContent>
      <w:p w14:paraId="666A1877" w14:textId="77777777" w:rsidR="00CB4A44" w:rsidRDefault="001D6D97">
        <w:pPr>
          <w:pStyle w:val="Footer"/>
          <w:jc w:val="center"/>
        </w:pPr>
        <w:r>
          <w:fldChar w:fldCharType="begin"/>
        </w:r>
        <w:r>
          <w:instrText xml:space="preserve"> PAGE   \* MERGEFORMAT </w:instrText>
        </w:r>
        <w:r>
          <w:fldChar w:fldCharType="separate"/>
        </w:r>
        <w:r w:rsidR="003449A5">
          <w:rPr>
            <w:noProof/>
          </w:rPr>
          <w:t>15</w:t>
        </w:r>
        <w:r>
          <w:rPr>
            <w:noProof/>
          </w:rPr>
          <w:fldChar w:fldCharType="end"/>
        </w:r>
      </w:p>
    </w:sdtContent>
  </w:sdt>
  <w:p w14:paraId="0F397143" w14:textId="77777777" w:rsidR="00CB4A44" w:rsidRDefault="00CB4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69F3" w14:textId="77777777" w:rsidR="00113238" w:rsidRDefault="0011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4CB03" w14:textId="77777777" w:rsidR="00164FDA" w:rsidRDefault="00164FDA">
      <w:pPr>
        <w:spacing w:after="0" w:line="240" w:lineRule="auto"/>
      </w:pPr>
      <w:r>
        <w:separator/>
      </w:r>
    </w:p>
  </w:footnote>
  <w:footnote w:type="continuationSeparator" w:id="0">
    <w:p w14:paraId="26421AB1" w14:textId="77777777" w:rsidR="00164FDA" w:rsidRDefault="00164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213A" w14:textId="35328324" w:rsidR="00113238" w:rsidRDefault="00113238">
    <w:pPr>
      <w:pStyle w:val="Header"/>
    </w:pPr>
    <w:r>
      <w:rPr>
        <w:noProof/>
      </w:rPr>
      <w:pict w14:anchorId="4FDB9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250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B5F9" w14:textId="6C408956" w:rsidR="00113238" w:rsidRDefault="00113238">
    <w:pPr>
      <w:pStyle w:val="Header"/>
    </w:pPr>
    <w:r>
      <w:rPr>
        <w:noProof/>
      </w:rPr>
      <w:pict w14:anchorId="6B851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250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B4CD" w14:textId="0B22D57F" w:rsidR="00113238" w:rsidRDefault="00113238">
    <w:pPr>
      <w:pStyle w:val="Header"/>
    </w:pPr>
    <w:r>
      <w:rPr>
        <w:noProof/>
      </w:rPr>
      <w:pict w14:anchorId="1A1AA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250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F6420"/>
    <w:multiLevelType w:val="hybridMultilevel"/>
    <w:tmpl w:val="6504A238"/>
    <w:lvl w:ilvl="0" w:tplc="9F0ABF00">
      <w:numFmt w:val="bullet"/>
      <w:lvlText w:val="•"/>
      <w:lvlJc w:val="left"/>
      <w:pPr>
        <w:ind w:left="420" w:hanging="360"/>
      </w:pPr>
      <w:rPr>
        <w:rFonts w:ascii="Times New Roman" w:eastAsiaTheme="minorHAnsi" w:hAnsi="Times New Roman" w:cs="Times New Roman" w:hint="default"/>
      </w:rPr>
    </w:lvl>
    <w:lvl w:ilvl="1" w:tplc="EB5A9132" w:tentative="1">
      <w:start w:val="1"/>
      <w:numFmt w:val="bullet"/>
      <w:lvlText w:val="o"/>
      <w:lvlJc w:val="left"/>
      <w:pPr>
        <w:ind w:left="1140" w:hanging="360"/>
      </w:pPr>
      <w:rPr>
        <w:rFonts w:ascii="Courier New" w:hAnsi="Courier New" w:cs="Courier New" w:hint="default"/>
      </w:rPr>
    </w:lvl>
    <w:lvl w:ilvl="2" w:tplc="8EC6C754" w:tentative="1">
      <w:start w:val="1"/>
      <w:numFmt w:val="bullet"/>
      <w:lvlText w:val=""/>
      <w:lvlJc w:val="left"/>
      <w:pPr>
        <w:ind w:left="1860" w:hanging="360"/>
      </w:pPr>
      <w:rPr>
        <w:rFonts w:ascii="Wingdings" w:hAnsi="Wingdings" w:hint="default"/>
      </w:rPr>
    </w:lvl>
    <w:lvl w:ilvl="3" w:tplc="96ACDC90" w:tentative="1">
      <w:start w:val="1"/>
      <w:numFmt w:val="bullet"/>
      <w:lvlText w:val=""/>
      <w:lvlJc w:val="left"/>
      <w:pPr>
        <w:ind w:left="2580" w:hanging="360"/>
      </w:pPr>
      <w:rPr>
        <w:rFonts w:ascii="Symbol" w:hAnsi="Symbol" w:hint="default"/>
      </w:rPr>
    </w:lvl>
    <w:lvl w:ilvl="4" w:tplc="06BCA18E" w:tentative="1">
      <w:start w:val="1"/>
      <w:numFmt w:val="bullet"/>
      <w:lvlText w:val="o"/>
      <w:lvlJc w:val="left"/>
      <w:pPr>
        <w:ind w:left="3300" w:hanging="360"/>
      </w:pPr>
      <w:rPr>
        <w:rFonts w:ascii="Courier New" w:hAnsi="Courier New" w:cs="Courier New" w:hint="default"/>
      </w:rPr>
    </w:lvl>
    <w:lvl w:ilvl="5" w:tplc="6F3EF68A" w:tentative="1">
      <w:start w:val="1"/>
      <w:numFmt w:val="bullet"/>
      <w:lvlText w:val=""/>
      <w:lvlJc w:val="left"/>
      <w:pPr>
        <w:ind w:left="4020" w:hanging="360"/>
      </w:pPr>
      <w:rPr>
        <w:rFonts w:ascii="Wingdings" w:hAnsi="Wingdings" w:hint="default"/>
      </w:rPr>
    </w:lvl>
    <w:lvl w:ilvl="6" w:tplc="94F4C67E" w:tentative="1">
      <w:start w:val="1"/>
      <w:numFmt w:val="bullet"/>
      <w:lvlText w:val=""/>
      <w:lvlJc w:val="left"/>
      <w:pPr>
        <w:ind w:left="4740" w:hanging="360"/>
      </w:pPr>
      <w:rPr>
        <w:rFonts w:ascii="Symbol" w:hAnsi="Symbol" w:hint="default"/>
      </w:rPr>
    </w:lvl>
    <w:lvl w:ilvl="7" w:tplc="7D3CC472" w:tentative="1">
      <w:start w:val="1"/>
      <w:numFmt w:val="bullet"/>
      <w:lvlText w:val="o"/>
      <w:lvlJc w:val="left"/>
      <w:pPr>
        <w:ind w:left="5460" w:hanging="360"/>
      </w:pPr>
      <w:rPr>
        <w:rFonts w:ascii="Courier New" w:hAnsi="Courier New" w:cs="Courier New" w:hint="default"/>
      </w:rPr>
    </w:lvl>
    <w:lvl w:ilvl="8" w:tplc="F99ED55E" w:tentative="1">
      <w:start w:val="1"/>
      <w:numFmt w:val="bullet"/>
      <w:lvlText w:val=""/>
      <w:lvlJc w:val="left"/>
      <w:pPr>
        <w:ind w:left="6180" w:hanging="360"/>
      </w:pPr>
      <w:rPr>
        <w:rFonts w:ascii="Wingdings" w:hAnsi="Wingdings" w:hint="default"/>
      </w:rPr>
    </w:lvl>
  </w:abstractNum>
  <w:abstractNum w:abstractNumId="1" w15:restartNumberingAfterBreak="0">
    <w:nsid w:val="1D5B6F0E"/>
    <w:multiLevelType w:val="multilevel"/>
    <w:tmpl w:val="709E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64391"/>
    <w:multiLevelType w:val="hybridMultilevel"/>
    <w:tmpl w:val="9B3842AE"/>
    <w:lvl w:ilvl="0" w:tplc="21EE1556">
      <w:numFmt w:val="bullet"/>
      <w:lvlText w:val="•"/>
      <w:lvlJc w:val="left"/>
      <w:pPr>
        <w:ind w:left="420" w:hanging="360"/>
      </w:pPr>
      <w:rPr>
        <w:rFonts w:ascii="Times New Roman" w:eastAsiaTheme="minorHAnsi" w:hAnsi="Times New Roman" w:cs="Times New Roman" w:hint="default"/>
      </w:rPr>
    </w:lvl>
    <w:lvl w:ilvl="1" w:tplc="E9260DBC" w:tentative="1">
      <w:start w:val="1"/>
      <w:numFmt w:val="bullet"/>
      <w:lvlText w:val="o"/>
      <w:lvlJc w:val="left"/>
      <w:pPr>
        <w:ind w:left="1440" w:hanging="360"/>
      </w:pPr>
      <w:rPr>
        <w:rFonts w:ascii="Courier New" w:hAnsi="Courier New" w:cs="Courier New" w:hint="default"/>
      </w:rPr>
    </w:lvl>
    <w:lvl w:ilvl="2" w:tplc="60949BA2" w:tentative="1">
      <w:start w:val="1"/>
      <w:numFmt w:val="bullet"/>
      <w:lvlText w:val=""/>
      <w:lvlJc w:val="left"/>
      <w:pPr>
        <w:ind w:left="2160" w:hanging="360"/>
      </w:pPr>
      <w:rPr>
        <w:rFonts w:ascii="Wingdings" w:hAnsi="Wingdings" w:hint="default"/>
      </w:rPr>
    </w:lvl>
    <w:lvl w:ilvl="3" w:tplc="280237C0" w:tentative="1">
      <w:start w:val="1"/>
      <w:numFmt w:val="bullet"/>
      <w:lvlText w:val=""/>
      <w:lvlJc w:val="left"/>
      <w:pPr>
        <w:ind w:left="2880" w:hanging="360"/>
      </w:pPr>
      <w:rPr>
        <w:rFonts w:ascii="Symbol" w:hAnsi="Symbol" w:hint="default"/>
      </w:rPr>
    </w:lvl>
    <w:lvl w:ilvl="4" w:tplc="52DE7A0C" w:tentative="1">
      <w:start w:val="1"/>
      <w:numFmt w:val="bullet"/>
      <w:lvlText w:val="o"/>
      <w:lvlJc w:val="left"/>
      <w:pPr>
        <w:ind w:left="3600" w:hanging="360"/>
      </w:pPr>
      <w:rPr>
        <w:rFonts w:ascii="Courier New" w:hAnsi="Courier New" w:cs="Courier New" w:hint="default"/>
      </w:rPr>
    </w:lvl>
    <w:lvl w:ilvl="5" w:tplc="BF2C7214" w:tentative="1">
      <w:start w:val="1"/>
      <w:numFmt w:val="bullet"/>
      <w:lvlText w:val=""/>
      <w:lvlJc w:val="left"/>
      <w:pPr>
        <w:ind w:left="4320" w:hanging="360"/>
      </w:pPr>
      <w:rPr>
        <w:rFonts w:ascii="Wingdings" w:hAnsi="Wingdings" w:hint="default"/>
      </w:rPr>
    </w:lvl>
    <w:lvl w:ilvl="6" w:tplc="019E8B1C" w:tentative="1">
      <w:start w:val="1"/>
      <w:numFmt w:val="bullet"/>
      <w:lvlText w:val=""/>
      <w:lvlJc w:val="left"/>
      <w:pPr>
        <w:ind w:left="5040" w:hanging="360"/>
      </w:pPr>
      <w:rPr>
        <w:rFonts w:ascii="Symbol" w:hAnsi="Symbol" w:hint="default"/>
      </w:rPr>
    </w:lvl>
    <w:lvl w:ilvl="7" w:tplc="39280798" w:tentative="1">
      <w:start w:val="1"/>
      <w:numFmt w:val="bullet"/>
      <w:lvlText w:val="o"/>
      <w:lvlJc w:val="left"/>
      <w:pPr>
        <w:ind w:left="5760" w:hanging="360"/>
      </w:pPr>
      <w:rPr>
        <w:rFonts w:ascii="Courier New" w:hAnsi="Courier New" w:cs="Courier New" w:hint="default"/>
      </w:rPr>
    </w:lvl>
    <w:lvl w:ilvl="8" w:tplc="C7BC2008" w:tentative="1">
      <w:start w:val="1"/>
      <w:numFmt w:val="bullet"/>
      <w:lvlText w:val=""/>
      <w:lvlJc w:val="left"/>
      <w:pPr>
        <w:ind w:left="6480" w:hanging="360"/>
      </w:pPr>
      <w:rPr>
        <w:rFonts w:ascii="Wingdings" w:hAnsi="Wingdings" w:hint="default"/>
      </w:rPr>
    </w:lvl>
  </w:abstractNum>
  <w:abstractNum w:abstractNumId="3" w15:restartNumberingAfterBreak="0">
    <w:nsid w:val="2CA60FAE"/>
    <w:multiLevelType w:val="hybridMultilevel"/>
    <w:tmpl w:val="6526FD7A"/>
    <w:lvl w:ilvl="0" w:tplc="9C500E6C">
      <w:start w:val="1"/>
      <w:numFmt w:val="bullet"/>
      <w:lvlText w:val=""/>
      <w:lvlJc w:val="left"/>
      <w:pPr>
        <w:ind w:left="720" w:hanging="360"/>
      </w:pPr>
      <w:rPr>
        <w:rFonts w:ascii="Symbol" w:hAnsi="Symbol" w:hint="default"/>
      </w:rPr>
    </w:lvl>
    <w:lvl w:ilvl="1" w:tplc="9F60A92E" w:tentative="1">
      <w:start w:val="1"/>
      <w:numFmt w:val="bullet"/>
      <w:lvlText w:val="o"/>
      <w:lvlJc w:val="left"/>
      <w:pPr>
        <w:ind w:left="1440" w:hanging="360"/>
      </w:pPr>
      <w:rPr>
        <w:rFonts w:ascii="Courier New" w:hAnsi="Courier New" w:cs="Courier New" w:hint="default"/>
      </w:rPr>
    </w:lvl>
    <w:lvl w:ilvl="2" w:tplc="DE8672EE" w:tentative="1">
      <w:start w:val="1"/>
      <w:numFmt w:val="bullet"/>
      <w:lvlText w:val=""/>
      <w:lvlJc w:val="left"/>
      <w:pPr>
        <w:ind w:left="2160" w:hanging="360"/>
      </w:pPr>
      <w:rPr>
        <w:rFonts w:ascii="Wingdings" w:hAnsi="Wingdings" w:hint="default"/>
      </w:rPr>
    </w:lvl>
    <w:lvl w:ilvl="3" w:tplc="7634074E" w:tentative="1">
      <w:start w:val="1"/>
      <w:numFmt w:val="bullet"/>
      <w:lvlText w:val=""/>
      <w:lvlJc w:val="left"/>
      <w:pPr>
        <w:ind w:left="2880" w:hanging="360"/>
      </w:pPr>
      <w:rPr>
        <w:rFonts w:ascii="Symbol" w:hAnsi="Symbol" w:hint="default"/>
      </w:rPr>
    </w:lvl>
    <w:lvl w:ilvl="4" w:tplc="74FA0C2C" w:tentative="1">
      <w:start w:val="1"/>
      <w:numFmt w:val="bullet"/>
      <w:lvlText w:val="o"/>
      <w:lvlJc w:val="left"/>
      <w:pPr>
        <w:ind w:left="3600" w:hanging="360"/>
      </w:pPr>
      <w:rPr>
        <w:rFonts w:ascii="Courier New" w:hAnsi="Courier New" w:cs="Courier New" w:hint="default"/>
      </w:rPr>
    </w:lvl>
    <w:lvl w:ilvl="5" w:tplc="6F70B016" w:tentative="1">
      <w:start w:val="1"/>
      <w:numFmt w:val="bullet"/>
      <w:lvlText w:val=""/>
      <w:lvlJc w:val="left"/>
      <w:pPr>
        <w:ind w:left="4320" w:hanging="360"/>
      </w:pPr>
      <w:rPr>
        <w:rFonts w:ascii="Wingdings" w:hAnsi="Wingdings" w:hint="default"/>
      </w:rPr>
    </w:lvl>
    <w:lvl w:ilvl="6" w:tplc="C5083BE0" w:tentative="1">
      <w:start w:val="1"/>
      <w:numFmt w:val="bullet"/>
      <w:lvlText w:val=""/>
      <w:lvlJc w:val="left"/>
      <w:pPr>
        <w:ind w:left="5040" w:hanging="360"/>
      </w:pPr>
      <w:rPr>
        <w:rFonts w:ascii="Symbol" w:hAnsi="Symbol" w:hint="default"/>
      </w:rPr>
    </w:lvl>
    <w:lvl w:ilvl="7" w:tplc="807ECE0E" w:tentative="1">
      <w:start w:val="1"/>
      <w:numFmt w:val="bullet"/>
      <w:lvlText w:val="o"/>
      <w:lvlJc w:val="left"/>
      <w:pPr>
        <w:ind w:left="5760" w:hanging="360"/>
      </w:pPr>
      <w:rPr>
        <w:rFonts w:ascii="Courier New" w:hAnsi="Courier New" w:cs="Courier New" w:hint="default"/>
      </w:rPr>
    </w:lvl>
    <w:lvl w:ilvl="8" w:tplc="76D68F36" w:tentative="1">
      <w:start w:val="1"/>
      <w:numFmt w:val="bullet"/>
      <w:lvlText w:val=""/>
      <w:lvlJc w:val="left"/>
      <w:pPr>
        <w:ind w:left="6480" w:hanging="360"/>
      </w:pPr>
      <w:rPr>
        <w:rFonts w:ascii="Wingdings" w:hAnsi="Wingdings" w:hint="default"/>
      </w:rPr>
    </w:lvl>
  </w:abstractNum>
  <w:abstractNum w:abstractNumId="4" w15:restartNumberingAfterBreak="0">
    <w:nsid w:val="2FC270D1"/>
    <w:multiLevelType w:val="hybridMultilevel"/>
    <w:tmpl w:val="8596756E"/>
    <w:lvl w:ilvl="0" w:tplc="0CCC6D28">
      <w:start w:val="1"/>
      <w:numFmt w:val="decimal"/>
      <w:lvlText w:val="%1."/>
      <w:lvlJc w:val="left"/>
      <w:pPr>
        <w:ind w:left="1080" w:hanging="360"/>
      </w:pPr>
      <w:rPr>
        <w:rFonts w:hint="default"/>
      </w:rPr>
    </w:lvl>
    <w:lvl w:ilvl="1" w:tplc="1DF6D136" w:tentative="1">
      <w:start w:val="1"/>
      <w:numFmt w:val="lowerLetter"/>
      <w:lvlText w:val="%2."/>
      <w:lvlJc w:val="left"/>
      <w:pPr>
        <w:ind w:left="1800" w:hanging="360"/>
      </w:pPr>
    </w:lvl>
    <w:lvl w:ilvl="2" w:tplc="7D4429AC" w:tentative="1">
      <w:start w:val="1"/>
      <w:numFmt w:val="lowerRoman"/>
      <w:lvlText w:val="%3."/>
      <w:lvlJc w:val="right"/>
      <w:pPr>
        <w:ind w:left="2520" w:hanging="180"/>
      </w:pPr>
    </w:lvl>
    <w:lvl w:ilvl="3" w:tplc="03320378" w:tentative="1">
      <w:start w:val="1"/>
      <w:numFmt w:val="decimal"/>
      <w:lvlText w:val="%4."/>
      <w:lvlJc w:val="left"/>
      <w:pPr>
        <w:ind w:left="3240" w:hanging="360"/>
      </w:pPr>
    </w:lvl>
    <w:lvl w:ilvl="4" w:tplc="8196EF3A" w:tentative="1">
      <w:start w:val="1"/>
      <w:numFmt w:val="lowerLetter"/>
      <w:lvlText w:val="%5."/>
      <w:lvlJc w:val="left"/>
      <w:pPr>
        <w:ind w:left="3960" w:hanging="360"/>
      </w:pPr>
    </w:lvl>
    <w:lvl w:ilvl="5" w:tplc="118459A4" w:tentative="1">
      <w:start w:val="1"/>
      <w:numFmt w:val="lowerRoman"/>
      <w:lvlText w:val="%6."/>
      <w:lvlJc w:val="right"/>
      <w:pPr>
        <w:ind w:left="4680" w:hanging="180"/>
      </w:pPr>
    </w:lvl>
    <w:lvl w:ilvl="6" w:tplc="66987592" w:tentative="1">
      <w:start w:val="1"/>
      <w:numFmt w:val="decimal"/>
      <w:lvlText w:val="%7."/>
      <w:lvlJc w:val="left"/>
      <w:pPr>
        <w:ind w:left="5400" w:hanging="360"/>
      </w:pPr>
    </w:lvl>
    <w:lvl w:ilvl="7" w:tplc="C32873E0" w:tentative="1">
      <w:start w:val="1"/>
      <w:numFmt w:val="lowerLetter"/>
      <w:lvlText w:val="%8."/>
      <w:lvlJc w:val="left"/>
      <w:pPr>
        <w:ind w:left="6120" w:hanging="360"/>
      </w:pPr>
    </w:lvl>
    <w:lvl w:ilvl="8" w:tplc="CCD0DDF0" w:tentative="1">
      <w:start w:val="1"/>
      <w:numFmt w:val="lowerRoman"/>
      <w:lvlText w:val="%9."/>
      <w:lvlJc w:val="right"/>
      <w:pPr>
        <w:ind w:left="6840" w:hanging="180"/>
      </w:pPr>
    </w:lvl>
  </w:abstractNum>
  <w:abstractNum w:abstractNumId="5" w15:restartNumberingAfterBreak="0">
    <w:nsid w:val="30AA38A5"/>
    <w:multiLevelType w:val="hybridMultilevel"/>
    <w:tmpl w:val="BA5258F0"/>
    <w:lvl w:ilvl="0" w:tplc="F9B2EAAA">
      <w:numFmt w:val="bullet"/>
      <w:lvlText w:val="•"/>
      <w:lvlJc w:val="left"/>
      <w:pPr>
        <w:ind w:left="432" w:hanging="360"/>
      </w:pPr>
      <w:rPr>
        <w:rFonts w:ascii="Times New Roman" w:eastAsiaTheme="minorHAnsi" w:hAnsi="Times New Roman" w:cs="Times New Roman" w:hint="default"/>
      </w:rPr>
    </w:lvl>
    <w:lvl w:ilvl="1" w:tplc="060EA00C" w:tentative="1">
      <w:start w:val="1"/>
      <w:numFmt w:val="bullet"/>
      <w:lvlText w:val="o"/>
      <w:lvlJc w:val="left"/>
      <w:pPr>
        <w:ind w:left="1152" w:hanging="360"/>
      </w:pPr>
      <w:rPr>
        <w:rFonts w:ascii="Courier New" w:hAnsi="Courier New" w:cs="Courier New" w:hint="default"/>
      </w:rPr>
    </w:lvl>
    <w:lvl w:ilvl="2" w:tplc="8474DA48" w:tentative="1">
      <w:start w:val="1"/>
      <w:numFmt w:val="bullet"/>
      <w:lvlText w:val=""/>
      <w:lvlJc w:val="left"/>
      <w:pPr>
        <w:ind w:left="1872" w:hanging="360"/>
      </w:pPr>
      <w:rPr>
        <w:rFonts w:ascii="Wingdings" w:hAnsi="Wingdings" w:hint="default"/>
      </w:rPr>
    </w:lvl>
    <w:lvl w:ilvl="3" w:tplc="9EA4A912" w:tentative="1">
      <w:start w:val="1"/>
      <w:numFmt w:val="bullet"/>
      <w:lvlText w:val=""/>
      <w:lvlJc w:val="left"/>
      <w:pPr>
        <w:ind w:left="2592" w:hanging="360"/>
      </w:pPr>
      <w:rPr>
        <w:rFonts w:ascii="Symbol" w:hAnsi="Symbol" w:hint="default"/>
      </w:rPr>
    </w:lvl>
    <w:lvl w:ilvl="4" w:tplc="CC2AFD5A" w:tentative="1">
      <w:start w:val="1"/>
      <w:numFmt w:val="bullet"/>
      <w:lvlText w:val="o"/>
      <w:lvlJc w:val="left"/>
      <w:pPr>
        <w:ind w:left="3312" w:hanging="360"/>
      </w:pPr>
      <w:rPr>
        <w:rFonts w:ascii="Courier New" w:hAnsi="Courier New" w:cs="Courier New" w:hint="default"/>
      </w:rPr>
    </w:lvl>
    <w:lvl w:ilvl="5" w:tplc="1556D338" w:tentative="1">
      <w:start w:val="1"/>
      <w:numFmt w:val="bullet"/>
      <w:lvlText w:val=""/>
      <w:lvlJc w:val="left"/>
      <w:pPr>
        <w:ind w:left="4032" w:hanging="360"/>
      </w:pPr>
      <w:rPr>
        <w:rFonts w:ascii="Wingdings" w:hAnsi="Wingdings" w:hint="default"/>
      </w:rPr>
    </w:lvl>
    <w:lvl w:ilvl="6" w:tplc="974CA3B2" w:tentative="1">
      <w:start w:val="1"/>
      <w:numFmt w:val="bullet"/>
      <w:lvlText w:val=""/>
      <w:lvlJc w:val="left"/>
      <w:pPr>
        <w:ind w:left="4752" w:hanging="360"/>
      </w:pPr>
      <w:rPr>
        <w:rFonts w:ascii="Symbol" w:hAnsi="Symbol" w:hint="default"/>
      </w:rPr>
    </w:lvl>
    <w:lvl w:ilvl="7" w:tplc="50E0FCDA" w:tentative="1">
      <w:start w:val="1"/>
      <w:numFmt w:val="bullet"/>
      <w:lvlText w:val="o"/>
      <w:lvlJc w:val="left"/>
      <w:pPr>
        <w:ind w:left="5472" w:hanging="360"/>
      </w:pPr>
      <w:rPr>
        <w:rFonts w:ascii="Courier New" w:hAnsi="Courier New" w:cs="Courier New" w:hint="default"/>
      </w:rPr>
    </w:lvl>
    <w:lvl w:ilvl="8" w:tplc="DE8882DA" w:tentative="1">
      <w:start w:val="1"/>
      <w:numFmt w:val="bullet"/>
      <w:lvlText w:val=""/>
      <w:lvlJc w:val="left"/>
      <w:pPr>
        <w:ind w:left="6192" w:hanging="360"/>
      </w:pPr>
      <w:rPr>
        <w:rFonts w:ascii="Wingdings" w:hAnsi="Wingdings" w:hint="default"/>
      </w:rPr>
    </w:lvl>
  </w:abstractNum>
  <w:abstractNum w:abstractNumId="6" w15:restartNumberingAfterBreak="0">
    <w:nsid w:val="38A84F7E"/>
    <w:multiLevelType w:val="hybridMultilevel"/>
    <w:tmpl w:val="C46E6AB0"/>
    <w:lvl w:ilvl="0" w:tplc="A62C7874">
      <w:start w:val="2"/>
      <w:numFmt w:val="bullet"/>
      <w:lvlText w:val="•"/>
      <w:lvlJc w:val="left"/>
      <w:pPr>
        <w:ind w:left="420" w:hanging="360"/>
      </w:pPr>
      <w:rPr>
        <w:rFonts w:ascii="Times New Roman" w:eastAsiaTheme="minorHAnsi" w:hAnsi="Times New Roman" w:cs="Times New Roman" w:hint="default"/>
      </w:rPr>
    </w:lvl>
    <w:lvl w:ilvl="1" w:tplc="827E7D98" w:tentative="1">
      <w:start w:val="1"/>
      <w:numFmt w:val="bullet"/>
      <w:lvlText w:val="o"/>
      <w:lvlJc w:val="left"/>
      <w:pPr>
        <w:ind w:left="1140" w:hanging="360"/>
      </w:pPr>
      <w:rPr>
        <w:rFonts w:ascii="Courier New" w:hAnsi="Courier New" w:cs="Courier New" w:hint="default"/>
      </w:rPr>
    </w:lvl>
    <w:lvl w:ilvl="2" w:tplc="C458D994" w:tentative="1">
      <w:start w:val="1"/>
      <w:numFmt w:val="bullet"/>
      <w:lvlText w:val=""/>
      <w:lvlJc w:val="left"/>
      <w:pPr>
        <w:ind w:left="1860" w:hanging="360"/>
      </w:pPr>
      <w:rPr>
        <w:rFonts w:ascii="Wingdings" w:hAnsi="Wingdings" w:hint="default"/>
      </w:rPr>
    </w:lvl>
    <w:lvl w:ilvl="3" w:tplc="A886B188" w:tentative="1">
      <w:start w:val="1"/>
      <w:numFmt w:val="bullet"/>
      <w:lvlText w:val=""/>
      <w:lvlJc w:val="left"/>
      <w:pPr>
        <w:ind w:left="2580" w:hanging="360"/>
      </w:pPr>
      <w:rPr>
        <w:rFonts w:ascii="Symbol" w:hAnsi="Symbol" w:hint="default"/>
      </w:rPr>
    </w:lvl>
    <w:lvl w:ilvl="4" w:tplc="2BF49668" w:tentative="1">
      <w:start w:val="1"/>
      <w:numFmt w:val="bullet"/>
      <w:lvlText w:val="o"/>
      <w:lvlJc w:val="left"/>
      <w:pPr>
        <w:ind w:left="3300" w:hanging="360"/>
      </w:pPr>
      <w:rPr>
        <w:rFonts w:ascii="Courier New" w:hAnsi="Courier New" w:cs="Courier New" w:hint="default"/>
      </w:rPr>
    </w:lvl>
    <w:lvl w:ilvl="5" w:tplc="B680DE3E" w:tentative="1">
      <w:start w:val="1"/>
      <w:numFmt w:val="bullet"/>
      <w:lvlText w:val=""/>
      <w:lvlJc w:val="left"/>
      <w:pPr>
        <w:ind w:left="4020" w:hanging="360"/>
      </w:pPr>
      <w:rPr>
        <w:rFonts w:ascii="Wingdings" w:hAnsi="Wingdings" w:hint="default"/>
      </w:rPr>
    </w:lvl>
    <w:lvl w:ilvl="6" w:tplc="6CB27408" w:tentative="1">
      <w:start w:val="1"/>
      <w:numFmt w:val="bullet"/>
      <w:lvlText w:val=""/>
      <w:lvlJc w:val="left"/>
      <w:pPr>
        <w:ind w:left="4740" w:hanging="360"/>
      </w:pPr>
      <w:rPr>
        <w:rFonts w:ascii="Symbol" w:hAnsi="Symbol" w:hint="default"/>
      </w:rPr>
    </w:lvl>
    <w:lvl w:ilvl="7" w:tplc="CF9E6B00" w:tentative="1">
      <w:start w:val="1"/>
      <w:numFmt w:val="bullet"/>
      <w:lvlText w:val="o"/>
      <w:lvlJc w:val="left"/>
      <w:pPr>
        <w:ind w:left="5460" w:hanging="360"/>
      </w:pPr>
      <w:rPr>
        <w:rFonts w:ascii="Courier New" w:hAnsi="Courier New" w:cs="Courier New" w:hint="default"/>
      </w:rPr>
    </w:lvl>
    <w:lvl w:ilvl="8" w:tplc="61E28C4A" w:tentative="1">
      <w:start w:val="1"/>
      <w:numFmt w:val="bullet"/>
      <w:lvlText w:val=""/>
      <w:lvlJc w:val="left"/>
      <w:pPr>
        <w:ind w:left="6180" w:hanging="360"/>
      </w:pPr>
      <w:rPr>
        <w:rFonts w:ascii="Wingdings" w:hAnsi="Wingdings" w:hint="default"/>
      </w:rPr>
    </w:lvl>
  </w:abstractNum>
  <w:abstractNum w:abstractNumId="7" w15:restartNumberingAfterBreak="0">
    <w:nsid w:val="3C240016"/>
    <w:multiLevelType w:val="hybridMultilevel"/>
    <w:tmpl w:val="EA902A44"/>
    <w:lvl w:ilvl="0" w:tplc="039E1236">
      <w:start w:val="1"/>
      <w:numFmt w:val="bullet"/>
      <w:lvlText w:val=""/>
      <w:lvlJc w:val="left"/>
      <w:pPr>
        <w:ind w:left="720" w:hanging="360"/>
      </w:pPr>
      <w:rPr>
        <w:rFonts w:ascii="Symbol" w:hAnsi="Symbol" w:hint="default"/>
      </w:rPr>
    </w:lvl>
    <w:lvl w:ilvl="1" w:tplc="21066B36" w:tentative="1">
      <w:start w:val="1"/>
      <w:numFmt w:val="bullet"/>
      <w:lvlText w:val="o"/>
      <w:lvlJc w:val="left"/>
      <w:pPr>
        <w:ind w:left="1440" w:hanging="360"/>
      </w:pPr>
      <w:rPr>
        <w:rFonts w:ascii="Courier New" w:hAnsi="Courier New" w:cs="Courier New" w:hint="default"/>
      </w:rPr>
    </w:lvl>
    <w:lvl w:ilvl="2" w:tplc="772C5140" w:tentative="1">
      <w:start w:val="1"/>
      <w:numFmt w:val="bullet"/>
      <w:lvlText w:val=""/>
      <w:lvlJc w:val="left"/>
      <w:pPr>
        <w:ind w:left="2160" w:hanging="360"/>
      </w:pPr>
      <w:rPr>
        <w:rFonts w:ascii="Wingdings" w:hAnsi="Wingdings" w:hint="default"/>
      </w:rPr>
    </w:lvl>
    <w:lvl w:ilvl="3" w:tplc="95C062E4" w:tentative="1">
      <w:start w:val="1"/>
      <w:numFmt w:val="bullet"/>
      <w:lvlText w:val=""/>
      <w:lvlJc w:val="left"/>
      <w:pPr>
        <w:ind w:left="2880" w:hanging="360"/>
      </w:pPr>
      <w:rPr>
        <w:rFonts w:ascii="Symbol" w:hAnsi="Symbol" w:hint="default"/>
      </w:rPr>
    </w:lvl>
    <w:lvl w:ilvl="4" w:tplc="50B25376" w:tentative="1">
      <w:start w:val="1"/>
      <w:numFmt w:val="bullet"/>
      <w:lvlText w:val="o"/>
      <w:lvlJc w:val="left"/>
      <w:pPr>
        <w:ind w:left="3600" w:hanging="360"/>
      </w:pPr>
      <w:rPr>
        <w:rFonts w:ascii="Courier New" w:hAnsi="Courier New" w:cs="Courier New" w:hint="default"/>
      </w:rPr>
    </w:lvl>
    <w:lvl w:ilvl="5" w:tplc="4284275E" w:tentative="1">
      <w:start w:val="1"/>
      <w:numFmt w:val="bullet"/>
      <w:lvlText w:val=""/>
      <w:lvlJc w:val="left"/>
      <w:pPr>
        <w:ind w:left="4320" w:hanging="360"/>
      </w:pPr>
      <w:rPr>
        <w:rFonts w:ascii="Wingdings" w:hAnsi="Wingdings" w:hint="default"/>
      </w:rPr>
    </w:lvl>
    <w:lvl w:ilvl="6" w:tplc="A90CD9C2" w:tentative="1">
      <w:start w:val="1"/>
      <w:numFmt w:val="bullet"/>
      <w:lvlText w:val=""/>
      <w:lvlJc w:val="left"/>
      <w:pPr>
        <w:ind w:left="5040" w:hanging="360"/>
      </w:pPr>
      <w:rPr>
        <w:rFonts w:ascii="Symbol" w:hAnsi="Symbol" w:hint="default"/>
      </w:rPr>
    </w:lvl>
    <w:lvl w:ilvl="7" w:tplc="811CB388" w:tentative="1">
      <w:start w:val="1"/>
      <w:numFmt w:val="bullet"/>
      <w:lvlText w:val="o"/>
      <w:lvlJc w:val="left"/>
      <w:pPr>
        <w:ind w:left="5760" w:hanging="360"/>
      </w:pPr>
      <w:rPr>
        <w:rFonts w:ascii="Courier New" w:hAnsi="Courier New" w:cs="Courier New" w:hint="default"/>
      </w:rPr>
    </w:lvl>
    <w:lvl w:ilvl="8" w:tplc="0DF0F096" w:tentative="1">
      <w:start w:val="1"/>
      <w:numFmt w:val="bullet"/>
      <w:lvlText w:val=""/>
      <w:lvlJc w:val="left"/>
      <w:pPr>
        <w:ind w:left="6480" w:hanging="360"/>
      </w:pPr>
      <w:rPr>
        <w:rFonts w:ascii="Wingdings" w:hAnsi="Wingdings" w:hint="default"/>
      </w:rPr>
    </w:lvl>
  </w:abstractNum>
  <w:abstractNum w:abstractNumId="8" w15:restartNumberingAfterBreak="0">
    <w:nsid w:val="573D7EA9"/>
    <w:multiLevelType w:val="multilevel"/>
    <w:tmpl w:val="E37E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261C4"/>
    <w:multiLevelType w:val="multilevel"/>
    <w:tmpl w:val="F30A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04B79"/>
    <w:multiLevelType w:val="hybridMultilevel"/>
    <w:tmpl w:val="D78805E6"/>
    <w:lvl w:ilvl="0" w:tplc="ACCE0100">
      <w:start w:val="12"/>
      <w:numFmt w:val="decimal"/>
      <w:lvlText w:val="%1."/>
      <w:lvlJc w:val="left"/>
      <w:pPr>
        <w:ind w:left="450" w:hanging="360"/>
      </w:pPr>
      <w:rPr>
        <w:rFonts w:hint="default"/>
      </w:rPr>
    </w:lvl>
    <w:lvl w:ilvl="1" w:tplc="DD80FB42" w:tentative="1">
      <w:start w:val="1"/>
      <w:numFmt w:val="lowerLetter"/>
      <w:lvlText w:val="%2."/>
      <w:lvlJc w:val="left"/>
      <w:pPr>
        <w:ind w:left="1170" w:hanging="360"/>
      </w:pPr>
    </w:lvl>
    <w:lvl w:ilvl="2" w:tplc="C2DCF6AA" w:tentative="1">
      <w:start w:val="1"/>
      <w:numFmt w:val="lowerRoman"/>
      <w:lvlText w:val="%3."/>
      <w:lvlJc w:val="right"/>
      <w:pPr>
        <w:ind w:left="1890" w:hanging="180"/>
      </w:pPr>
    </w:lvl>
    <w:lvl w:ilvl="3" w:tplc="9656DE36" w:tentative="1">
      <w:start w:val="1"/>
      <w:numFmt w:val="decimal"/>
      <w:lvlText w:val="%4."/>
      <w:lvlJc w:val="left"/>
      <w:pPr>
        <w:ind w:left="2610" w:hanging="360"/>
      </w:pPr>
    </w:lvl>
    <w:lvl w:ilvl="4" w:tplc="655E27A8" w:tentative="1">
      <w:start w:val="1"/>
      <w:numFmt w:val="lowerLetter"/>
      <w:lvlText w:val="%5."/>
      <w:lvlJc w:val="left"/>
      <w:pPr>
        <w:ind w:left="3330" w:hanging="360"/>
      </w:pPr>
    </w:lvl>
    <w:lvl w:ilvl="5" w:tplc="9FD2BF0C" w:tentative="1">
      <w:start w:val="1"/>
      <w:numFmt w:val="lowerRoman"/>
      <w:lvlText w:val="%6."/>
      <w:lvlJc w:val="right"/>
      <w:pPr>
        <w:ind w:left="4050" w:hanging="180"/>
      </w:pPr>
    </w:lvl>
    <w:lvl w:ilvl="6" w:tplc="CC101100" w:tentative="1">
      <w:start w:val="1"/>
      <w:numFmt w:val="decimal"/>
      <w:lvlText w:val="%7."/>
      <w:lvlJc w:val="left"/>
      <w:pPr>
        <w:ind w:left="4770" w:hanging="360"/>
      </w:pPr>
    </w:lvl>
    <w:lvl w:ilvl="7" w:tplc="AED6E80E" w:tentative="1">
      <w:start w:val="1"/>
      <w:numFmt w:val="lowerLetter"/>
      <w:lvlText w:val="%8."/>
      <w:lvlJc w:val="left"/>
      <w:pPr>
        <w:ind w:left="5490" w:hanging="360"/>
      </w:pPr>
    </w:lvl>
    <w:lvl w:ilvl="8" w:tplc="E7BA7ED8" w:tentative="1">
      <w:start w:val="1"/>
      <w:numFmt w:val="lowerRoman"/>
      <w:lvlText w:val="%9."/>
      <w:lvlJc w:val="right"/>
      <w:pPr>
        <w:ind w:left="6210" w:hanging="180"/>
      </w:pPr>
    </w:lvl>
  </w:abstractNum>
  <w:num w:numId="1">
    <w:abstractNumId w:val="7"/>
  </w:num>
  <w:num w:numId="2">
    <w:abstractNumId w:val="5"/>
  </w:num>
  <w:num w:numId="3">
    <w:abstractNumId w:val="1"/>
  </w:num>
  <w:num w:numId="4">
    <w:abstractNumId w:val="3"/>
  </w:num>
  <w:num w:numId="5">
    <w:abstractNumId w:val="0"/>
  </w:num>
  <w:num w:numId="6">
    <w:abstractNumId w:val="2"/>
  </w:num>
  <w:num w:numId="7">
    <w:abstractNumId w:val="6"/>
  </w:num>
  <w:num w:numId="8">
    <w:abstractNumId w:val="9"/>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06C"/>
    <w:rsid w:val="000056C5"/>
    <w:rsid w:val="00016916"/>
    <w:rsid w:val="000322F8"/>
    <w:rsid w:val="00035C14"/>
    <w:rsid w:val="000421BD"/>
    <w:rsid w:val="00067808"/>
    <w:rsid w:val="00083E02"/>
    <w:rsid w:val="00084E22"/>
    <w:rsid w:val="000C1647"/>
    <w:rsid w:val="000E3AB7"/>
    <w:rsid w:val="00103FA3"/>
    <w:rsid w:val="00113238"/>
    <w:rsid w:val="00122CAD"/>
    <w:rsid w:val="00156C9D"/>
    <w:rsid w:val="0016006C"/>
    <w:rsid w:val="00164FDA"/>
    <w:rsid w:val="00190C62"/>
    <w:rsid w:val="001A526E"/>
    <w:rsid w:val="001C4DF9"/>
    <w:rsid w:val="001D330D"/>
    <w:rsid w:val="001D3F5C"/>
    <w:rsid w:val="001D6D97"/>
    <w:rsid w:val="001E6E0D"/>
    <w:rsid w:val="001F7DC1"/>
    <w:rsid w:val="00216617"/>
    <w:rsid w:val="002303D2"/>
    <w:rsid w:val="00261F27"/>
    <w:rsid w:val="0027509B"/>
    <w:rsid w:val="00276BAE"/>
    <w:rsid w:val="002A7ECF"/>
    <w:rsid w:val="002C5331"/>
    <w:rsid w:val="002D5A67"/>
    <w:rsid w:val="003449A5"/>
    <w:rsid w:val="00346023"/>
    <w:rsid w:val="00354C69"/>
    <w:rsid w:val="00360B4B"/>
    <w:rsid w:val="00381BDE"/>
    <w:rsid w:val="003A32F9"/>
    <w:rsid w:val="003B4158"/>
    <w:rsid w:val="003B4ED9"/>
    <w:rsid w:val="003C6E5D"/>
    <w:rsid w:val="003C7D9D"/>
    <w:rsid w:val="00417B8F"/>
    <w:rsid w:val="004323ED"/>
    <w:rsid w:val="00441656"/>
    <w:rsid w:val="00445A61"/>
    <w:rsid w:val="00454704"/>
    <w:rsid w:val="00464BAE"/>
    <w:rsid w:val="00465E13"/>
    <w:rsid w:val="00481863"/>
    <w:rsid w:val="004B00DE"/>
    <w:rsid w:val="004C277C"/>
    <w:rsid w:val="004D369F"/>
    <w:rsid w:val="004D5821"/>
    <w:rsid w:val="004F161F"/>
    <w:rsid w:val="00514F3F"/>
    <w:rsid w:val="00531300"/>
    <w:rsid w:val="0056615E"/>
    <w:rsid w:val="00576FB4"/>
    <w:rsid w:val="00582945"/>
    <w:rsid w:val="005A781C"/>
    <w:rsid w:val="005B102A"/>
    <w:rsid w:val="005D68D9"/>
    <w:rsid w:val="005E38BD"/>
    <w:rsid w:val="005E7EFF"/>
    <w:rsid w:val="006214B4"/>
    <w:rsid w:val="0065644B"/>
    <w:rsid w:val="00675E83"/>
    <w:rsid w:val="006A18A2"/>
    <w:rsid w:val="006A34B0"/>
    <w:rsid w:val="006E02D6"/>
    <w:rsid w:val="006E4FB4"/>
    <w:rsid w:val="006F204E"/>
    <w:rsid w:val="0070102B"/>
    <w:rsid w:val="00716202"/>
    <w:rsid w:val="00734D6A"/>
    <w:rsid w:val="00750F10"/>
    <w:rsid w:val="007647E9"/>
    <w:rsid w:val="00792581"/>
    <w:rsid w:val="007C6F4E"/>
    <w:rsid w:val="007D502B"/>
    <w:rsid w:val="007F3E5E"/>
    <w:rsid w:val="00833D8B"/>
    <w:rsid w:val="00874015"/>
    <w:rsid w:val="00884D3C"/>
    <w:rsid w:val="008B5619"/>
    <w:rsid w:val="008F121D"/>
    <w:rsid w:val="009135E6"/>
    <w:rsid w:val="00931FCF"/>
    <w:rsid w:val="0098502D"/>
    <w:rsid w:val="009A105C"/>
    <w:rsid w:val="009C30F1"/>
    <w:rsid w:val="00A0543C"/>
    <w:rsid w:val="00A32697"/>
    <w:rsid w:val="00A34F9C"/>
    <w:rsid w:val="00A5551F"/>
    <w:rsid w:val="00A9059B"/>
    <w:rsid w:val="00A91359"/>
    <w:rsid w:val="00AC08E6"/>
    <w:rsid w:val="00AD3589"/>
    <w:rsid w:val="00B11B6F"/>
    <w:rsid w:val="00B31506"/>
    <w:rsid w:val="00B92AA6"/>
    <w:rsid w:val="00B9672F"/>
    <w:rsid w:val="00BD4D5C"/>
    <w:rsid w:val="00BF2067"/>
    <w:rsid w:val="00BF6FD7"/>
    <w:rsid w:val="00C24D1B"/>
    <w:rsid w:val="00C41A1E"/>
    <w:rsid w:val="00C80F26"/>
    <w:rsid w:val="00CA56AB"/>
    <w:rsid w:val="00CB4709"/>
    <w:rsid w:val="00CB4A44"/>
    <w:rsid w:val="00CC58E9"/>
    <w:rsid w:val="00CC65B2"/>
    <w:rsid w:val="00D15116"/>
    <w:rsid w:val="00D16012"/>
    <w:rsid w:val="00D21914"/>
    <w:rsid w:val="00D4480A"/>
    <w:rsid w:val="00DA5691"/>
    <w:rsid w:val="00DC16C9"/>
    <w:rsid w:val="00DD35B5"/>
    <w:rsid w:val="00E37E9D"/>
    <w:rsid w:val="00E41ABF"/>
    <w:rsid w:val="00E42D7F"/>
    <w:rsid w:val="00E4368D"/>
    <w:rsid w:val="00E46824"/>
    <w:rsid w:val="00E60169"/>
    <w:rsid w:val="00E819A5"/>
    <w:rsid w:val="00EA2514"/>
    <w:rsid w:val="00EA3741"/>
    <w:rsid w:val="00EB2D69"/>
    <w:rsid w:val="00EC7937"/>
    <w:rsid w:val="00EE744C"/>
    <w:rsid w:val="00EF67C9"/>
    <w:rsid w:val="00F225AA"/>
    <w:rsid w:val="00F419DB"/>
    <w:rsid w:val="00F44BED"/>
    <w:rsid w:val="00F47192"/>
    <w:rsid w:val="00F60562"/>
    <w:rsid w:val="00F808DF"/>
    <w:rsid w:val="00FC4094"/>
    <w:rsid w:val="00FD5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56C24"/>
  <w15:docId w15:val="{4BFB76F0-BB34-4A49-94B4-B12F02EF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4D3C"/>
    <w:rPr>
      <w:b/>
      <w:bCs/>
    </w:rPr>
  </w:style>
  <w:style w:type="paragraph" w:styleId="BalloonText">
    <w:name w:val="Balloon Text"/>
    <w:basedOn w:val="Normal"/>
    <w:link w:val="BalloonTextChar"/>
    <w:uiPriority w:val="99"/>
    <w:semiHidden/>
    <w:unhideWhenUsed/>
    <w:rsid w:val="00D44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80A"/>
    <w:rPr>
      <w:rFonts w:ascii="Tahoma" w:hAnsi="Tahoma" w:cs="Tahoma"/>
      <w:sz w:val="16"/>
      <w:szCs w:val="16"/>
    </w:rPr>
  </w:style>
  <w:style w:type="paragraph" w:styleId="NormalWeb">
    <w:name w:val="Normal (Web)"/>
    <w:basedOn w:val="Normal"/>
    <w:uiPriority w:val="99"/>
    <w:unhideWhenUsed/>
    <w:rsid w:val="000678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691"/>
  </w:style>
  <w:style w:type="paragraph" w:styleId="Footer">
    <w:name w:val="footer"/>
    <w:basedOn w:val="Normal"/>
    <w:link w:val="FooterChar"/>
    <w:uiPriority w:val="99"/>
    <w:unhideWhenUsed/>
    <w:rsid w:val="00DA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691"/>
  </w:style>
  <w:style w:type="paragraph" w:styleId="ListParagraph">
    <w:name w:val="List Paragraph"/>
    <w:basedOn w:val="Normal"/>
    <w:uiPriority w:val="34"/>
    <w:qFormat/>
    <w:rsid w:val="005A781C"/>
    <w:pPr>
      <w:ind w:left="720"/>
      <w:contextualSpacing/>
    </w:pPr>
  </w:style>
  <w:style w:type="table" w:styleId="LightList-Accent5">
    <w:name w:val="Light List Accent 5"/>
    <w:basedOn w:val="TableNormal"/>
    <w:uiPriority w:val="61"/>
    <w:rsid w:val="00C24D1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1D330D"/>
    <w:rPr>
      <w:color w:val="0000FF" w:themeColor="hyperlink"/>
      <w:u w:val="single"/>
    </w:rPr>
  </w:style>
  <w:style w:type="character" w:styleId="Emphasis">
    <w:name w:val="Emphasis"/>
    <w:basedOn w:val="DefaultParagraphFont"/>
    <w:uiPriority w:val="20"/>
    <w:qFormat/>
    <w:rsid w:val="00DD35B5"/>
    <w:rPr>
      <w:i/>
      <w:iCs/>
    </w:rPr>
  </w:style>
  <w:style w:type="character" w:styleId="UnresolvedMention">
    <w:name w:val="Unresolved Mention"/>
    <w:basedOn w:val="DefaultParagraphFont"/>
    <w:uiPriority w:val="99"/>
    <w:semiHidden/>
    <w:unhideWhenUsed/>
    <w:rsid w:val="00E81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yperlink" Target="https://lifechemicals.com/blog/computational-chemistry/424-importance-of-adme/tox-in-early-drug-discovery"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yperlink" Target="https://doi.org/10.1371/journal.%20pone.0283289"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yperlink" Target="https://doi.org/10.1038/nri.201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hyperlink" Target="https://www.scirp.org/%28S%28czeh4tfqyw2orz553k1w0r45%29%29/reference/referencespapers?referenceid=3192606&amp;utm_source=chatgpt.com"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8.png"/><Relationship Id="rId27" Type="http://schemas.openxmlformats.org/officeDocument/2006/relationships/hyperlink" Target="https://doi.org/10.1146/annurev.pa.20.040180.00230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64C5E-B994-4762-9420-1F4DDC0C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4197</Words>
  <Characters>23924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1084</cp:lastModifiedBy>
  <cp:revision>6</cp:revision>
  <cp:lastPrinted>2025-05-07T22:57:00Z</cp:lastPrinted>
  <dcterms:created xsi:type="dcterms:W3CDTF">2025-06-30T20:33:00Z</dcterms:created>
  <dcterms:modified xsi:type="dcterms:W3CDTF">2025-07-02T07:18:00Z</dcterms:modified>
</cp:coreProperties>
</file>