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BF8C8" w14:textId="0E5E5C63" w:rsidR="007054AE" w:rsidRPr="003D3444" w:rsidRDefault="007054AE" w:rsidP="007054AE">
      <w:pPr>
        <w:pStyle w:val="NoSpacing"/>
        <w:jc w:val="both"/>
        <w:rPr>
          <w:b/>
        </w:rPr>
      </w:pPr>
      <w:r>
        <w:rPr>
          <w:b/>
        </w:rPr>
        <w:t>Assessing</w:t>
      </w:r>
      <w:r w:rsidRPr="003D3444">
        <w:rPr>
          <w:b/>
        </w:rPr>
        <w:t xml:space="preserve"> the Economic Viability of Cage Culture in Manasbal Lake, Kashmir: Lessons for Future Success</w:t>
      </w:r>
    </w:p>
    <w:p w14:paraId="1FE4022D" w14:textId="77777777" w:rsidR="007054AE" w:rsidRDefault="007054AE" w:rsidP="007054AE">
      <w:pPr>
        <w:pStyle w:val="NoSpacing"/>
        <w:jc w:val="both"/>
      </w:pPr>
    </w:p>
    <w:p w14:paraId="1A27EFBC" w14:textId="77777777" w:rsidR="00B51060" w:rsidRDefault="00B51060" w:rsidP="00873136">
      <w:pPr>
        <w:pStyle w:val="NoSpacing"/>
        <w:spacing w:line="360" w:lineRule="auto"/>
        <w:jc w:val="both"/>
        <w:rPr>
          <w:rFonts w:ascii="Times New Roman" w:hAnsi="Times New Roman" w:cs="Times New Roman"/>
          <w:b/>
        </w:rPr>
      </w:pPr>
    </w:p>
    <w:p w14:paraId="431DE704" w14:textId="77777777" w:rsidR="008D606A" w:rsidRDefault="008A7AE7" w:rsidP="00873136">
      <w:pPr>
        <w:pStyle w:val="NoSpacing"/>
        <w:spacing w:line="360" w:lineRule="auto"/>
        <w:jc w:val="both"/>
        <w:rPr>
          <w:rFonts w:ascii="Times New Roman" w:hAnsi="Times New Roman" w:cs="Times New Roman"/>
          <w:b/>
        </w:rPr>
      </w:pPr>
      <w:r>
        <w:rPr>
          <w:rFonts w:ascii="Times New Roman" w:hAnsi="Times New Roman" w:cs="Times New Roman"/>
          <w:b/>
        </w:rPr>
        <w:t xml:space="preserve">Abstract </w:t>
      </w:r>
    </w:p>
    <w:p w14:paraId="6D344F75" w14:textId="77777777" w:rsidR="008D606A" w:rsidRDefault="00125BC6" w:rsidP="00873136">
      <w:pPr>
        <w:spacing w:line="360" w:lineRule="auto"/>
        <w:jc w:val="both"/>
        <w:rPr>
          <w:rFonts w:ascii="Times New Roman" w:hAnsi="Times New Roman" w:cs="Times New Roman"/>
        </w:rPr>
      </w:pPr>
      <w:r w:rsidRPr="00125BC6">
        <w:rPr>
          <w:rFonts w:ascii="Times New Roman" w:hAnsi="Times New Roman" w:cs="Times New Roman"/>
        </w:rPr>
        <w:t xml:space="preserve">Cage aquaculture has flourished well across the globe. In India, inland open-cage aquaculture has gained prominence. The country has started seeking cage potential in untapped lakes and reservoirs to increase fish production, meet the protein demand, and provide livelihood opportunities to local landless fishers. In this context, the Department of Fisheries, Jammu and Kashmir, started experimental cage farming in Manasbal Lake Kashmir in 2013-14. However, after completing the project in 2016-17, the cage farming practice in the lake was stopped. Considering this, an economic analysis of the experimental cage culture was mandatory to know the reasons for its failure and suggest evidence-based interventions to avoid such shortcomings for other temperate water bodies in the country. The net present value (₹ -713844), benefit-cost ratio (-0.97), internal rate of return (&lt;0%) and negative payback period (-5.94) showed non-economic viability and poor financial performance of the venture in the region. Feed expenses formed the highest cost component </w:t>
      </w:r>
      <w:proofErr w:type="gramStart"/>
      <w:r w:rsidRPr="00125BC6">
        <w:rPr>
          <w:rFonts w:ascii="Times New Roman" w:hAnsi="Times New Roman" w:cs="Times New Roman"/>
        </w:rPr>
        <w:t>of  ₹</w:t>
      </w:r>
      <w:proofErr w:type="gramEnd"/>
      <w:r w:rsidRPr="00125BC6">
        <w:rPr>
          <w:rFonts w:ascii="Times New Roman" w:hAnsi="Times New Roman" w:cs="Times New Roman"/>
        </w:rPr>
        <w:t xml:space="preserve"> 302170 (86.27%) among variable costs, followed by permanent human labour of ₹ 2 lakhs (51.53%) among the annual fixed costs. The production of one kilogram of fish required ₹ 220, which remunerated ₹ 120 as revenue. Future research could focus on developing locally-sourced feed ingredients and creating cost-effective floating feed formulations that meet the dietary needs of exotic carps, particularly for cage culture in lakes like Dal, Manasbal, and Wular in Kashmir. Proper utilization of scientific knowledge can help to improve the economic viability of cages in the region. Besides, other livelihood opportunities can also be provided for local fishers by modifying the cage for recreational purposes.</w:t>
      </w:r>
      <w:r w:rsidR="008A7AE7">
        <w:rPr>
          <w:rFonts w:ascii="Times New Roman" w:hAnsi="Times New Roman" w:cs="Times New Roman"/>
        </w:rPr>
        <w:t xml:space="preserve"> </w:t>
      </w:r>
    </w:p>
    <w:p w14:paraId="0AD92588" w14:textId="77777777" w:rsidR="00A30141" w:rsidRDefault="00A30141" w:rsidP="00A30141">
      <w:pPr>
        <w:pStyle w:val="NoSpacing"/>
        <w:rPr>
          <w:rFonts w:ascii="Times New Roman" w:hAnsi="Times New Roman" w:cs="Times New Roman"/>
        </w:rPr>
      </w:pPr>
      <w:r>
        <w:rPr>
          <w:rFonts w:ascii="Times New Roman" w:hAnsi="Times New Roman" w:cs="Times New Roman"/>
          <w:b/>
        </w:rPr>
        <w:t>Keywords:</w:t>
      </w:r>
      <w:r>
        <w:rPr>
          <w:rFonts w:ascii="Times New Roman" w:hAnsi="Times New Roman" w:cs="Times New Roman"/>
        </w:rPr>
        <w:t xml:space="preserve"> Benefit-cost ratio, economic viability, cage culture, Manasbal Lake, feed conversion ratio </w:t>
      </w:r>
    </w:p>
    <w:p w14:paraId="478186C8" w14:textId="77777777" w:rsidR="00A30141" w:rsidRDefault="00A30141" w:rsidP="00873136">
      <w:pPr>
        <w:spacing w:line="360" w:lineRule="auto"/>
        <w:jc w:val="both"/>
        <w:rPr>
          <w:rFonts w:ascii="Times New Roman" w:hAnsi="Times New Roman" w:cs="Times New Roman"/>
        </w:rPr>
      </w:pPr>
    </w:p>
    <w:p w14:paraId="4F1C7F39" w14:textId="77777777" w:rsidR="008D606A" w:rsidRDefault="008A7AE7" w:rsidP="00873136">
      <w:pPr>
        <w:pStyle w:val="ListParagraph"/>
        <w:numPr>
          <w:ilvl w:val="0"/>
          <w:numId w:val="5"/>
        </w:numPr>
        <w:spacing w:line="360" w:lineRule="auto"/>
        <w:ind w:left="284"/>
        <w:jc w:val="both"/>
        <w:rPr>
          <w:rFonts w:ascii="Times New Roman" w:hAnsi="Times New Roman" w:cs="Times New Roman"/>
        </w:rPr>
      </w:pPr>
      <w:r>
        <w:rPr>
          <w:rFonts w:ascii="Times New Roman" w:hAnsi="Times New Roman" w:cs="Times New Roman"/>
          <w:b/>
        </w:rPr>
        <w:t>Introduction</w:t>
      </w:r>
    </w:p>
    <w:p w14:paraId="13497C03" w14:textId="77777777" w:rsidR="008D606A" w:rsidRDefault="008A7AE7" w:rsidP="00873136">
      <w:pPr>
        <w:spacing w:line="360" w:lineRule="auto"/>
        <w:ind w:firstLine="720"/>
        <w:jc w:val="both"/>
        <w:rPr>
          <w:rFonts w:ascii="Times New Roman" w:hAnsi="Times New Roman" w:cs="Times New Roman"/>
        </w:rPr>
      </w:pPr>
      <w:r>
        <w:rPr>
          <w:rFonts w:ascii="Times New Roman" w:hAnsi="Times New Roman" w:cs="Times New Roman"/>
        </w:rPr>
        <w:t>Cage culture is a farming practice in which aquatic organisms are reared in an enclosed space, surrounded by a cage frame as support and nylon nets through which free exchange of water from the water body to the cage and vice versa takes place. The bottom of the enclosed nets never touches the ground and is at least 1 meter above the soil water interface (NFDB, 2016). The main aim of this intensive aquaculture practice is to meet the protein demand of the increasing global population by augmenting fish production (FAO, 2020</w:t>
      </w:r>
      <w:r w:rsidR="005E4F46">
        <w:rPr>
          <w:rFonts w:ascii="Times New Roman" w:hAnsi="Times New Roman" w:cs="Times New Roman"/>
        </w:rPr>
        <w:t xml:space="preserve">; </w:t>
      </w:r>
      <w:r w:rsidR="005E4F46" w:rsidRPr="005E4F46">
        <w:rPr>
          <w:rFonts w:ascii="Times New Roman" w:hAnsi="Times New Roman" w:cs="Times New Roman"/>
        </w:rPr>
        <w:t>Wang et al., 2024</w:t>
      </w:r>
      <w:r w:rsidRPr="005E4F46">
        <w:rPr>
          <w:rFonts w:ascii="Times New Roman" w:hAnsi="Times New Roman" w:cs="Times New Roman"/>
        </w:rPr>
        <w:t>).</w:t>
      </w:r>
      <w:r>
        <w:rPr>
          <w:rFonts w:ascii="Times New Roman" w:hAnsi="Times New Roman" w:cs="Times New Roman"/>
        </w:rPr>
        <w:t xml:space="preserve"> Out of the total global production of 178 million tonnes (MT) of aquatic animals in 2020, 88 MT (49%) is contributed by marine as well as inland aquaculture, of which 66 MT (37%) comes from inland waters (83% aquaculture and 17% capture fisheries). However, the production contribution of Global cage aquaculture to the inland sector is not available</w:t>
      </w:r>
      <w:r w:rsidR="005E4F46">
        <w:rPr>
          <w:rFonts w:ascii="Times New Roman" w:hAnsi="Times New Roman" w:cs="Times New Roman"/>
        </w:rPr>
        <w:t xml:space="preserve"> (FAO, 2024)</w:t>
      </w:r>
      <w:r>
        <w:rPr>
          <w:rFonts w:ascii="Times New Roman" w:hAnsi="Times New Roman" w:cs="Times New Roman"/>
        </w:rPr>
        <w:t xml:space="preserve">. And out of the total first sale value of USD 406 billion, inland aquaculture contributes USD 109.8 billion (FAO, 2022). </w:t>
      </w:r>
      <w:r w:rsidR="00D86320" w:rsidRPr="00D86320">
        <w:rPr>
          <w:rFonts w:ascii="Times New Roman" w:hAnsi="Times New Roman" w:cs="Times New Roman"/>
        </w:rPr>
        <w:t xml:space="preserve">Inland aquaculture in cages originated two centuries ago </w:t>
      </w:r>
      <w:r w:rsidR="00D86320" w:rsidRPr="00D86320">
        <w:rPr>
          <w:rFonts w:ascii="Times New Roman" w:hAnsi="Times New Roman" w:cs="Times New Roman"/>
        </w:rPr>
        <w:lastRenderedPageBreak/>
        <w:t>when Asian people used to hold and transport fish from one place to another.</w:t>
      </w:r>
      <w:r>
        <w:rPr>
          <w:rFonts w:ascii="Times New Roman" w:hAnsi="Times New Roman" w:cs="Times New Roman"/>
        </w:rPr>
        <w:t xml:space="preserve"> However, the commercial cage farming practice started in Norway during the 1970s with the expansion of salmon culture (Tacon and </w:t>
      </w:r>
      <w:proofErr w:type="spellStart"/>
      <w:r>
        <w:rPr>
          <w:rFonts w:ascii="Times New Roman" w:hAnsi="Times New Roman" w:cs="Times New Roman"/>
        </w:rPr>
        <w:t>Halwart</w:t>
      </w:r>
      <w:proofErr w:type="spellEnd"/>
      <w:r w:rsidR="002D30CC">
        <w:rPr>
          <w:rFonts w:ascii="Times New Roman" w:hAnsi="Times New Roman" w:cs="Times New Roman"/>
        </w:rPr>
        <w:t>,</w:t>
      </w:r>
      <w:r>
        <w:rPr>
          <w:rFonts w:ascii="Times New Roman" w:hAnsi="Times New Roman" w:cs="Times New Roman"/>
        </w:rPr>
        <w:t xml:space="preserve"> 2007). In the global context, Indonesia and Philippines have shown significant development in cage farming practice over the last two decades (FAO, 2022).   </w:t>
      </w:r>
    </w:p>
    <w:p w14:paraId="05272B74" w14:textId="77777777" w:rsidR="008D606A" w:rsidRDefault="008A7AE7" w:rsidP="00873136">
      <w:pPr>
        <w:spacing w:line="360" w:lineRule="auto"/>
        <w:ind w:firstLine="720"/>
        <w:jc w:val="both"/>
        <w:rPr>
          <w:rFonts w:ascii="Times New Roman" w:hAnsi="Times New Roman" w:cs="Times New Roman"/>
        </w:rPr>
      </w:pPr>
      <w:r>
        <w:rPr>
          <w:rFonts w:ascii="Times New Roman" w:hAnsi="Times New Roman" w:cs="Times New Roman"/>
        </w:rPr>
        <w:t>Globally, India ranks 3rd (7.96%) in fish production and 2nd in culture production. The country produced 14.73 Million Metric Tonnes (MMT) in 2020-21, out of which 11.25 MMT are from the inland sector and 3.48 MMT from the marine sector, respectively. There has been a continuous increase in fish production in the country ranging from 5.6 MMT in 2000-01 to 14.73 MMT in 2020-21. During the last three decades, there has been a shift from capture to culture fisheries in the inland water resources of the country (</w:t>
      </w:r>
      <w:proofErr w:type="spellStart"/>
      <w:r>
        <w:rPr>
          <w:rFonts w:ascii="Times New Roman" w:hAnsi="Times New Roman" w:cs="Times New Roman"/>
        </w:rPr>
        <w:t>DoF</w:t>
      </w:r>
      <w:proofErr w:type="spellEnd"/>
      <w:r>
        <w:rPr>
          <w:rFonts w:ascii="Times New Roman" w:hAnsi="Times New Roman" w:cs="Times New Roman"/>
        </w:rPr>
        <w:t xml:space="preserve">, </w:t>
      </w:r>
      <w:proofErr w:type="spellStart"/>
      <w:r>
        <w:rPr>
          <w:rFonts w:ascii="Times New Roman" w:hAnsi="Times New Roman" w:cs="Times New Roman"/>
        </w:rPr>
        <w:t>GoI</w:t>
      </w:r>
      <w:proofErr w:type="spellEnd"/>
      <w:r>
        <w:rPr>
          <w:rFonts w:ascii="Times New Roman" w:hAnsi="Times New Roman" w:cs="Times New Roman"/>
        </w:rPr>
        <w:t xml:space="preserve"> 2022</w:t>
      </w:r>
      <w:r w:rsidR="002B37E3">
        <w:rPr>
          <w:rFonts w:ascii="Times New Roman" w:hAnsi="Times New Roman" w:cs="Times New Roman"/>
        </w:rPr>
        <w:t>; FAO, 2023</w:t>
      </w:r>
      <w:r>
        <w:rPr>
          <w:rFonts w:ascii="Times New Roman" w:hAnsi="Times New Roman" w:cs="Times New Roman"/>
        </w:rPr>
        <w:t xml:space="preserve">). </w:t>
      </w:r>
    </w:p>
    <w:p w14:paraId="4ABAA2A2" w14:textId="77777777" w:rsidR="008D606A" w:rsidRDefault="008A7AE7" w:rsidP="00873136">
      <w:pPr>
        <w:spacing w:line="360" w:lineRule="auto"/>
        <w:ind w:firstLine="720"/>
        <w:jc w:val="both"/>
        <w:rPr>
          <w:rFonts w:ascii="Times New Roman" w:hAnsi="Times New Roman" w:cs="Times New Roman"/>
        </w:rPr>
      </w:pPr>
      <w:r>
        <w:rPr>
          <w:rFonts w:ascii="Times New Roman" w:hAnsi="Times New Roman" w:cs="Times New Roman"/>
        </w:rPr>
        <w:t xml:space="preserve">India has vast inland water resources in the form of lakes and reservoirs (3.51 million ha), and floodplain wetlands (&gt; 5 lakh ha) spread across 45,000 km of river stretches (CIFRI, 2018). To provide new employment opportunities and meet the protein demand of the growing population. Many efforts and technological interventions were made from time to time to optimally harness the untapped inland water resources and increase fish production across the country (NFDB, 2016). One of the efforts that are catching the eyes of policymakers and fish producers of the country is that of cage farming practice in these inland open water resources (DAHDF, 2016; NFDB, 2016). Presently, National Fisheries Development Board (NFDB), India’s autonomous fisheries organization has been successfully taking several initiatives for cage farming in states like Jharkhand, Chhattisgarh, and Assam and has been able to increase fish production and productivity, hence providing alternative livelihood opportunities to local fishers (NFDB 2016; </w:t>
      </w:r>
      <w:r w:rsidR="002D30CC">
        <w:rPr>
          <w:rFonts w:ascii="Times New Roman" w:hAnsi="Times New Roman" w:cs="Times New Roman"/>
        </w:rPr>
        <w:t xml:space="preserve">NFDB, </w:t>
      </w:r>
      <w:r>
        <w:rPr>
          <w:rFonts w:ascii="Times New Roman" w:hAnsi="Times New Roman" w:cs="Times New Roman"/>
        </w:rPr>
        <w:t>2023).</w:t>
      </w:r>
    </w:p>
    <w:p w14:paraId="74FE021B" w14:textId="77777777" w:rsidR="008D606A" w:rsidRDefault="008A7AE7" w:rsidP="00873136">
      <w:pPr>
        <w:spacing w:line="360" w:lineRule="auto"/>
        <w:ind w:firstLine="720"/>
        <w:jc w:val="both"/>
        <w:rPr>
          <w:rFonts w:ascii="Times New Roman" w:hAnsi="Times New Roman" w:cs="Times New Roman"/>
        </w:rPr>
      </w:pPr>
      <w:r>
        <w:rPr>
          <w:rFonts w:ascii="Times New Roman" w:hAnsi="Times New Roman" w:cs="Times New Roman"/>
        </w:rPr>
        <w:t>The economic viability of cage aquaculture in India is determined by site selection (Aswathy et al., 2020), water quality parameters (</w:t>
      </w:r>
      <w:r w:rsidR="00883C1D">
        <w:rPr>
          <w:rFonts w:ascii="Times New Roman" w:hAnsi="Times New Roman" w:cs="Times New Roman"/>
        </w:rPr>
        <w:t>Kumari</w:t>
      </w:r>
      <w:r>
        <w:rPr>
          <w:rFonts w:ascii="Times New Roman" w:hAnsi="Times New Roman" w:cs="Times New Roman"/>
        </w:rPr>
        <w:t xml:space="preserve"> et al., 2021; Aswathy et al., 2020), re</w:t>
      </w:r>
      <w:r w:rsidR="00407E96">
        <w:rPr>
          <w:rFonts w:ascii="Times New Roman" w:hAnsi="Times New Roman" w:cs="Times New Roman"/>
        </w:rPr>
        <w:t xml:space="preserve">gion-wise suitable fish species, </w:t>
      </w:r>
      <w:r>
        <w:rPr>
          <w:rFonts w:ascii="Times New Roman" w:hAnsi="Times New Roman" w:cs="Times New Roman"/>
        </w:rPr>
        <w:t>seed availability (Aswathy et al., 2015), stocking density (Mane et al., 2019; Durai et al., 2021; Upadhyay et al., 2022) and feed quality (Gawa et al., 2021</w:t>
      </w:r>
      <w:r>
        <w:rPr>
          <w:rFonts w:ascii="Times New Roman" w:hAnsi="Times New Roman" w:cs="Times New Roman"/>
          <w:vertAlign w:val="superscript"/>
        </w:rPr>
        <w:t>a</w:t>
      </w:r>
      <w:r>
        <w:rPr>
          <w:rFonts w:ascii="Times New Roman" w:hAnsi="Times New Roman" w:cs="Times New Roman"/>
        </w:rPr>
        <w:t>; Aswathy et al., 2015). The Indian Council of Agricultural Research Institutes (ICAR) like the Central Inland Fisheries Research Institute (CIFRI), Central Institute of Fisheries Education (CIFE) and Central Marine Fisheries Research Institute (CMFRI) are dedicated to conduct cage culture research to increase the fish production in different water bodies of India (CIFRI, 2023; CMFRI, 2020).  In economic terms, the profitability of any cage enterprise can be confirmed by looking at the values of economic indicators like benefit-cost ratio (BCR), net present value (NPV), payback period (PBP) and internal rate of return (IRR) (Lan et al., 2022; Musa et al., 2021; Bezerra et al., 2016; Aswathy et al., 2019; Gawa et al., 2021</w:t>
      </w:r>
      <w:r>
        <w:rPr>
          <w:rFonts w:ascii="Times New Roman" w:hAnsi="Times New Roman" w:cs="Times New Roman"/>
          <w:vertAlign w:val="superscript"/>
        </w:rPr>
        <w:t>b</w:t>
      </w:r>
      <w:r>
        <w:rPr>
          <w:rFonts w:ascii="Times New Roman" w:hAnsi="Times New Roman" w:cs="Times New Roman"/>
        </w:rPr>
        <w:t xml:space="preserve">; Natarajan and Joseph, 2020; </w:t>
      </w:r>
      <w:proofErr w:type="spellStart"/>
      <w:r>
        <w:rPr>
          <w:rFonts w:ascii="Times New Roman" w:hAnsi="Times New Roman" w:cs="Times New Roman"/>
        </w:rPr>
        <w:t>Narayanakumar</w:t>
      </w:r>
      <w:proofErr w:type="spellEnd"/>
      <w:r>
        <w:rPr>
          <w:rFonts w:ascii="Times New Roman" w:hAnsi="Times New Roman" w:cs="Times New Roman"/>
        </w:rPr>
        <w:t>, 2009).</w:t>
      </w:r>
    </w:p>
    <w:p w14:paraId="4FA3BD2B" w14:textId="77777777" w:rsidR="008A6FCD" w:rsidRDefault="008A7AE7" w:rsidP="00873136">
      <w:pPr>
        <w:spacing w:line="360" w:lineRule="auto"/>
        <w:ind w:firstLine="720"/>
        <w:jc w:val="both"/>
        <w:rPr>
          <w:rFonts w:ascii="Times New Roman" w:hAnsi="Times New Roman" w:cs="Times New Roman"/>
        </w:rPr>
      </w:pPr>
      <w:r>
        <w:rPr>
          <w:rFonts w:ascii="Times New Roman" w:hAnsi="Times New Roman" w:cs="Times New Roman"/>
        </w:rPr>
        <w:t xml:space="preserve">Under the blue revolution mission, surveys are being conducted throughout the country to provide valuable data regarding cage culture in inland open water bodies especially lakes and reservoirs </w:t>
      </w:r>
      <w:r>
        <w:rPr>
          <w:rFonts w:ascii="Times New Roman" w:hAnsi="Times New Roman" w:cs="Times New Roman"/>
        </w:rPr>
        <w:lastRenderedPageBreak/>
        <w:t xml:space="preserve">(CIFRI, 2018). Keeping in view the cage suitable inland water resources in the form of lakes (60,000 ha) and reservoirs (7,000 ha) (Handbook on fisheries statistics, 2020), to meet the protein requirement by enhancing the livestock and fisheries production and provide alternate livelihood options to landless fishers. The Union Territory of Jammu and Kashmir started experimental cage farming in Manasbal lake of Kashmir under the </w:t>
      </w:r>
      <w:proofErr w:type="spellStart"/>
      <w:r>
        <w:rPr>
          <w:rFonts w:ascii="Times New Roman" w:hAnsi="Times New Roman" w:cs="Times New Roman"/>
        </w:rPr>
        <w:t>Rashtriya</w:t>
      </w:r>
      <w:proofErr w:type="spellEnd"/>
      <w:r>
        <w:rPr>
          <w:rFonts w:ascii="Times New Roman" w:hAnsi="Times New Roman" w:cs="Times New Roman"/>
        </w:rPr>
        <w:t xml:space="preserve"> Krishi Vikas Yojana (RKVY) sub-scheme that is National Mission for Protein Supplements (NMPS) in 2013-14 (</w:t>
      </w:r>
      <w:proofErr w:type="spellStart"/>
      <w:r w:rsidR="004F41AD">
        <w:rPr>
          <w:rFonts w:ascii="Times New Roman" w:hAnsi="Times New Roman" w:cs="Times New Roman"/>
        </w:rPr>
        <w:t>DoF</w:t>
      </w:r>
      <w:proofErr w:type="spellEnd"/>
      <w:r w:rsidR="004F41AD" w:rsidRPr="004F41AD">
        <w:rPr>
          <w:rFonts w:ascii="Times New Roman" w:hAnsi="Times New Roman" w:cs="Times New Roman"/>
        </w:rPr>
        <w:t xml:space="preserve"> </w:t>
      </w:r>
      <w:r w:rsidR="004F41AD">
        <w:rPr>
          <w:rFonts w:ascii="Times New Roman" w:hAnsi="Times New Roman" w:cs="Times New Roman"/>
        </w:rPr>
        <w:t>JK,</w:t>
      </w:r>
      <w:r>
        <w:rPr>
          <w:rFonts w:ascii="Times New Roman" w:hAnsi="Times New Roman" w:cs="Times New Roman"/>
        </w:rPr>
        <w:t xml:space="preserve"> 2023).  However, after the completion of the project in 2016-17, the cage farming practice in Manasbal lake was stopped due to unknown reasons. Thus, it was mandatory to analyze the economic viability of cage culture in Manasbal lake and come out with empirical evidence of its failure. </w:t>
      </w:r>
      <w:r w:rsidR="008F54B3" w:rsidRPr="008F54B3">
        <w:rPr>
          <w:rFonts w:ascii="Times New Roman" w:hAnsi="Times New Roman" w:cs="Times New Roman"/>
        </w:rPr>
        <w:t>The analysis was essential because no prior attempts had been made to identify the possible valid reasons behind the issues. Although the economic analysis focused on a project that was 7 years old, it was crucial to suggest potential remedies for enhancing fish production, ensuring livelihood security for landless fishermen, and promoting the region's overall development. Additionally, the study aimed to prevent the repetition of shortcomings encountered in this project in other temperate regions of the country. Given the significant investment made by the Government of India, it was important to ensure that such investments yield positive outcomes for the region's development, particularly for the fisheries sector.</w:t>
      </w:r>
      <w:r w:rsidR="008F54B3">
        <w:rPr>
          <w:rFonts w:ascii="Times New Roman" w:hAnsi="Times New Roman" w:cs="Times New Roman"/>
        </w:rPr>
        <w:t xml:space="preserve"> </w:t>
      </w:r>
    </w:p>
    <w:p w14:paraId="579D0219" w14:textId="77777777" w:rsidR="008D606A" w:rsidRDefault="008A7AE7" w:rsidP="00873136">
      <w:pPr>
        <w:spacing w:line="360" w:lineRule="auto"/>
        <w:ind w:firstLine="720"/>
        <w:jc w:val="both"/>
        <w:rPr>
          <w:rFonts w:ascii="Times New Roman" w:hAnsi="Times New Roman" w:cs="Times New Roman"/>
        </w:rPr>
      </w:pPr>
      <w:r>
        <w:rPr>
          <w:rFonts w:ascii="Times New Roman" w:hAnsi="Times New Roman" w:cs="Times New Roman"/>
        </w:rPr>
        <w:t xml:space="preserve">Freshwater Manasbal lake is located in the </w:t>
      </w:r>
      <w:proofErr w:type="spellStart"/>
      <w:r>
        <w:rPr>
          <w:rFonts w:ascii="Times New Roman" w:hAnsi="Times New Roman" w:cs="Times New Roman"/>
        </w:rPr>
        <w:t>Safapora</w:t>
      </w:r>
      <w:proofErr w:type="spellEnd"/>
      <w:r>
        <w:rPr>
          <w:rFonts w:ascii="Times New Roman" w:hAnsi="Times New Roman" w:cs="Times New Roman"/>
        </w:rPr>
        <w:t xml:space="preserve"> area of district Ganderbal, Kashmir, India. The lake is situated about 30 km from the district Srinagar; the summer capital of the Union Territory of Jammu and Kashmir with the coordinates 34</w:t>
      </w:r>
      <w:r>
        <w:rPr>
          <w:rFonts w:ascii="Times New Roman" w:hAnsi="Times New Roman" w:cs="Times New Roman"/>
          <w:vertAlign w:val="superscript"/>
        </w:rPr>
        <w:t>o</w:t>
      </w:r>
      <w:r>
        <w:rPr>
          <w:rFonts w:ascii="Times New Roman" w:hAnsi="Times New Roman" w:cs="Times New Roman"/>
        </w:rPr>
        <w:t xml:space="preserve"> 15ʹN 74</w:t>
      </w:r>
      <w:r>
        <w:rPr>
          <w:rFonts w:ascii="Times New Roman" w:hAnsi="Times New Roman" w:cs="Times New Roman"/>
          <w:vertAlign w:val="superscript"/>
        </w:rPr>
        <w:t>o</w:t>
      </w:r>
      <w:r>
        <w:rPr>
          <w:rFonts w:ascii="Times New Roman" w:hAnsi="Times New Roman" w:cs="Times New Roman"/>
        </w:rPr>
        <w:t xml:space="preserve"> 40ʹE (Tourism</w:t>
      </w:r>
      <w:r w:rsidR="004F41AD">
        <w:rPr>
          <w:rFonts w:ascii="Times New Roman" w:hAnsi="Times New Roman" w:cs="Times New Roman"/>
        </w:rPr>
        <w:t xml:space="preserve"> JK,</w:t>
      </w:r>
      <w:r>
        <w:rPr>
          <w:rFonts w:ascii="Times New Roman" w:hAnsi="Times New Roman" w:cs="Times New Roman"/>
        </w:rPr>
        <w:t xml:space="preserve"> 2023).</w:t>
      </w:r>
      <w:r w:rsidR="008A6FCD">
        <w:rPr>
          <w:rFonts w:ascii="Times New Roman" w:hAnsi="Times New Roman" w:cs="Times New Roman"/>
        </w:rPr>
        <w:t xml:space="preserve"> </w:t>
      </w:r>
      <w:r>
        <w:rPr>
          <w:rFonts w:ascii="Times New Roman" w:hAnsi="Times New Roman" w:cs="Times New Roman"/>
        </w:rPr>
        <w:t xml:space="preserve">A total of 12 cages were installed in the lake, in which one cage was converted into a floating shed to keep the feed and other necessary </w:t>
      </w:r>
      <w:proofErr w:type="spellStart"/>
      <w:r>
        <w:rPr>
          <w:rFonts w:ascii="Times New Roman" w:hAnsi="Times New Roman" w:cs="Times New Roman"/>
        </w:rPr>
        <w:t>equipments</w:t>
      </w:r>
      <w:proofErr w:type="spellEnd"/>
      <w:r>
        <w:rPr>
          <w:rFonts w:ascii="Times New Roman" w:hAnsi="Times New Roman" w:cs="Times New Roman"/>
        </w:rPr>
        <w:t>. The shed also accommodates two persons to stay in during the night, for watch and ward purposes. The water holding capacity of 12 cages is 1152 m</w:t>
      </w:r>
      <w:r>
        <w:rPr>
          <w:rFonts w:ascii="Times New Roman" w:hAnsi="Times New Roman" w:cs="Times New Roman"/>
          <w:vertAlign w:val="superscript"/>
        </w:rPr>
        <w:t>3</w:t>
      </w:r>
      <w:r>
        <w:rPr>
          <w:rFonts w:ascii="Times New Roman" w:hAnsi="Times New Roman" w:cs="Times New Roman"/>
        </w:rPr>
        <w:t xml:space="preserve"> of which the volume of each cage (6 x 4 x 4 m) is 96 m</w:t>
      </w:r>
      <w:r>
        <w:rPr>
          <w:rFonts w:ascii="Times New Roman" w:hAnsi="Times New Roman" w:cs="Times New Roman"/>
          <w:vertAlign w:val="superscript"/>
        </w:rPr>
        <w:t>3</w:t>
      </w:r>
      <w:r>
        <w:rPr>
          <w:rFonts w:ascii="Times New Roman" w:hAnsi="Times New Roman" w:cs="Times New Roman"/>
        </w:rPr>
        <w:t>, so that 26 fingerlings m</w:t>
      </w:r>
      <w:r>
        <w:rPr>
          <w:rFonts w:ascii="Times New Roman" w:hAnsi="Times New Roman" w:cs="Times New Roman"/>
          <w:vertAlign w:val="superscript"/>
        </w:rPr>
        <w:t>-3</w:t>
      </w:r>
      <w:r>
        <w:rPr>
          <w:rFonts w:ascii="Times New Roman" w:hAnsi="Times New Roman" w:cs="Times New Roman"/>
        </w:rPr>
        <w:t xml:space="preserve"> can be stocked as per norms. In other words, a total of 30000 fingerlings of common carp (</w:t>
      </w:r>
      <w:r>
        <w:rPr>
          <w:rFonts w:ascii="Times New Roman" w:hAnsi="Times New Roman" w:cs="Times New Roman"/>
          <w:i/>
          <w:iCs/>
        </w:rPr>
        <w:t>Cyprinus carpio</w:t>
      </w:r>
      <w:r>
        <w:rPr>
          <w:rFonts w:ascii="Times New Roman" w:hAnsi="Times New Roman" w:cs="Times New Roman"/>
        </w:rPr>
        <w:t>), silver carp (</w:t>
      </w:r>
      <w:proofErr w:type="spellStart"/>
      <w:r>
        <w:rPr>
          <w:rFonts w:ascii="Times New Roman" w:hAnsi="Times New Roman" w:cs="Times New Roman"/>
          <w:i/>
          <w:iCs/>
        </w:rPr>
        <w:t>Hypophthalmichthys</w:t>
      </w:r>
      <w:proofErr w:type="spellEnd"/>
      <w:r>
        <w:rPr>
          <w:rFonts w:ascii="Times New Roman" w:hAnsi="Times New Roman" w:cs="Times New Roman"/>
          <w:i/>
          <w:iCs/>
        </w:rPr>
        <w:t xml:space="preserve"> molitrix</w:t>
      </w:r>
      <w:r>
        <w:rPr>
          <w:rFonts w:ascii="Times New Roman" w:hAnsi="Times New Roman" w:cs="Times New Roman"/>
        </w:rPr>
        <w:t>) and grass carp (</w:t>
      </w:r>
      <w:proofErr w:type="spellStart"/>
      <w:r>
        <w:rPr>
          <w:rFonts w:ascii="Times New Roman" w:hAnsi="Times New Roman" w:cs="Times New Roman"/>
          <w:i/>
          <w:iCs/>
        </w:rPr>
        <w:t>Ctenopharyngodon</w:t>
      </w:r>
      <w:proofErr w:type="spellEnd"/>
      <w:r>
        <w:rPr>
          <w:rFonts w:ascii="Times New Roman" w:hAnsi="Times New Roman" w:cs="Times New Roman"/>
          <w:i/>
          <w:iCs/>
        </w:rPr>
        <w:t xml:space="preserve"> </w:t>
      </w:r>
      <w:proofErr w:type="spellStart"/>
      <w:r>
        <w:rPr>
          <w:rFonts w:ascii="Times New Roman" w:hAnsi="Times New Roman" w:cs="Times New Roman"/>
          <w:i/>
          <w:iCs/>
        </w:rPr>
        <w:t>idella</w:t>
      </w:r>
      <w:proofErr w:type="spellEnd"/>
      <w:r>
        <w:rPr>
          <w:rFonts w:ascii="Times New Roman" w:hAnsi="Times New Roman" w:cs="Times New Roman"/>
        </w:rPr>
        <w:t>) were stocked, with a proportion of 10000 fingerlings each, respectively. The weight and price of each fingerling at the time of stocking were 10 grams and ₹ 1, respectively.</w:t>
      </w:r>
    </w:p>
    <w:p w14:paraId="3D664D01" w14:textId="77777777" w:rsidR="008D606A" w:rsidRDefault="008A7AE7" w:rsidP="00873136">
      <w:pPr>
        <w:pStyle w:val="ListParagraph"/>
        <w:numPr>
          <w:ilvl w:val="0"/>
          <w:numId w:val="5"/>
        </w:numPr>
        <w:spacing w:line="360" w:lineRule="auto"/>
        <w:ind w:left="284"/>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Methodology</w:t>
      </w:r>
    </w:p>
    <w:p w14:paraId="18A4E3A0" w14:textId="77777777" w:rsidR="008D606A" w:rsidRDefault="008A7AE7" w:rsidP="002F5390">
      <w:pPr>
        <w:spacing w:line="360" w:lineRule="auto"/>
        <w:ind w:firstLine="720"/>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Besides revenue, the economic analysis of cage culture in Manasbal lake was done by calculating annual variable costs and annual fixed costs. Annual variable costs include the cost of seed, feed, interest on working capital and net mending and maintenance. Annual fixed costs include depreciation of cage frame and related </w:t>
      </w:r>
      <w:proofErr w:type="spellStart"/>
      <w:r>
        <w:rPr>
          <w:rFonts w:ascii="Times New Roman" w:hAnsi="Times New Roman" w:cs="Times New Roman"/>
          <w:color w:val="000000" w:themeColor="text1"/>
          <w:lang w:val="en-US"/>
        </w:rPr>
        <w:t>equipments</w:t>
      </w:r>
      <w:proofErr w:type="spellEnd"/>
      <w:r>
        <w:rPr>
          <w:rFonts w:ascii="Times New Roman" w:hAnsi="Times New Roman" w:cs="Times New Roman"/>
          <w:color w:val="000000" w:themeColor="text1"/>
          <w:lang w:val="en-US"/>
        </w:rPr>
        <w:t xml:space="preserve">, permanent human </w:t>
      </w:r>
      <w:proofErr w:type="spellStart"/>
      <w:r>
        <w:rPr>
          <w:rFonts w:ascii="Times New Roman" w:hAnsi="Times New Roman" w:cs="Times New Roman"/>
          <w:color w:val="000000" w:themeColor="text1"/>
          <w:lang w:val="en-US"/>
        </w:rPr>
        <w:t>labour</w:t>
      </w:r>
      <w:proofErr w:type="spellEnd"/>
      <w:r>
        <w:rPr>
          <w:rFonts w:ascii="Times New Roman" w:hAnsi="Times New Roman" w:cs="Times New Roman"/>
          <w:color w:val="000000" w:themeColor="text1"/>
          <w:lang w:val="en-US"/>
        </w:rPr>
        <w:t xml:space="preserve"> and interest on fixed capital. Following equations are used to perform the economic analysis of cage culture in Manasbal lake.</w:t>
      </w:r>
    </w:p>
    <w:p w14:paraId="08BD36D0" w14:textId="77777777" w:rsidR="008D606A" w:rsidRDefault="008A7AE7" w:rsidP="00873136">
      <w:pPr>
        <w:pStyle w:val="NoSpacing"/>
        <w:numPr>
          <w:ilvl w:val="0"/>
          <w:numId w:val="2"/>
        </w:numPr>
        <w:spacing w:line="360" w:lineRule="auto"/>
        <w:jc w:val="both"/>
        <w:rPr>
          <w:rFonts w:ascii="Times New Roman" w:hAnsi="Times New Roman" w:cs="Times New Roman"/>
          <w:lang w:val="en-US"/>
        </w:rPr>
      </w:pPr>
      <w:r>
        <w:rPr>
          <w:rFonts w:ascii="Times New Roman" w:hAnsi="Times New Roman" w:cs="Times New Roman"/>
          <w:lang w:val="en-US"/>
        </w:rPr>
        <w:lastRenderedPageBreak/>
        <w:t>Total variable cost (TVC) = Cost of seed, feed + Interest on working capital + Net mending and maintenance</w:t>
      </w:r>
    </w:p>
    <w:p w14:paraId="5DEC7A31" w14:textId="77777777" w:rsidR="008D606A" w:rsidRDefault="008A7AE7" w:rsidP="00873136">
      <w:pPr>
        <w:pStyle w:val="NoSpacing"/>
        <w:numPr>
          <w:ilvl w:val="0"/>
          <w:numId w:val="2"/>
        </w:numPr>
        <w:spacing w:line="360" w:lineRule="auto"/>
        <w:jc w:val="both"/>
        <w:rPr>
          <w:rFonts w:ascii="Times New Roman" w:hAnsi="Times New Roman" w:cs="Times New Roman"/>
          <w:lang w:val="en-US"/>
        </w:rPr>
      </w:pPr>
      <w:r>
        <w:rPr>
          <w:rFonts w:ascii="Times New Roman" w:hAnsi="Times New Roman" w:cs="Times New Roman"/>
          <w:lang w:val="en-US"/>
        </w:rPr>
        <w:t>Total fixed cost (TFC) = Depreciation + Permanent human labour + Interest on fixed capital</w:t>
      </w:r>
    </w:p>
    <w:p w14:paraId="54187F38" w14:textId="77777777" w:rsidR="008D606A" w:rsidRDefault="008A7AE7" w:rsidP="00873136">
      <w:pPr>
        <w:pStyle w:val="NoSpacing"/>
        <w:numPr>
          <w:ilvl w:val="0"/>
          <w:numId w:val="2"/>
        </w:numPr>
        <w:spacing w:line="360" w:lineRule="auto"/>
        <w:jc w:val="both"/>
        <w:rPr>
          <w:rFonts w:ascii="Times New Roman" w:hAnsi="Times New Roman" w:cs="Times New Roman"/>
          <w:lang w:val="en-US"/>
        </w:rPr>
      </w:pPr>
      <w:r>
        <w:rPr>
          <w:rFonts w:ascii="Times New Roman" w:hAnsi="Times New Roman" w:cs="Times New Roman"/>
          <w:lang w:val="en-US"/>
        </w:rPr>
        <w:t>Total cost of production, TC = TVC + TFC</w:t>
      </w:r>
    </w:p>
    <w:p w14:paraId="4AD563E1" w14:textId="77777777" w:rsidR="008D606A" w:rsidRDefault="008A7AE7" w:rsidP="00873136">
      <w:pPr>
        <w:pStyle w:val="NoSpacing"/>
        <w:numPr>
          <w:ilvl w:val="0"/>
          <w:numId w:val="2"/>
        </w:numPr>
        <w:spacing w:line="360" w:lineRule="auto"/>
        <w:jc w:val="both"/>
        <w:rPr>
          <w:rFonts w:ascii="Times New Roman" w:hAnsi="Times New Roman" w:cs="Times New Roman"/>
          <w:lang w:val="en-US"/>
        </w:rPr>
      </w:pPr>
      <w:r>
        <w:rPr>
          <w:rFonts w:ascii="Times New Roman" w:hAnsi="Times New Roman" w:cs="Times New Roman"/>
          <w:lang w:val="en-US"/>
        </w:rPr>
        <w:t>Gross profit (revenue) = ∑ (Q × P)</w:t>
      </w:r>
    </w:p>
    <w:p w14:paraId="77659516" w14:textId="77777777" w:rsidR="008D606A" w:rsidRDefault="008A7AE7" w:rsidP="00873136">
      <w:pPr>
        <w:pStyle w:val="NoSpacing"/>
        <w:spacing w:line="360" w:lineRule="auto"/>
        <w:ind w:left="720"/>
        <w:jc w:val="both"/>
        <w:rPr>
          <w:rFonts w:ascii="Times New Roman" w:hAnsi="Times New Roman" w:cs="Times New Roman"/>
          <w:lang w:val="en-US"/>
        </w:rPr>
      </w:pPr>
      <w:r>
        <w:rPr>
          <w:rFonts w:ascii="Times New Roman" w:hAnsi="Times New Roman" w:cs="Times New Roman"/>
          <w:lang w:val="en-US"/>
        </w:rPr>
        <w:t xml:space="preserve">Where,  </w:t>
      </w:r>
    </w:p>
    <w:p w14:paraId="0F1571D8" w14:textId="77777777" w:rsidR="008D606A" w:rsidRDefault="008A7AE7" w:rsidP="00873136">
      <w:pPr>
        <w:pStyle w:val="NoSpacing"/>
        <w:spacing w:line="360" w:lineRule="auto"/>
        <w:ind w:left="1440"/>
        <w:jc w:val="both"/>
        <w:rPr>
          <w:rFonts w:ascii="Times New Roman" w:hAnsi="Times New Roman" w:cs="Times New Roman"/>
          <w:lang w:val="en-US"/>
        </w:rPr>
      </w:pPr>
      <w:r>
        <w:rPr>
          <w:rFonts w:ascii="Times New Roman" w:hAnsi="Times New Roman" w:cs="Times New Roman"/>
          <w:lang w:val="en-US"/>
        </w:rPr>
        <w:t xml:space="preserve">Q = Quantity of fish produced in </w:t>
      </w:r>
      <w:proofErr w:type="gramStart"/>
      <w:r>
        <w:rPr>
          <w:rFonts w:ascii="Times New Roman" w:hAnsi="Times New Roman" w:cs="Times New Roman"/>
          <w:lang w:val="en-US"/>
        </w:rPr>
        <w:t xml:space="preserve">kg,   </w:t>
      </w:r>
      <w:proofErr w:type="gramEnd"/>
      <w:r>
        <w:rPr>
          <w:rFonts w:ascii="Times New Roman" w:hAnsi="Times New Roman" w:cs="Times New Roman"/>
          <w:lang w:val="en-US"/>
        </w:rPr>
        <w:t xml:space="preserve">       P = Price of fish per kg </w:t>
      </w:r>
    </w:p>
    <w:p w14:paraId="44BD20E5" w14:textId="77777777" w:rsidR="008D606A" w:rsidRDefault="008A7AE7" w:rsidP="00873136">
      <w:pPr>
        <w:pStyle w:val="NoSpacing"/>
        <w:numPr>
          <w:ilvl w:val="0"/>
          <w:numId w:val="2"/>
        </w:numPr>
        <w:spacing w:line="360" w:lineRule="auto"/>
        <w:jc w:val="both"/>
        <w:rPr>
          <w:rFonts w:ascii="Times New Roman" w:hAnsi="Times New Roman" w:cs="Times New Roman"/>
          <w:lang w:val="en-US"/>
        </w:rPr>
      </w:pPr>
      <w:r>
        <w:rPr>
          <w:rFonts w:ascii="Times New Roman" w:hAnsi="Times New Roman" w:cs="Times New Roman"/>
          <w:lang w:val="en-US"/>
        </w:rPr>
        <w:t>Net operating income = Gross revenue – Total variable cost</w:t>
      </w:r>
    </w:p>
    <w:p w14:paraId="26A3B83A" w14:textId="77777777" w:rsidR="008D606A" w:rsidRDefault="008A7AE7" w:rsidP="00873136">
      <w:pPr>
        <w:pStyle w:val="NoSpacing"/>
        <w:numPr>
          <w:ilvl w:val="0"/>
          <w:numId w:val="2"/>
        </w:numPr>
        <w:spacing w:line="360" w:lineRule="auto"/>
        <w:jc w:val="both"/>
        <w:rPr>
          <w:rFonts w:ascii="Times New Roman" w:hAnsi="Times New Roman" w:cs="Times New Roman"/>
          <w:lang w:val="en-US"/>
        </w:rPr>
      </w:pPr>
      <w:r>
        <w:rPr>
          <w:rFonts w:ascii="Times New Roman" w:hAnsi="Times New Roman" w:cs="Times New Roman"/>
          <w:lang w:val="en-US"/>
        </w:rPr>
        <w:t>Net income (revenue) = Gross revenue – Total cost</w:t>
      </w:r>
    </w:p>
    <w:p w14:paraId="71DF4409" w14:textId="77777777" w:rsidR="008D606A" w:rsidRDefault="008A7AE7" w:rsidP="00873136">
      <w:pPr>
        <w:pStyle w:val="NoSpacing"/>
        <w:numPr>
          <w:ilvl w:val="0"/>
          <w:numId w:val="2"/>
        </w:numPr>
        <w:spacing w:line="360" w:lineRule="auto"/>
        <w:jc w:val="both"/>
        <w:rPr>
          <w:rFonts w:ascii="Times New Roman" w:hAnsi="Times New Roman" w:cs="Times New Roman"/>
          <w:lang w:val="en-US"/>
        </w:rPr>
      </w:pPr>
      <w:r>
        <w:rPr>
          <w:rFonts w:ascii="Times New Roman" w:hAnsi="Times New Roman" w:cs="Times New Roman"/>
          <w:lang w:val="en-US"/>
        </w:rPr>
        <w:t>Cost of production (</w:t>
      </w:r>
      <w:proofErr w:type="gramStart"/>
      <w:r>
        <w:rPr>
          <w:rFonts w:ascii="Times New Roman" w:hAnsi="Times New Roman" w:cs="Times New Roman"/>
          <w:lang w:val="en-US"/>
        </w:rPr>
        <w:t>Rs./</w:t>
      </w:r>
      <w:proofErr w:type="gramEnd"/>
      <w:r>
        <w:rPr>
          <w:rFonts w:ascii="Times New Roman" w:hAnsi="Times New Roman" w:cs="Times New Roman"/>
          <w:lang w:val="en-US"/>
        </w:rPr>
        <w:t>kg) = Total cost / Yield</w:t>
      </w:r>
    </w:p>
    <w:p w14:paraId="1D420B9A" w14:textId="77777777" w:rsidR="008D606A" w:rsidRDefault="008A7AE7" w:rsidP="00873136">
      <w:pPr>
        <w:pStyle w:val="NoSpacing"/>
        <w:numPr>
          <w:ilvl w:val="0"/>
          <w:numId w:val="2"/>
        </w:numPr>
        <w:spacing w:line="360" w:lineRule="auto"/>
        <w:jc w:val="both"/>
        <w:rPr>
          <w:rFonts w:ascii="Times New Roman" w:hAnsi="Times New Roman" w:cs="Times New Roman"/>
        </w:rPr>
      </w:pPr>
      <w:r>
        <w:rPr>
          <w:rFonts w:ascii="Times New Roman" w:hAnsi="Times New Roman" w:cs="Times New Roman"/>
          <w:bCs/>
          <w:lang w:val="en-US"/>
        </w:rPr>
        <w:t xml:space="preserve"> BCR= {</w:t>
      </w:r>
      <w:proofErr w:type="spellStart"/>
      <w:r>
        <w:rPr>
          <w:rFonts w:ascii="Times New Roman" w:hAnsi="Times New Roman" w:cs="Times New Roman"/>
          <w:bCs/>
          <w:lang w:val="en-US"/>
        </w:rPr>
        <w:t>Σ</w:t>
      </w:r>
      <w:r>
        <w:rPr>
          <w:rFonts w:ascii="Times New Roman" w:hAnsi="Times New Roman" w:cs="Times New Roman"/>
          <w:bCs/>
          <w:vertAlign w:val="subscript"/>
          <w:lang w:val="en-US"/>
        </w:rPr>
        <w:t>i</w:t>
      </w:r>
      <w:r>
        <w:rPr>
          <w:rFonts w:ascii="Times New Roman" w:hAnsi="Times New Roman" w:cs="Times New Roman"/>
          <w:bCs/>
          <w:lang w:val="en-US"/>
        </w:rPr>
        <w:t>Bi</w:t>
      </w:r>
      <w:proofErr w:type="spellEnd"/>
      <w:r>
        <w:rPr>
          <w:rFonts w:ascii="Times New Roman" w:hAnsi="Times New Roman" w:cs="Times New Roman"/>
          <w:bCs/>
          <w:lang w:val="en-US"/>
        </w:rPr>
        <w:t>/ (1+</w:t>
      </w:r>
      <w:proofErr w:type="gramStart"/>
      <w:r>
        <w:rPr>
          <w:rFonts w:ascii="Times New Roman" w:hAnsi="Times New Roman" w:cs="Times New Roman"/>
          <w:bCs/>
          <w:lang w:val="en-US"/>
        </w:rPr>
        <w:t>r)</w:t>
      </w:r>
      <w:proofErr w:type="spellStart"/>
      <w:r>
        <w:rPr>
          <w:rFonts w:ascii="Times New Roman" w:hAnsi="Times New Roman" w:cs="Times New Roman"/>
          <w:bCs/>
          <w:vertAlign w:val="superscript"/>
          <w:lang w:val="en-US"/>
        </w:rPr>
        <w:t>i</w:t>
      </w:r>
      <w:proofErr w:type="spellEnd"/>
      <w:proofErr w:type="gramEnd"/>
      <w:r>
        <w:rPr>
          <w:rFonts w:ascii="Times New Roman" w:hAnsi="Times New Roman" w:cs="Times New Roman"/>
          <w:bCs/>
          <w:lang w:val="en-US"/>
        </w:rPr>
        <w:t>}/ {</w:t>
      </w:r>
      <w:proofErr w:type="spellStart"/>
      <w:r>
        <w:rPr>
          <w:rFonts w:ascii="Times New Roman" w:hAnsi="Times New Roman" w:cs="Times New Roman"/>
          <w:bCs/>
          <w:lang w:val="en-US"/>
        </w:rPr>
        <w:t>Σ</w:t>
      </w:r>
      <w:r>
        <w:rPr>
          <w:rFonts w:ascii="Times New Roman" w:hAnsi="Times New Roman" w:cs="Times New Roman"/>
          <w:bCs/>
          <w:vertAlign w:val="subscript"/>
          <w:lang w:val="en-US"/>
        </w:rPr>
        <w:t>i</w:t>
      </w:r>
      <w:r>
        <w:rPr>
          <w:rFonts w:ascii="Times New Roman" w:hAnsi="Times New Roman" w:cs="Times New Roman"/>
          <w:bCs/>
          <w:lang w:val="en-US"/>
        </w:rPr>
        <w:t>Ci</w:t>
      </w:r>
      <w:proofErr w:type="spellEnd"/>
      <w:r>
        <w:rPr>
          <w:rFonts w:ascii="Times New Roman" w:hAnsi="Times New Roman" w:cs="Times New Roman"/>
          <w:bCs/>
          <w:lang w:val="en-US"/>
        </w:rPr>
        <w:t>/1+</w:t>
      </w:r>
      <w:proofErr w:type="gramStart"/>
      <w:r>
        <w:rPr>
          <w:rFonts w:ascii="Times New Roman" w:hAnsi="Times New Roman" w:cs="Times New Roman"/>
          <w:bCs/>
          <w:lang w:val="en-US"/>
        </w:rPr>
        <w:t>r)</w:t>
      </w:r>
      <w:proofErr w:type="spellStart"/>
      <w:r>
        <w:rPr>
          <w:rFonts w:ascii="Times New Roman" w:hAnsi="Times New Roman" w:cs="Times New Roman"/>
          <w:bCs/>
          <w:vertAlign w:val="superscript"/>
          <w:lang w:val="en-US"/>
        </w:rPr>
        <w:t>i</w:t>
      </w:r>
      <w:proofErr w:type="spellEnd"/>
      <w:proofErr w:type="gramEnd"/>
      <w:r>
        <w:rPr>
          <w:rFonts w:ascii="Times New Roman" w:hAnsi="Times New Roman" w:cs="Times New Roman"/>
          <w:bCs/>
          <w:lang w:val="en-US"/>
        </w:rPr>
        <w:t>}</w:t>
      </w:r>
    </w:p>
    <w:p w14:paraId="09C3D004" w14:textId="77777777" w:rsidR="008D606A" w:rsidRDefault="008A7AE7" w:rsidP="00873136">
      <w:pPr>
        <w:pStyle w:val="NoSpacing"/>
        <w:numPr>
          <w:ilvl w:val="0"/>
          <w:numId w:val="2"/>
        </w:numPr>
        <w:spacing w:line="360" w:lineRule="auto"/>
        <w:jc w:val="both"/>
        <w:rPr>
          <w:rFonts w:ascii="Times New Roman" w:hAnsi="Times New Roman" w:cs="Times New Roman"/>
        </w:rPr>
      </w:pPr>
      <w:r>
        <w:rPr>
          <w:rFonts w:ascii="Times New Roman" w:hAnsi="Times New Roman" w:cs="Times New Roman"/>
          <w:bCs/>
          <w:lang w:val="en-US"/>
        </w:rPr>
        <w:t xml:space="preserve"> NPV = {</w:t>
      </w:r>
      <w:proofErr w:type="spellStart"/>
      <w:r>
        <w:rPr>
          <w:rFonts w:ascii="Times New Roman" w:hAnsi="Times New Roman" w:cs="Times New Roman"/>
          <w:bCs/>
          <w:lang w:val="en-US"/>
        </w:rPr>
        <w:t>Σ</w:t>
      </w:r>
      <w:r>
        <w:rPr>
          <w:rFonts w:ascii="Times New Roman" w:hAnsi="Times New Roman" w:cs="Times New Roman"/>
          <w:bCs/>
          <w:vertAlign w:val="subscript"/>
          <w:lang w:val="en-US"/>
        </w:rPr>
        <w:t>i</w:t>
      </w:r>
      <w:r>
        <w:rPr>
          <w:rFonts w:ascii="Times New Roman" w:hAnsi="Times New Roman" w:cs="Times New Roman"/>
          <w:bCs/>
          <w:lang w:val="en-US"/>
        </w:rPr>
        <w:t>Bi</w:t>
      </w:r>
      <w:proofErr w:type="spellEnd"/>
      <w:r>
        <w:rPr>
          <w:rFonts w:ascii="Times New Roman" w:hAnsi="Times New Roman" w:cs="Times New Roman"/>
          <w:bCs/>
          <w:lang w:val="en-US"/>
        </w:rPr>
        <w:t>/ (1+</w:t>
      </w:r>
      <w:proofErr w:type="gramStart"/>
      <w:r>
        <w:rPr>
          <w:rFonts w:ascii="Times New Roman" w:hAnsi="Times New Roman" w:cs="Times New Roman"/>
          <w:bCs/>
          <w:lang w:val="en-US"/>
        </w:rPr>
        <w:t>r)</w:t>
      </w:r>
      <w:proofErr w:type="spellStart"/>
      <w:r>
        <w:rPr>
          <w:rFonts w:ascii="Times New Roman" w:hAnsi="Times New Roman" w:cs="Times New Roman"/>
          <w:bCs/>
          <w:vertAlign w:val="superscript"/>
          <w:lang w:val="en-US"/>
        </w:rPr>
        <w:t>i</w:t>
      </w:r>
      <w:proofErr w:type="spellEnd"/>
      <w:proofErr w:type="gramEnd"/>
      <w:r>
        <w:rPr>
          <w:rFonts w:ascii="Times New Roman" w:hAnsi="Times New Roman" w:cs="Times New Roman"/>
          <w:bCs/>
          <w:lang w:val="en-US"/>
        </w:rPr>
        <w:t>} - {</w:t>
      </w:r>
      <w:proofErr w:type="spellStart"/>
      <w:r>
        <w:rPr>
          <w:rFonts w:ascii="Times New Roman" w:hAnsi="Times New Roman" w:cs="Times New Roman"/>
          <w:bCs/>
          <w:lang w:val="en-US"/>
        </w:rPr>
        <w:t>Σ</w:t>
      </w:r>
      <w:r>
        <w:rPr>
          <w:rFonts w:ascii="Times New Roman" w:hAnsi="Times New Roman" w:cs="Times New Roman"/>
          <w:bCs/>
          <w:vertAlign w:val="subscript"/>
          <w:lang w:val="en-US"/>
        </w:rPr>
        <w:t>i</w:t>
      </w:r>
      <w:r>
        <w:rPr>
          <w:rFonts w:ascii="Times New Roman" w:hAnsi="Times New Roman" w:cs="Times New Roman"/>
          <w:bCs/>
          <w:lang w:val="en-US"/>
        </w:rPr>
        <w:t>Ci</w:t>
      </w:r>
      <w:proofErr w:type="spellEnd"/>
      <w:r>
        <w:rPr>
          <w:rFonts w:ascii="Times New Roman" w:hAnsi="Times New Roman" w:cs="Times New Roman"/>
          <w:bCs/>
          <w:lang w:val="en-US"/>
        </w:rPr>
        <w:t>/1+</w:t>
      </w:r>
      <w:proofErr w:type="gramStart"/>
      <w:r>
        <w:rPr>
          <w:rFonts w:ascii="Times New Roman" w:hAnsi="Times New Roman" w:cs="Times New Roman"/>
          <w:bCs/>
          <w:lang w:val="en-US"/>
        </w:rPr>
        <w:t>r)</w:t>
      </w:r>
      <w:proofErr w:type="spellStart"/>
      <w:r>
        <w:rPr>
          <w:rFonts w:ascii="Times New Roman" w:hAnsi="Times New Roman" w:cs="Times New Roman"/>
          <w:bCs/>
          <w:vertAlign w:val="superscript"/>
          <w:lang w:val="en-US"/>
        </w:rPr>
        <w:t>i</w:t>
      </w:r>
      <w:proofErr w:type="spellEnd"/>
      <w:proofErr w:type="gramEnd"/>
      <w:r>
        <w:rPr>
          <w:rFonts w:ascii="Times New Roman" w:hAnsi="Times New Roman" w:cs="Times New Roman"/>
          <w:bCs/>
          <w:lang w:val="en-US"/>
        </w:rPr>
        <w:t xml:space="preserve">} </w:t>
      </w:r>
    </w:p>
    <w:p w14:paraId="380FDE5A" w14:textId="77777777" w:rsidR="008D606A" w:rsidRDefault="008A7AE7" w:rsidP="00873136">
      <w:pPr>
        <w:pStyle w:val="NoSpacing"/>
        <w:spacing w:line="360" w:lineRule="auto"/>
        <w:ind w:left="720"/>
        <w:jc w:val="both"/>
        <w:rPr>
          <w:rFonts w:ascii="Times New Roman" w:hAnsi="Times New Roman" w:cs="Times New Roman"/>
        </w:rPr>
      </w:pPr>
      <w:r>
        <w:rPr>
          <w:rFonts w:ascii="Times New Roman" w:hAnsi="Times New Roman" w:cs="Times New Roman"/>
          <w:bCs/>
          <w:lang w:val="en-US"/>
        </w:rPr>
        <w:t xml:space="preserve">           Where, B</w:t>
      </w:r>
      <w:r>
        <w:rPr>
          <w:rFonts w:ascii="Times New Roman" w:hAnsi="Times New Roman" w:cs="Times New Roman"/>
          <w:bCs/>
          <w:vertAlign w:val="subscript"/>
          <w:lang w:val="en-US"/>
        </w:rPr>
        <w:t>i</w:t>
      </w:r>
      <w:r>
        <w:rPr>
          <w:rFonts w:ascii="Times New Roman" w:hAnsi="Times New Roman" w:cs="Times New Roman"/>
          <w:bCs/>
          <w:lang w:val="en-US"/>
        </w:rPr>
        <w:t xml:space="preserve"> is the total revenue earned at year </w:t>
      </w:r>
      <w:proofErr w:type="spellStart"/>
      <w:proofErr w:type="gramStart"/>
      <w:r>
        <w:rPr>
          <w:rFonts w:ascii="Times New Roman" w:hAnsi="Times New Roman" w:cs="Times New Roman"/>
          <w:bCs/>
          <w:lang w:val="en-US"/>
        </w:rPr>
        <w:t>i</w:t>
      </w:r>
      <w:proofErr w:type="spellEnd"/>
      <w:r>
        <w:rPr>
          <w:rFonts w:ascii="Times New Roman" w:hAnsi="Times New Roman" w:cs="Times New Roman"/>
          <w:bCs/>
          <w:lang w:val="en-US"/>
        </w:rPr>
        <w:t xml:space="preserve">,   </w:t>
      </w:r>
      <w:proofErr w:type="gramEnd"/>
      <w:r>
        <w:rPr>
          <w:rFonts w:ascii="Times New Roman" w:hAnsi="Times New Roman" w:cs="Times New Roman"/>
          <w:bCs/>
          <w:lang w:val="en-US"/>
        </w:rPr>
        <w:t xml:space="preserve">  C</w:t>
      </w:r>
      <w:r>
        <w:rPr>
          <w:rFonts w:ascii="Times New Roman" w:hAnsi="Times New Roman" w:cs="Times New Roman"/>
          <w:bCs/>
          <w:vertAlign w:val="subscript"/>
          <w:lang w:val="en-US"/>
        </w:rPr>
        <w:t xml:space="preserve">i </w:t>
      </w:r>
      <w:r>
        <w:rPr>
          <w:rFonts w:ascii="Times New Roman" w:hAnsi="Times New Roman" w:cs="Times New Roman"/>
          <w:bCs/>
          <w:lang w:val="en-US"/>
        </w:rPr>
        <w:t xml:space="preserve">is the total costs at year </w:t>
      </w:r>
      <w:proofErr w:type="spellStart"/>
      <w:r>
        <w:rPr>
          <w:rFonts w:ascii="Times New Roman" w:hAnsi="Times New Roman" w:cs="Times New Roman"/>
          <w:bCs/>
          <w:lang w:val="en-US"/>
        </w:rPr>
        <w:t>i</w:t>
      </w:r>
      <w:proofErr w:type="spellEnd"/>
      <w:r>
        <w:rPr>
          <w:rFonts w:ascii="Times New Roman" w:hAnsi="Times New Roman" w:cs="Times New Roman"/>
          <w:bCs/>
          <w:lang w:val="en-US"/>
        </w:rPr>
        <w:t>,</w:t>
      </w:r>
    </w:p>
    <w:p w14:paraId="53D205AD" w14:textId="77777777" w:rsidR="008D606A" w:rsidRDefault="008A7AE7" w:rsidP="00873136">
      <w:pPr>
        <w:pStyle w:val="NoSpacing"/>
        <w:spacing w:line="360" w:lineRule="auto"/>
        <w:ind w:left="720"/>
        <w:jc w:val="both"/>
        <w:rPr>
          <w:rFonts w:ascii="Times New Roman" w:hAnsi="Times New Roman" w:cs="Times New Roman"/>
        </w:rPr>
      </w:pPr>
      <w:r>
        <w:rPr>
          <w:rFonts w:ascii="Times New Roman" w:hAnsi="Times New Roman" w:cs="Times New Roman"/>
          <w:bCs/>
          <w:lang w:val="en-US"/>
        </w:rPr>
        <w:t xml:space="preserve">                          </w:t>
      </w:r>
      <w:proofErr w:type="spellStart"/>
      <w:r>
        <w:rPr>
          <w:rFonts w:ascii="Times New Roman" w:hAnsi="Times New Roman" w:cs="Times New Roman"/>
          <w:bCs/>
          <w:lang w:val="en-US"/>
        </w:rPr>
        <w:t>i</w:t>
      </w:r>
      <w:proofErr w:type="spellEnd"/>
      <w:r>
        <w:rPr>
          <w:rFonts w:ascii="Times New Roman" w:hAnsi="Times New Roman" w:cs="Times New Roman"/>
          <w:bCs/>
          <w:lang w:val="en-US"/>
        </w:rPr>
        <w:t xml:space="preserve"> is the expected duration of culture in </w:t>
      </w:r>
      <w:proofErr w:type="gramStart"/>
      <w:r>
        <w:rPr>
          <w:rFonts w:ascii="Times New Roman" w:hAnsi="Times New Roman" w:cs="Times New Roman"/>
          <w:bCs/>
          <w:lang w:val="en-US"/>
        </w:rPr>
        <w:t xml:space="preserve">years,   </w:t>
      </w:r>
      <w:proofErr w:type="gramEnd"/>
      <w:r>
        <w:rPr>
          <w:rFonts w:ascii="Times New Roman" w:hAnsi="Times New Roman" w:cs="Times New Roman"/>
          <w:bCs/>
          <w:lang w:val="en-US"/>
        </w:rPr>
        <w:t xml:space="preserve"> r is the discount rate. </w:t>
      </w:r>
    </w:p>
    <w:p w14:paraId="3B3095AA" w14:textId="77777777" w:rsidR="008D606A" w:rsidRDefault="008A7AE7" w:rsidP="00873136">
      <w:pPr>
        <w:pStyle w:val="NoSpacing"/>
        <w:numPr>
          <w:ilvl w:val="0"/>
          <w:numId w:val="2"/>
        </w:numPr>
        <w:spacing w:line="360" w:lineRule="auto"/>
        <w:jc w:val="both"/>
        <w:rPr>
          <w:rFonts w:ascii="Times New Roman" w:hAnsi="Times New Roman" w:cs="Times New Roman"/>
        </w:rPr>
      </w:pPr>
      <w:r>
        <w:rPr>
          <w:rFonts w:ascii="Times New Roman" w:hAnsi="Times New Roman" w:cs="Times New Roman"/>
        </w:rPr>
        <w:t xml:space="preserve">Payback </w:t>
      </w:r>
      <w:proofErr w:type="gramStart"/>
      <w:r>
        <w:rPr>
          <w:rFonts w:ascii="Times New Roman" w:hAnsi="Times New Roman" w:cs="Times New Roman"/>
        </w:rPr>
        <w:t>period  (</w:t>
      </w:r>
      <w:proofErr w:type="gramEnd"/>
      <w:r>
        <w:rPr>
          <w:rFonts w:ascii="Times New Roman" w:hAnsi="Times New Roman" w:cs="Times New Roman"/>
        </w:rPr>
        <w:t>PBP)</w:t>
      </w:r>
      <w:r w:rsidR="00873136">
        <w:rPr>
          <w:rFonts w:ascii="Times New Roman" w:hAnsi="Times New Roman" w:cs="Times New Roman"/>
        </w:rPr>
        <w:t xml:space="preserve"> </w:t>
      </w:r>
      <w:r>
        <w:rPr>
          <w:rFonts w:ascii="Times New Roman" w:hAnsi="Times New Roman" w:cs="Times New Roman"/>
        </w:rPr>
        <w:t>= IE</w:t>
      </w:r>
    </w:p>
    <w:p w14:paraId="51EA701A" w14:textId="77777777" w:rsidR="008D606A" w:rsidRDefault="008A7AE7" w:rsidP="00873136">
      <w:pPr>
        <w:pStyle w:val="NoSpacing"/>
        <w:spacing w:line="360" w:lineRule="auto"/>
        <w:ind w:left="720"/>
        <w:jc w:val="both"/>
        <w:rPr>
          <w:rFonts w:ascii="Times New Roman" w:hAnsi="Times New Roman" w:cs="Times New Roman"/>
        </w:rPr>
      </w:pPr>
      <w:r>
        <w:rPr>
          <w:rFonts w:ascii="Times New Roman" w:hAnsi="Times New Roman" w:cs="Times New Roman"/>
        </w:rPr>
        <w:t>Where, PBP = Payback period in years, I = investment amount, E = Expected annual net income</w:t>
      </w:r>
    </w:p>
    <w:p w14:paraId="29DB6B04" w14:textId="77777777" w:rsidR="008D606A" w:rsidRDefault="008A7AE7" w:rsidP="00873136">
      <w:pPr>
        <w:pStyle w:val="NoSpacing"/>
        <w:numPr>
          <w:ilvl w:val="0"/>
          <w:numId w:val="2"/>
        </w:numPr>
        <w:spacing w:line="360" w:lineRule="auto"/>
        <w:jc w:val="both"/>
        <w:rPr>
          <w:rFonts w:ascii="Times New Roman" w:hAnsi="Times New Roman" w:cs="Times New Roman"/>
        </w:rPr>
      </w:pPr>
      <w:r>
        <w:rPr>
          <w:rFonts w:ascii="Times New Roman" w:hAnsi="Times New Roman" w:cs="Times New Roman"/>
          <w:bCs/>
          <w:lang w:val="en-US"/>
        </w:rPr>
        <w:t xml:space="preserve"> </w:t>
      </w:r>
      <m:oMath>
        <m:r>
          <w:rPr>
            <w:rFonts w:ascii="Cambria Math" w:hAnsi="Cambria Math" w:cs="Times New Roman"/>
          </w:rPr>
          <m:t>Survival</m:t>
        </m:r>
        <m:r>
          <m:rPr>
            <m:sty m:val="p"/>
          </m:rPr>
          <w:rPr>
            <w:rFonts w:ascii="Cambria Math" w:hAnsi="Cambria Math" w:cs="Times New Roman"/>
          </w:rPr>
          <m:t> </m:t>
        </m:r>
        <m:d>
          <m:dPr>
            <m:ctrlPr>
              <w:rPr>
                <w:rFonts w:ascii="Cambria Math" w:hAnsi="Cambria Math" w:cs="Times New Roman"/>
                <w:i/>
                <w:iCs/>
              </w:rPr>
            </m:ctrlPr>
          </m:dPr>
          <m:e>
            <m:r>
              <m:rPr>
                <m:sty m:val="p"/>
              </m:rPr>
              <w:rPr>
                <w:rFonts w:ascii="Cambria Math" w:hAnsi="Cambria Math" w:cs="Times New Roman"/>
              </w:rPr>
              <m:t>%</m:t>
            </m:r>
          </m:e>
        </m:d>
        <m:r>
          <w:rPr>
            <w:rFonts w:ascii="Cambria Math" w:hAnsi="Cambria Math" w:cs="Times New Roman"/>
          </w:rPr>
          <m:t>= </m:t>
        </m:r>
        <m:f>
          <m:fPr>
            <m:ctrlPr>
              <w:rPr>
                <w:rFonts w:ascii="Cambria Math" w:hAnsi="Cambria Math" w:cs="Times New Roman"/>
                <w:bCs/>
                <w:i/>
                <w:iCs/>
              </w:rPr>
            </m:ctrlPr>
          </m:fPr>
          <m:num>
            <m:r>
              <w:rPr>
                <w:rFonts w:ascii="Cambria Math" w:hAnsi="Cambria Math" w:cs="Times New Roman"/>
                <w:lang w:val="en-US"/>
              </w:rPr>
              <m:t>Total</m:t>
            </m:r>
            <m:r>
              <m:rPr>
                <m:sty m:val="p"/>
              </m:rPr>
              <w:rPr>
                <w:rFonts w:ascii="Cambria Math" w:hAnsi="Cambria Math" w:cs="Times New Roman"/>
                <w:lang w:val="en-US"/>
              </w:rPr>
              <m:t> </m:t>
            </m:r>
            <m:r>
              <w:rPr>
                <w:rFonts w:ascii="Cambria Math" w:hAnsi="Cambria Math" w:cs="Times New Roman"/>
                <w:lang w:val="en-US"/>
              </w:rPr>
              <m:t>number</m:t>
            </m:r>
            <m:r>
              <m:rPr>
                <m:sty m:val="p"/>
              </m:rPr>
              <w:rPr>
                <w:rFonts w:ascii="Cambria Math" w:hAnsi="Cambria Math" w:cs="Times New Roman"/>
                <w:lang w:val="en-US"/>
              </w:rPr>
              <m:t> </m:t>
            </m:r>
            <m:r>
              <w:rPr>
                <w:rFonts w:ascii="Cambria Math" w:hAnsi="Cambria Math" w:cs="Times New Roman"/>
                <w:lang w:val="en-US"/>
              </w:rPr>
              <m:t>of</m:t>
            </m:r>
            <m:r>
              <m:rPr>
                <m:sty m:val="p"/>
              </m:rPr>
              <w:rPr>
                <w:rFonts w:ascii="Cambria Math" w:hAnsi="Cambria Math" w:cs="Times New Roman"/>
                <w:lang w:val="en-US"/>
              </w:rPr>
              <m:t> </m:t>
            </m:r>
            <m:r>
              <w:rPr>
                <w:rFonts w:ascii="Cambria Math" w:hAnsi="Cambria Math" w:cs="Times New Roman"/>
                <w:lang w:val="en-US"/>
              </w:rPr>
              <m:t>fish</m:t>
            </m:r>
            <m:r>
              <m:rPr>
                <m:sty m:val="p"/>
              </m:rPr>
              <w:rPr>
                <w:rFonts w:ascii="Cambria Math" w:hAnsi="Cambria Math" w:cs="Times New Roman"/>
              </w:rPr>
              <m:t>es</m:t>
            </m:r>
            <m:r>
              <m:rPr>
                <m:sty m:val="p"/>
              </m:rPr>
              <w:rPr>
                <w:rFonts w:ascii="Cambria Math" w:hAnsi="Cambria Math" w:cs="Times New Roman"/>
                <w:lang w:val="en-US"/>
              </w:rPr>
              <m:t> </m:t>
            </m:r>
            <m:r>
              <w:rPr>
                <w:rFonts w:ascii="Cambria Math" w:hAnsi="Cambria Math" w:cs="Times New Roman"/>
                <w:lang w:val="en-US"/>
              </w:rPr>
              <m:t>harvested</m:t>
            </m:r>
            <m:r>
              <m:rPr>
                <m:sty m:val="p"/>
              </m:rPr>
              <w:rPr>
                <w:rFonts w:ascii="Cambria Math" w:hAnsi="Cambria Math" w:cs="Times New Roman"/>
                <w:lang w:val="en-US"/>
              </w:rPr>
              <m:t> </m:t>
            </m:r>
          </m:num>
          <m:den>
            <m:r>
              <w:rPr>
                <w:rFonts w:ascii="Cambria Math" w:hAnsi="Cambria Math" w:cs="Times New Roman"/>
                <w:lang w:val="en-US"/>
              </w:rPr>
              <m:t>Total</m:t>
            </m:r>
            <m:r>
              <m:rPr>
                <m:sty m:val="p"/>
              </m:rPr>
              <w:rPr>
                <w:rFonts w:ascii="Cambria Math" w:hAnsi="Cambria Math" w:cs="Times New Roman"/>
                <w:lang w:val="en-US"/>
              </w:rPr>
              <m:t> </m:t>
            </m:r>
            <m:r>
              <w:rPr>
                <w:rFonts w:ascii="Cambria Math" w:hAnsi="Cambria Math" w:cs="Times New Roman"/>
                <w:lang w:val="en-US"/>
              </w:rPr>
              <m:t>number</m:t>
            </m:r>
            <m:r>
              <m:rPr>
                <m:sty m:val="p"/>
              </m:rPr>
              <w:rPr>
                <w:rFonts w:ascii="Cambria Math" w:hAnsi="Cambria Math" w:cs="Times New Roman"/>
                <w:lang w:val="en-US"/>
              </w:rPr>
              <m:t> </m:t>
            </m:r>
            <m:r>
              <w:rPr>
                <w:rFonts w:ascii="Cambria Math" w:hAnsi="Cambria Math" w:cs="Times New Roman"/>
                <w:lang w:val="en-US"/>
              </w:rPr>
              <m:t>of</m:t>
            </m:r>
            <m:r>
              <m:rPr>
                <m:sty m:val="p"/>
              </m:rPr>
              <w:rPr>
                <w:rFonts w:ascii="Cambria Math" w:hAnsi="Cambria Math" w:cs="Times New Roman"/>
                <w:lang w:val="en-US"/>
              </w:rPr>
              <m:t> </m:t>
            </m:r>
            <m:r>
              <w:rPr>
                <w:rFonts w:ascii="Cambria Math" w:hAnsi="Cambria Math" w:cs="Times New Roman"/>
                <w:lang w:val="en-US"/>
              </w:rPr>
              <m:t>fish</m:t>
            </m:r>
            <m:r>
              <m:rPr>
                <m:sty m:val="p"/>
              </m:rPr>
              <w:rPr>
                <w:rFonts w:ascii="Cambria Math" w:hAnsi="Cambria Math" w:cs="Times New Roman"/>
              </w:rPr>
              <m:t>es</m:t>
            </m:r>
            <m:r>
              <m:rPr>
                <m:sty m:val="p"/>
              </m:rPr>
              <w:rPr>
                <w:rFonts w:ascii="Cambria Math" w:hAnsi="Cambria Math" w:cs="Times New Roman"/>
                <w:lang w:val="en-US"/>
              </w:rPr>
              <m:t> stocked</m:t>
            </m:r>
          </m:den>
        </m:f>
        <m:r>
          <w:rPr>
            <w:rFonts w:ascii="Cambria Math" w:hAnsi="Cambria Math" w:cs="Times New Roman"/>
          </w:rPr>
          <m:t>100</m:t>
        </m:r>
      </m:oMath>
      <w:r w:rsidR="00C22C1B">
        <w:rPr>
          <w:rFonts w:ascii="Times New Roman" w:eastAsiaTheme="minorEastAsia" w:hAnsi="Times New Roman" w:cs="Times New Roman"/>
        </w:rPr>
        <w:t xml:space="preserve">  (</w:t>
      </w:r>
      <w:r w:rsidR="00C22C1B" w:rsidRPr="00C22C1B">
        <w:rPr>
          <w:rFonts w:ascii="Times New Roman" w:eastAsiaTheme="minorEastAsia" w:hAnsi="Times New Roman" w:cs="Times New Roman"/>
        </w:rPr>
        <w:t>Venkatachalam</w:t>
      </w:r>
      <w:r w:rsidR="00C22C1B">
        <w:rPr>
          <w:rFonts w:ascii="Times New Roman" w:eastAsiaTheme="minorEastAsia" w:hAnsi="Times New Roman" w:cs="Times New Roman"/>
        </w:rPr>
        <w:t xml:space="preserve"> </w:t>
      </w:r>
      <w:r w:rsidR="00C22C1B" w:rsidRPr="00C22C1B">
        <w:rPr>
          <w:rFonts w:ascii="Times New Roman" w:eastAsiaTheme="minorEastAsia" w:hAnsi="Times New Roman" w:cs="Times New Roman"/>
          <w:i/>
        </w:rPr>
        <w:t>et al</w:t>
      </w:r>
      <w:r w:rsidR="00C22C1B">
        <w:rPr>
          <w:rFonts w:ascii="Times New Roman" w:eastAsiaTheme="minorEastAsia" w:hAnsi="Times New Roman" w:cs="Times New Roman"/>
        </w:rPr>
        <w:t>., 2018)</w:t>
      </w:r>
    </w:p>
    <w:p w14:paraId="61A53C90" w14:textId="77777777" w:rsidR="008D606A" w:rsidRDefault="008A7AE7" w:rsidP="00873136">
      <w:pPr>
        <w:pStyle w:val="NoSpacing"/>
        <w:numPr>
          <w:ilvl w:val="0"/>
          <w:numId w:val="2"/>
        </w:numPr>
        <w:spacing w:line="360" w:lineRule="auto"/>
        <w:jc w:val="both"/>
        <w:rPr>
          <w:rFonts w:ascii="Times New Roman" w:hAnsi="Times New Roman" w:cs="Times New Roman"/>
        </w:rPr>
      </w:pPr>
      <w:r>
        <w:rPr>
          <w:rFonts w:ascii="Times New Roman" w:hAnsi="Times New Roman" w:cs="Times New Roman"/>
          <w:bCs/>
        </w:rPr>
        <w:t>Weight gain (kg) = final weight - initial weight</w:t>
      </w:r>
      <w:r w:rsidR="00D73B82">
        <w:rPr>
          <w:rFonts w:ascii="Times New Roman" w:hAnsi="Times New Roman" w:cs="Times New Roman"/>
          <w:bCs/>
        </w:rPr>
        <w:t xml:space="preserve"> </w:t>
      </w:r>
      <w:r w:rsidR="00D73B82">
        <w:rPr>
          <w:rFonts w:ascii="Times New Roman" w:eastAsiaTheme="minorEastAsia" w:hAnsi="Times New Roman" w:cs="Times New Roman"/>
        </w:rPr>
        <w:t>(</w:t>
      </w:r>
      <w:r w:rsidR="00D73B82" w:rsidRPr="00C22C1B">
        <w:rPr>
          <w:rFonts w:ascii="Times New Roman" w:eastAsiaTheme="minorEastAsia" w:hAnsi="Times New Roman" w:cs="Times New Roman"/>
        </w:rPr>
        <w:t>Venkatachalam</w:t>
      </w:r>
      <w:r w:rsidR="00D73B82">
        <w:rPr>
          <w:rFonts w:ascii="Times New Roman" w:eastAsiaTheme="minorEastAsia" w:hAnsi="Times New Roman" w:cs="Times New Roman"/>
        </w:rPr>
        <w:t xml:space="preserve"> </w:t>
      </w:r>
      <w:r w:rsidR="00D73B82" w:rsidRPr="00C22C1B">
        <w:rPr>
          <w:rFonts w:ascii="Times New Roman" w:eastAsiaTheme="minorEastAsia" w:hAnsi="Times New Roman" w:cs="Times New Roman"/>
          <w:i/>
        </w:rPr>
        <w:t>et al</w:t>
      </w:r>
      <w:r w:rsidR="00D73B82">
        <w:rPr>
          <w:rFonts w:ascii="Times New Roman" w:eastAsiaTheme="minorEastAsia" w:hAnsi="Times New Roman" w:cs="Times New Roman"/>
        </w:rPr>
        <w:t>., 2018)</w:t>
      </w:r>
    </w:p>
    <w:p w14:paraId="1B113E6D" w14:textId="77777777" w:rsidR="008D606A" w:rsidRDefault="008A7AE7" w:rsidP="00873136">
      <w:pPr>
        <w:pStyle w:val="NoSpacing"/>
        <w:numPr>
          <w:ilvl w:val="0"/>
          <w:numId w:val="2"/>
        </w:numPr>
        <w:spacing w:line="360" w:lineRule="auto"/>
        <w:jc w:val="both"/>
        <w:rPr>
          <w:rFonts w:ascii="Times New Roman" w:hAnsi="Times New Roman" w:cs="Times New Roman"/>
        </w:rPr>
      </w:pPr>
      <w:r>
        <w:rPr>
          <w:rFonts w:ascii="Times New Roman" w:hAnsi="Times New Roman" w:cs="Times New Roman"/>
          <w:bCs/>
        </w:rPr>
        <w:t xml:space="preserve"> </w:t>
      </w:r>
      <m:oMath>
        <m:r>
          <w:rPr>
            <w:rFonts w:ascii="Cambria Math" w:hAnsi="Cambria Math" w:cs="Times New Roman"/>
          </w:rPr>
          <m:t>FCR= </m:t>
        </m:r>
        <m:f>
          <m:fPr>
            <m:ctrlPr>
              <w:rPr>
                <w:rFonts w:ascii="Cambria Math" w:hAnsi="Cambria Math" w:cs="Times New Roman"/>
                <w:bCs/>
                <w:i/>
                <w:iCs/>
              </w:rPr>
            </m:ctrlPr>
          </m:fPr>
          <m:num>
            <m:r>
              <w:rPr>
                <w:rFonts w:ascii="Cambria Math" w:hAnsi="Cambria Math" w:cs="Times New Roman"/>
                <w:lang w:val="en-US"/>
              </w:rPr>
              <m:t>Total</m:t>
            </m:r>
            <m:r>
              <m:rPr>
                <m:sty m:val="p"/>
              </m:rPr>
              <w:rPr>
                <w:rFonts w:ascii="Cambria Math" w:hAnsi="Cambria Math" w:cs="Times New Roman"/>
                <w:lang w:val="en-US"/>
              </w:rPr>
              <m:t> </m:t>
            </m:r>
            <m:r>
              <w:rPr>
                <w:rFonts w:ascii="Cambria Math" w:hAnsi="Cambria Math" w:cs="Times New Roman"/>
                <w:lang w:val="en-US"/>
              </w:rPr>
              <m:t>feed</m:t>
            </m:r>
            <m:r>
              <m:rPr>
                <m:sty m:val="p"/>
              </m:rPr>
              <w:rPr>
                <w:rFonts w:ascii="Cambria Math" w:hAnsi="Cambria Math" w:cs="Times New Roman"/>
                <w:lang w:val="en-US"/>
              </w:rPr>
              <m:t> </m:t>
            </m:r>
            <m:r>
              <w:rPr>
                <w:rFonts w:ascii="Cambria Math" w:hAnsi="Cambria Math" w:cs="Times New Roman"/>
                <w:lang w:val="en-US"/>
              </w:rPr>
              <m:t>given</m:t>
            </m:r>
            <m:r>
              <m:rPr>
                <m:sty m:val="p"/>
              </m:rPr>
              <w:rPr>
                <w:rFonts w:ascii="Cambria Math" w:hAnsi="Cambria Math" w:cs="Times New Roman"/>
                <w:lang w:val="en-US"/>
              </w:rPr>
              <m:t> (</m:t>
            </m:r>
            <m:r>
              <w:rPr>
                <w:rFonts w:ascii="Cambria Math" w:hAnsi="Cambria Math" w:cs="Times New Roman"/>
                <w:lang w:val="en-US"/>
              </w:rPr>
              <m:t>kg</m:t>
            </m:r>
            <m:r>
              <m:rPr>
                <m:sty m:val="p"/>
              </m:rPr>
              <w:rPr>
                <w:rFonts w:ascii="Cambria Math" w:hAnsi="Cambria Math" w:cs="Times New Roman"/>
              </w:rPr>
              <m:t>)</m:t>
            </m:r>
          </m:num>
          <m:den>
            <m:r>
              <w:rPr>
                <w:rFonts w:ascii="Cambria Math" w:hAnsi="Cambria Math" w:cs="Times New Roman"/>
                <w:lang w:val="en-US"/>
              </w:rPr>
              <m:t>Total</m:t>
            </m:r>
            <m:r>
              <m:rPr>
                <m:sty m:val="p"/>
              </m:rPr>
              <w:rPr>
                <w:rFonts w:ascii="Cambria Math" w:hAnsi="Cambria Math" w:cs="Times New Roman"/>
                <w:lang w:val="en-US"/>
              </w:rPr>
              <m:t> </m:t>
            </m:r>
            <m:r>
              <w:rPr>
                <w:rFonts w:ascii="Cambria Math" w:hAnsi="Cambria Math" w:cs="Times New Roman"/>
                <w:lang w:val="en-US"/>
              </w:rPr>
              <m:t>weight</m:t>
            </m:r>
            <m:r>
              <m:rPr>
                <m:sty m:val="p"/>
              </m:rPr>
              <w:rPr>
                <w:rFonts w:ascii="Cambria Math" w:hAnsi="Cambria Math" w:cs="Times New Roman"/>
                <w:lang w:val="en-US"/>
              </w:rPr>
              <m:t> </m:t>
            </m:r>
            <m:r>
              <w:rPr>
                <w:rFonts w:ascii="Cambria Math" w:hAnsi="Cambria Math" w:cs="Times New Roman"/>
                <w:lang w:val="en-US"/>
              </w:rPr>
              <m:t>gained</m:t>
            </m:r>
            <m:r>
              <m:rPr>
                <m:sty m:val="p"/>
              </m:rPr>
              <w:rPr>
                <w:rFonts w:ascii="Cambria Math" w:hAnsi="Cambria Math" w:cs="Times New Roman"/>
                <w:lang w:val="en-US"/>
              </w:rPr>
              <m:t> (</m:t>
            </m:r>
            <m:r>
              <w:rPr>
                <w:rFonts w:ascii="Cambria Math" w:hAnsi="Cambria Math" w:cs="Times New Roman"/>
                <w:lang w:val="en-US"/>
              </w:rPr>
              <m:t>kg</m:t>
            </m:r>
            <m:r>
              <m:rPr>
                <m:sty m:val="p"/>
              </m:rPr>
              <w:rPr>
                <w:rFonts w:ascii="Cambria Math" w:hAnsi="Cambria Math" w:cs="Times New Roman"/>
              </w:rPr>
              <m:t>)</m:t>
            </m:r>
          </m:den>
        </m:f>
        <m:r>
          <w:rPr>
            <w:rFonts w:ascii="Cambria Math" w:hAnsi="Cambria Math" w:cs="Times New Roman"/>
          </w:rPr>
          <m:t>100</m:t>
        </m:r>
      </m:oMath>
      <w:r w:rsidR="00BB6DB7">
        <w:rPr>
          <w:rFonts w:ascii="Times New Roman" w:eastAsiaTheme="minorEastAsia" w:hAnsi="Times New Roman" w:cs="Times New Roman"/>
        </w:rPr>
        <w:t xml:space="preserve">   </w:t>
      </w:r>
      <w:r w:rsidR="00BB6DB7" w:rsidRPr="00BB6DB7">
        <w:rPr>
          <w:rFonts w:ascii="Times New Roman" w:eastAsiaTheme="minorEastAsia" w:hAnsi="Times New Roman" w:cs="Times New Roman"/>
        </w:rPr>
        <w:t>(El-</w:t>
      </w:r>
      <w:proofErr w:type="spellStart"/>
      <w:r w:rsidR="00BB6DB7" w:rsidRPr="00BB6DB7">
        <w:rPr>
          <w:rFonts w:ascii="Times New Roman" w:eastAsiaTheme="minorEastAsia" w:hAnsi="Times New Roman" w:cs="Times New Roman"/>
        </w:rPr>
        <w:t>Ouny</w:t>
      </w:r>
      <w:proofErr w:type="spellEnd"/>
      <w:r w:rsidR="00BB6DB7" w:rsidRPr="00BB6DB7">
        <w:rPr>
          <w:rFonts w:ascii="Times New Roman" w:eastAsiaTheme="minorEastAsia" w:hAnsi="Times New Roman" w:cs="Times New Roman"/>
        </w:rPr>
        <w:t xml:space="preserve"> </w:t>
      </w:r>
      <w:r w:rsidR="00BB6DB7" w:rsidRPr="00BB6DB7">
        <w:rPr>
          <w:rFonts w:ascii="Times New Roman" w:eastAsiaTheme="minorEastAsia" w:hAnsi="Times New Roman" w:cs="Times New Roman"/>
          <w:i/>
        </w:rPr>
        <w:t>et al</w:t>
      </w:r>
      <w:r w:rsidR="00BB6DB7" w:rsidRPr="00BB6DB7">
        <w:rPr>
          <w:rFonts w:ascii="Times New Roman" w:eastAsiaTheme="minorEastAsia" w:hAnsi="Times New Roman" w:cs="Times New Roman"/>
        </w:rPr>
        <w:t>., 2023)</w:t>
      </w:r>
    </w:p>
    <w:p w14:paraId="7F949477" w14:textId="77777777" w:rsidR="008D606A" w:rsidRDefault="008A7AE7" w:rsidP="00873136">
      <w:pPr>
        <w:pStyle w:val="NoSpacing"/>
        <w:numPr>
          <w:ilvl w:val="0"/>
          <w:numId w:val="2"/>
        </w:numPr>
        <w:spacing w:line="360" w:lineRule="auto"/>
        <w:jc w:val="both"/>
        <w:rPr>
          <w:rFonts w:ascii="Times New Roman" w:hAnsi="Times New Roman" w:cs="Times New Roman"/>
        </w:rPr>
      </w:pPr>
      <w:r>
        <w:rPr>
          <w:rFonts w:ascii="Times New Roman" w:hAnsi="Times New Roman" w:cs="Times New Roman"/>
          <w:bCs/>
        </w:rPr>
        <w:t xml:space="preserve"> </w:t>
      </w:r>
      <m:oMath>
        <m:r>
          <w:rPr>
            <w:rFonts w:ascii="Cambria Math" w:hAnsi="Cambria Math" w:cs="Times New Roman"/>
          </w:rPr>
          <m:t>F</m:t>
        </m:r>
        <m:r>
          <m:rPr>
            <m:sty m:val="p"/>
          </m:rPr>
          <w:rPr>
            <w:rFonts w:ascii="Cambria Math" w:hAnsi="Cambria Math" w:cs="Times New Roman"/>
          </w:rPr>
          <m:t>E</m:t>
        </m:r>
        <m:r>
          <w:rPr>
            <w:rFonts w:ascii="Cambria Math" w:hAnsi="Cambria Math" w:cs="Times New Roman"/>
          </w:rPr>
          <m:t>R= </m:t>
        </m:r>
        <m:f>
          <m:fPr>
            <m:ctrlPr>
              <w:rPr>
                <w:rFonts w:ascii="Cambria Math" w:hAnsi="Cambria Math" w:cs="Times New Roman"/>
                <w:bCs/>
                <w:i/>
                <w:iCs/>
              </w:rPr>
            </m:ctrlPr>
          </m:fPr>
          <m:num>
            <m:r>
              <w:rPr>
                <w:rFonts w:ascii="Cambria Math" w:hAnsi="Cambria Math" w:cs="Times New Roman"/>
                <w:lang w:val="en-US"/>
              </w:rPr>
              <m:t>Total</m:t>
            </m:r>
            <m:r>
              <m:rPr>
                <m:sty m:val="p"/>
              </m:rPr>
              <w:rPr>
                <w:rFonts w:ascii="Cambria Math" w:hAnsi="Cambria Math" w:cs="Times New Roman"/>
                <w:lang w:val="en-US"/>
              </w:rPr>
              <m:t> </m:t>
            </m:r>
            <m:r>
              <w:rPr>
                <w:rFonts w:ascii="Cambria Math" w:hAnsi="Cambria Math" w:cs="Times New Roman"/>
                <w:lang w:val="en-US"/>
              </w:rPr>
              <m:t>weight</m:t>
            </m:r>
            <m:r>
              <m:rPr>
                <m:sty m:val="p"/>
              </m:rPr>
              <w:rPr>
                <w:rFonts w:ascii="Cambria Math" w:hAnsi="Cambria Math" w:cs="Times New Roman"/>
                <w:lang w:val="en-US"/>
              </w:rPr>
              <m:t> </m:t>
            </m:r>
            <m:r>
              <w:rPr>
                <w:rFonts w:ascii="Cambria Math" w:hAnsi="Cambria Math" w:cs="Times New Roman"/>
                <w:lang w:val="en-US"/>
              </w:rPr>
              <m:t>gained</m:t>
            </m:r>
            <m:r>
              <m:rPr>
                <m:sty m:val="p"/>
              </m:rPr>
              <w:rPr>
                <w:rFonts w:ascii="Cambria Math" w:hAnsi="Cambria Math" w:cs="Times New Roman"/>
                <w:lang w:val="en-US"/>
              </w:rPr>
              <m:t> (</m:t>
            </m:r>
            <m:r>
              <w:rPr>
                <w:rFonts w:ascii="Cambria Math" w:hAnsi="Cambria Math" w:cs="Times New Roman"/>
                <w:lang w:val="en-US"/>
              </w:rPr>
              <m:t>kg</m:t>
            </m:r>
            <m:r>
              <m:rPr>
                <m:sty m:val="p"/>
              </m:rPr>
              <w:rPr>
                <w:rFonts w:ascii="Cambria Math" w:hAnsi="Cambria Math" w:cs="Times New Roman"/>
              </w:rPr>
              <m:t>)</m:t>
            </m:r>
          </m:num>
          <m:den>
            <m:r>
              <w:rPr>
                <w:rFonts w:ascii="Cambria Math" w:hAnsi="Cambria Math" w:cs="Times New Roman"/>
                <w:lang w:val="en-US"/>
              </w:rPr>
              <m:t>Total</m:t>
            </m:r>
            <m:r>
              <m:rPr>
                <m:sty m:val="p"/>
              </m:rPr>
              <w:rPr>
                <w:rFonts w:ascii="Cambria Math" w:hAnsi="Cambria Math" w:cs="Times New Roman"/>
                <w:lang w:val="en-US"/>
              </w:rPr>
              <m:t> </m:t>
            </m:r>
            <m:r>
              <w:rPr>
                <w:rFonts w:ascii="Cambria Math" w:hAnsi="Cambria Math" w:cs="Times New Roman"/>
                <w:lang w:val="en-US"/>
              </w:rPr>
              <m:t>feed</m:t>
            </m:r>
            <m:r>
              <m:rPr>
                <m:sty m:val="p"/>
              </m:rPr>
              <w:rPr>
                <w:rFonts w:ascii="Cambria Math" w:hAnsi="Cambria Math" w:cs="Times New Roman"/>
                <w:lang w:val="en-US"/>
              </w:rPr>
              <m:t> </m:t>
            </m:r>
            <m:r>
              <w:rPr>
                <w:rFonts w:ascii="Cambria Math" w:hAnsi="Cambria Math" w:cs="Times New Roman"/>
                <w:lang w:val="en-US"/>
              </w:rPr>
              <m:t>given</m:t>
            </m:r>
            <m:r>
              <m:rPr>
                <m:sty m:val="p"/>
              </m:rPr>
              <w:rPr>
                <w:rFonts w:ascii="Cambria Math" w:hAnsi="Cambria Math" w:cs="Times New Roman"/>
                <w:lang w:val="en-US"/>
              </w:rPr>
              <m:t> (</m:t>
            </m:r>
            <m:r>
              <w:rPr>
                <w:rFonts w:ascii="Cambria Math" w:hAnsi="Cambria Math" w:cs="Times New Roman"/>
                <w:lang w:val="en-US"/>
              </w:rPr>
              <m:t>kg</m:t>
            </m:r>
            <m:r>
              <m:rPr>
                <m:sty m:val="p"/>
              </m:rPr>
              <w:rPr>
                <w:rFonts w:ascii="Cambria Math" w:hAnsi="Cambria Math" w:cs="Times New Roman"/>
              </w:rPr>
              <m:t>)</m:t>
            </m:r>
          </m:den>
        </m:f>
        <m:r>
          <w:rPr>
            <w:rFonts w:ascii="Cambria Math" w:hAnsi="Cambria Math" w:cs="Times New Roman"/>
          </w:rPr>
          <m:t>100</m:t>
        </m:r>
      </m:oMath>
      <w:r w:rsidR="00BB6DB7">
        <w:rPr>
          <w:rFonts w:ascii="Times New Roman" w:eastAsiaTheme="minorEastAsia" w:hAnsi="Times New Roman" w:cs="Times New Roman"/>
        </w:rPr>
        <w:t xml:space="preserve"> </w:t>
      </w:r>
      <w:r w:rsidR="009E2DB3">
        <w:rPr>
          <w:rFonts w:ascii="Times New Roman" w:eastAsiaTheme="minorEastAsia" w:hAnsi="Times New Roman" w:cs="Times New Roman"/>
        </w:rPr>
        <w:t xml:space="preserve"> </w:t>
      </w:r>
      <w:r w:rsidR="009E2DB3" w:rsidRPr="009E2DB3">
        <w:rPr>
          <w:rFonts w:ascii="Times New Roman" w:eastAsiaTheme="minorEastAsia" w:hAnsi="Times New Roman" w:cs="Times New Roman"/>
        </w:rPr>
        <w:t xml:space="preserve">(Zaman </w:t>
      </w:r>
      <w:r w:rsidR="009E2DB3" w:rsidRPr="009E2DB3">
        <w:rPr>
          <w:rFonts w:ascii="Times New Roman" w:eastAsiaTheme="minorEastAsia" w:hAnsi="Times New Roman" w:cs="Times New Roman"/>
          <w:i/>
        </w:rPr>
        <w:t>et al</w:t>
      </w:r>
      <w:r w:rsidR="009E2DB3" w:rsidRPr="009E2DB3">
        <w:rPr>
          <w:rFonts w:ascii="Times New Roman" w:eastAsiaTheme="minorEastAsia" w:hAnsi="Times New Roman" w:cs="Times New Roman"/>
        </w:rPr>
        <w:t>., 2022)</w:t>
      </w:r>
    </w:p>
    <w:p w14:paraId="02109444" w14:textId="77777777" w:rsidR="008D606A" w:rsidRDefault="008A7AE7" w:rsidP="00873136">
      <w:pPr>
        <w:pStyle w:val="NoSpacing"/>
        <w:numPr>
          <w:ilvl w:val="0"/>
          <w:numId w:val="5"/>
        </w:numPr>
        <w:spacing w:line="360" w:lineRule="auto"/>
        <w:ind w:left="284"/>
        <w:jc w:val="both"/>
        <w:rPr>
          <w:rFonts w:ascii="Times New Roman" w:hAnsi="Times New Roman" w:cs="Times New Roman"/>
          <w:b/>
          <w:lang w:val="en-US"/>
        </w:rPr>
      </w:pPr>
      <w:r>
        <w:rPr>
          <w:rFonts w:ascii="Times New Roman" w:hAnsi="Times New Roman" w:cs="Times New Roman"/>
          <w:b/>
          <w:lang w:val="en-US"/>
        </w:rPr>
        <w:t>Results and Discussion</w:t>
      </w:r>
    </w:p>
    <w:p w14:paraId="5114B212" w14:textId="77777777" w:rsidR="008D606A" w:rsidRDefault="008A7AE7" w:rsidP="00873136">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The cost of construction of a battery of 12 cages with a floating shed for storage of all inputs is ₹ 20 lakhs (Table 1). The highest cost comes from high-density polyethene (HDPE) cage frame ₹ 579906 (29%), followed by HDPE nets ₹ 450000 (22.5%). One-time installation charges that include transportation of cage-setup related materials and labour charges for cage construction, were ₹ 320000 (16%), succeeded by floating shed ₹ 194094 (9.7%), floats ₹ 160000 (8%), stone anchors ₹ 150000 (7.5%), mooring </w:t>
      </w:r>
      <w:proofErr w:type="spellStart"/>
      <w:r>
        <w:rPr>
          <w:rFonts w:ascii="Times New Roman" w:hAnsi="Times New Roman" w:cs="Times New Roman"/>
          <w:lang w:val="en-US"/>
        </w:rPr>
        <w:t>equipments</w:t>
      </w:r>
      <w:proofErr w:type="spellEnd"/>
      <w:r>
        <w:rPr>
          <w:rFonts w:ascii="Times New Roman" w:hAnsi="Times New Roman" w:cs="Times New Roman"/>
          <w:lang w:val="en-US"/>
        </w:rPr>
        <w:t xml:space="preserve"> ₹ 70000 (3.5%), HDPE nuts, bolts </w:t>
      </w:r>
      <w:proofErr w:type="gramStart"/>
      <w:r>
        <w:rPr>
          <w:rFonts w:ascii="Times New Roman" w:hAnsi="Times New Roman" w:cs="Times New Roman"/>
          <w:lang w:val="en-US"/>
        </w:rPr>
        <w:t>and  other</w:t>
      </w:r>
      <w:proofErr w:type="gramEnd"/>
      <w:r>
        <w:rPr>
          <w:rFonts w:ascii="Times New Roman" w:hAnsi="Times New Roman" w:cs="Times New Roman"/>
          <w:lang w:val="en-US"/>
        </w:rPr>
        <w:t xml:space="preserve"> accessories ₹ 39000 (1.95%), and HDPE ropes ₹ 37000 (1.85%).</w:t>
      </w:r>
    </w:p>
    <w:p w14:paraId="22002D51" w14:textId="77777777" w:rsidR="008D606A" w:rsidRDefault="008A7AE7" w:rsidP="00873136">
      <w:pPr>
        <w:pStyle w:val="NoSpacing"/>
        <w:spacing w:line="360" w:lineRule="auto"/>
        <w:jc w:val="both"/>
        <w:rPr>
          <w:rFonts w:ascii="Times New Roman" w:hAnsi="Times New Roman" w:cs="Times New Roman"/>
          <w:lang w:val="en-US"/>
        </w:rPr>
      </w:pPr>
      <w:r>
        <w:rPr>
          <w:rFonts w:ascii="Times New Roman" w:hAnsi="Times New Roman" w:cs="Times New Roman"/>
          <w:b/>
          <w:lang w:val="en-US"/>
        </w:rPr>
        <w:t>Table 1. Initial investment of the cage culture at Manasbal (1152 m</w:t>
      </w:r>
      <w:r>
        <w:rPr>
          <w:rFonts w:ascii="Times New Roman" w:hAnsi="Times New Roman" w:cs="Times New Roman"/>
          <w:b/>
          <w:vertAlign w:val="superscript"/>
          <w:lang w:val="en-US"/>
        </w:rPr>
        <w:t>3</w:t>
      </w:r>
      <w:r>
        <w:rPr>
          <w:rFonts w:ascii="Times New Roman" w:hAnsi="Times New Roman" w:cs="Times New Roman"/>
          <w:b/>
          <w:lang w:val="en-US"/>
        </w:rPr>
        <w:t>)</w:t>
      </w:r>
    </w:p>
    <w:tbl>
      <w:tblPr>
        <w:tblW w:w="4970" w:type="dxa"/>
        <w:tblLook w:val="0600" w:firstRow="0" w:lastRow="0" w:firstColumn="0" w:lastColumn="0" w:noHBand="1" w:noVBand="1"/>
      </w:tblPr>
      <w:tblGrid>
        <w:gridCol w:w="2921"/>
        <w:gridCol w:w="2049"/>
      </w:tblGrid>
      <w:tr w:rsidR="008D606A" w14:paraId="37FC2778" w14:textId="77777777">
        <w:trPr>
          <w:trHeight w:val="370"/>
        </w:trPr>
        <w:tc>
          <w:tcPr>
            <w:tcW w:w="2921" w:type="dxa"/>
            <w:tcBorders>
              <w:top w:val="single" w:sz="4" w:space="0" w:color="auto"/>
              <w:bottom w:val="single" w:sz="4" w:space="0" w:color="auto"/>
            </w:tcBorders>
            <w:shd w:val="clear" w:color="auto" w:fill="auto"/>
            <w:noWrap/>
            <w:vAlign w:val="bottom"/>
            <w:hideMark/>
          </w:tcPr>
          <w:p w14:paraId="7BD73F8F"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Items</w:t>
            </w:r>
          </w:p>
        </w:tc>
        <w:tc>
          <w:tcPr>
            <w:tcW w:w="2049" w:type="dxa"/>
            <w:tcBorders>
              <w:top w:val="single" w:sz="4" w:space="0" w:color="auto"/>
              <w:bottom w:val="single" w:sz="4" w:space="0" w:color="auto"/>
            </w:tcBorders>
            <w:shd w:val="clear" w:color="auto" w:fill="auto"/>
            <w:noWrap/>
            <w:vAlign w:val="bottom"/>
            <w:hideMark/>
          </w:tcPr>
          <w:p w14:paraId="0BAE4790"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Investment in ₹ (%)</w:t>
            </w:r>
          </w:p>
        </w:tc>
      </w:tr>
      <w:tr w:rsidR="008D606A" w14:paraId="5F8BE182" w14:textId="77777777">
        <w:trPr>
          <w:trHeight w:val="370"/>
        </w:trPr>
        <w:tc>
          <w:tcPr>
            <w:tcW w:w="2921" w:type="dxa"/>
            <w:tcBorders>
              <w:top w:val="single" w:sz="4" w:space="0" w:color="auto"/>
            </w:tcBorders>
            <w:shd w:val="clear" w:color="auto" w:fill="auto"/>
            <w:noWrap/>
            <w:vAlign w:val="bottom"/>
            <w:hideMark/>
          </w:tcPr>
          <w:p w14:paraId="5F82FD5C"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HDPE cage frame</w:t>
            </w:r>
          </w:p>
        </w:tc>
        <w:tc>
          <w:tcPr>
            <w:tcW w:w="2049" w:type="dxa"/>
            <w:tcBorders>
              <w:top w:val="single" w:sz="4" w:space="0" w:color="auto"/>
            </w:tcBorders>
            <w:shd w:val="clear" w:color="auto" w:fill="auto"/>
            <w:noWrap/>
            <w:vAlign w:val="bottom"/>
            <w:hideMark/>
          </w:tcPr>
          <w:p w14:paraId="3F3E994C"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579906 (29)</w:t>
            </w:r>
          </w:p>
        </w:tc>
      </w:tr>
      <w:tr w:rsidR="008D606A" w14:paraId="6006289A" w14:textId="77777777">
        <w:trPr>
          <w:trHeight w:val="370"/>
        </w:trPr>
        <w:tc>
          <w:tcPr>
            <w:tcW w:w="2921" w:type="dxa"/>
            <w:shd w:val="clear" w:color="auto" w:fill="auto"/>
            <w:noWrap/>
            <w:vAlign w:val="bottom"/>
            <w:hideMark/>
          </w:tcPr>
          <w:p w14:paraId="14571D75"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 xml:space="preserve">Mooring </w:t>
            </w:r>
            <w:proofErr w:type="spellStart"/>
            <w:r>
              <w:rPr>
                <w:rFonts w:ascii="Times New Roman" w:eastAsia="Times New Roman" w:hAnsi="Times New Roman" w:cs="Times New Roman"/>
                <w:color w:val="000000"/>
                <w:lang w:eastAsia="en-IN"/>
              </w:rPr>
              <w:t>equipments</w:t>
            </w:r>
            <w:proofErr w:type="spellEnd"/>
          </w:p>
        </w:tc>
        <w:tc>
          <w:tcPr>
            <w:tcW w:w="2049" w:type="dxa"/>
            <w:shd w:val="clear" w:color="auto" w:fill="auto"/>
            <w:noWrap/>
            <w:vAlign w:val="bottom"/>
            <w:hideMark/>
          </w:tcPr>
          <w:p w14:paraId="6D11D430"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70000 (3.5)</w:t>
            </w:r>
          </w:p>
        </w:tc>
      </w:tr>
      <w:tr w:rsidR="008D606A" w14:paraId="26C84E6A" w14:textId="77777777">
        <w:trPr>
          <w:trHeight w:val="370"/>
        </w:trPr>
        <w:tc>
          <w:tcPr>
            <w:tcW w:w="2921" w:type="dxa"/>
            <w:shd w:val="clear" w:color="auto" w:fill="auto"/>
            <w:noWrap/>
            <w:vAlign w:val="bottom"/>
            <w:hideMark/>
          </w:tcPr>
          <w:p w14:paraId="67507CD3"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Stone anchors</w:t>
            </w:r>
          </w:p>
        </w:tc>
        <w:tc>
          <w:tcPr>
            <w:tcW w:w="2049" w:type="dxa"/>
            <w:shd w:val="clear" w:color="auto" w:fill="auto"/>
            <w:noWrap/>
            <w:vAlign w:val="bottom"/>
            <w:hideMark/>
          </w:tcPr>
          <w:p w14:paraId="15D1A58A"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150000 (7.5)</w:t>
            </w:r>
          </w:p>
        </w:tc>
      </w:tr>
      <w:tr w:rsidR="008D606A" w14:paraId="46832D5E" w14:textId="77777777">
        <w:trPr>
          <w:trHeight w:val="370"/>
        </w:trPr>
        <w:tc>
          <w:tcPr>
            <w:tcW w:w="2921" w:type="dxa"/>
            <w:shd w:val="clear" w:color="auto" w:fill="auto"/>
            <w:noWrap/>
            <w:vAlign w:val="bottom"/>
            <w:hideMark/>
          </w:tcPr>
          <w:p w14:paraId="6D750395"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 xml:space="preserve">Floats </w:t>
            </w:r>
          </w:p>
        </w:tc>
        <w:tc>
          <w:tcPr>
            <w:tcW w:w="2049" w:type="dxa"/>
            <w:shd w:val="clear" w:color="auto" w:fill="auto"/>
            <w:noWrap/>
            <w:vAlign w:val="bottom"/>
            <w:hideMark/>
          </w:tcPr>
          <w:p w14:paraId="3D176B7B"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160000 (8)</w:t>
            </w:r>
          </w:p>
        </w:tc>
      </w:tr>
      <w:tr w:rsidR="008D606A" w14:paraId="0A502109" w14:textId="77777777">
        <w:trPr>
          <w:trHeight w:val="370"/>
        </w:trPr>
        <w:tc>
          <w:tcPr>
            <w:tcW w:w="2921" w:type="dxa"/>
            <w:shd w:val="clear" w:color="auto" w:fill="auto"/>
            <w:noWrap/>
            <w:vAlign w:val="bottom"/>
            <w:hideMark/>
          </w:tcPr>
          <w:p w14:paraId="31704744" w14:textId="77777777" w:rsidR="008D606A" w:rsidRDefault="008A7AE7" w:rsidP="00873136">
            <w:pPr>
              <w:spacing w:after="0" w:line="360" w:lineRule="auto"/>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lastRenderedPageBreak/>
              <w:t>HDPE nuts, bolts and  accessories</w:t>
            </w:r>
          </w:p>
        </w:tc>
        <w:tc>
          <w:tcPr>
            <w:tcW w:w="2049" w:type="dxa"/>
            <w:shd w:val="clear" w:color="auto" w:fill="auto"/>
            <w:noWrap/>
            <w:vAlign w:val="bottom"/>
            <w:hideMark/>
          </w:tcPr>
          <w:p w14:paraId="3B6AC68F"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39000 (1.95)</w:t>
            </w:r>
          </w:p>
        </w:tc>
      </w:tr>
      <w:tr w:rsidR="008D606A" w14:paraId="6FAF5060" w14:textId="77777777">
        <w:trPr>
          <w:trHeight w:val="370"/>
        </w:trPr>
        <w:tc>
          <w:tcPr>
            <w:tcW w:w="2921" w:type="dxa"/>
            <w:shd w:val="clear" w:color="auto" w:fill="auto"/>
            <w:noWrap/>
            <w:vAlign w:val="bottom"/>
            <w:hideMark/>
          </w:tcPr>
          <w:p w14:paraId="3F101BE1"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 xml:space="preserve">HDPE ropes </w:t>
            </w:r>
          </w:p>
        </w:tc>
        <w:tc>
          <w:tcPr>
            <w:tcW w:w="2049" w:type="dxa"/>
            <w:shd w:val="clear" w:color="auto" w:fill="auto"/>
            <w:noWrap/>
            <w:vAlign w:val="bottom"/>
            <w:hideMark/>
          </w:tcPr>
          <w:p w14:paraId="680A56C2"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37000 (1.85)</w:t>
            </w:r>
          </w:p>
        </w:tc>
      </w:tr>
      <w:tr w:rsidR="008D606A" w14:paraId="15E03DEF" w14:textId="77777777">
        <w:trPr>
          <w:trHeight w:val="370"/>
        </w:trPr>
        <w:tc>
          <w:tcPr>
            <w:tcW w:w="2921" w:type="dxa"/>
            <w:shd w:val="clear" w:color="auto" w:fill="auto"/>
            <w:noWrap/>
            <w:vAlign w:val="bottom"/>
            <w:hideMark/>
          </w:tcPr>
          <w:p w14:paraId="33AB7567"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Floating shed</w:t>
            </w:r>
          </w:p>
        </w:tc>
        <w:tc>
          <w:tcPr>
            <w:tcW w:w="2049" w:type="dxa"/>
            <w:shd w:val="clear" w:color="auto" w:fill="auto"/>
            <w:noWrap/>
            <w:vAlign w:val="bottom"/>
            <w:hideMark/>
          </w:tcPr>
          <w:p w14:paraId="53C3B414"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194094 (9.7)</w:t>
            </w:r>
          </w:p>
        </w:tc>
      </w:tr>
      <w:tr w:rsidR="008D606A" w14:paraId="38D3F75C" w14:textId="77777777">
        <w:trPr>
          <w:trHeight w:val="370"/>
        </w:trPr>
        <w:tc>
          <w:tcPr>
            <w:tcW w:w="2921" w:type="dxa"/>
            <w:shd w:val="clear" w:color="auto" w:fill="auto"/>
            <w:noWrap/>
            <w:vAlign w:val="bottom"/>
            <w:hideMark/>
          </w:tcPr>
          <w:p w14:paraId="56B4A50F"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HDPE nets</w:t>
            </w:r>
          </w:p>
        </w:tc>
        <w:tc>
          <w:tcPr>
            <w:tcW w:w="2049" w:type="dxa"/>
            <w:shd w:val="clear" w:color="auto" w:fill="auto"/>
            <w:noWrap/>
            <w:vAlign w:val="bottom"/>
            <w:hideMark/>
          </w:tcPr>
          <w:p w14:paraId="6B2D02DE"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450000 (22.5)</w:t>
            </w:r>
          </w:p>
        </w:tc>
      </w:tr>
      <w:tr w:rsidR="008D606A" w14:paraId="7B909B78" w14:textId="77777777">
        <w:trPr>
          <w:trHeight w:val="370"/>
        </w:trPr>
        <w:tc>
          <w:tcPr>
            <w:tcW w:w="2921" w:type="dxa"/>
            <w:tcBorders>
              <w:bottom w:val="single" w:sz="4" w:space="0" w:color="auto"/>
            </w:tcBorders>
            <w:shd w:val="clear" w:color="auto" w:fill="auto"/>
            <w:noWrap/>
            <w:vAlign w:val="bottom"/>
            <w:hideMark/>
          </w:tcPr>
          <w:p w14:paraId="36C54FE0"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One time installation charges</w:t>
            </w:r>
          </w:p>
        </w:tc>
        <w:tc>
          <w:tcPr>
            <w:tcW w:w="2049" w:type="dxa"/>
            <w:tcBorders>
              <w:bottom w:val="single" w:sz="4" w:space="0" w:color="auto"/>
            </w:tcBorders>
            <w:shd w:val="clear" w:color="auto" w:fill="auto"/>
            <w:noWrap/>
            <w:vAlign w:val="bottom"/>
            <w:hideMark/>
          </w:tcPr>
          <w:p w14:paraId="4A961AD8"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320000 (16)</w:t>
            </w:r>
          </w:p>
        </w:tc>
      </w:tr>
      <w:tr w:rsidR="008D606A" w14:paraId="4B253F12" w14:textId="77777777">
        <w:trPr>
          <w:trHeight w:val="370"/>
        </w:trPr>
        <w:tc>
          <w:tcPr>
            <w:tcW w:w="2921" w:type="dxa"/>
            <w:tcBorders>
              <w:top w:val="single" w:sz="4" w:space="0" w:color="auto"/>
              <w:bottom w:val="single" w:sz="4" w:space="0" w:color="auto"/>
            </w:tcBorders>
            <w:shd w:val="clear" w:color="auto" w:fill="auto"/>
            <w:noWrap/>
            <w:vAlign w:val="bottom"/>
            <w:hideMark/>
          </w:tcPr>
          <w:p w14:paraId="75A943FA"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Total initial investment</w:t>
            </w:r>
          </w:p>
        </w:tc>
        <w:tc>
          <w:tcPr>
            <w:tcW w:w="2049" w:type="dxa"/>
            <w:tcBorders>
              <w:top w:val="single" w:sz="4" w:space="0" w:color="auto"/>
              <w:bottom w:val="single" w:sz="4" w:space="0" w:color="auto"/>
            </w:tcBorders>
            <w:shd w:val="clear" w:color="auto" w:fill="auto"/>
            <w:noWrap/>
            <w:vAlign w:val="bottom"/>
            <w:hideMark/>
          </w:tcPr>
          <w:p w14:paraId="79A1B18C"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2000000</w:t>
            </w:r>
          </w:p>
        </w:tc>
      </w:tr>
    </w:tbl>
    <w:p w14:paraId="6EF16F13" w14:textId="77777777" w:rsidR="008D606A" w:rsidRDefault="008A7AE7" w:rsidP="00873136">
      <w:pPr>
        <w:pStyle w:val="NoSpacing"/>
        <w:spacing w:line="360" w:lineRule="auto"/>
        <w:jc w:val="both"/>
        <w:rPr>
          <w:rFonts w:ascii="Times New Roman" w:hAnsi="Times New Roman" w:cs="Times New Roman"/>
          <w:lang w:val="en-US"/>
        </w:rPr>
      </w:pPr>
      <w:r>
        <w:rPr>
          <w:rFonts w:ascii="Times New Roman" w:hAnsi="Times New Roman" w:cs="Times New Roman"/>
          <w:lang w:val="en-US"/>
        </w:rPr>
        <w:t xml:space="preserve"> </w:t>
      </w:r>
    </w:p>
    <w:p w14:paraId="3F3F2E6E" w14:textId="77777777" w:rsidR="008D606A" w:rsidRDefault="008A7AE7" w:rsidP="00873136">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Out of the total fish stock of 30000, a very good survival rate of 28363 (94.5%) was observed for one crop season which is better than the survival rate observed by Aswathy et al. (2015) in Kerala, India (80%), Das et al. (2022) in Meghalaya, India (80%) and Mane et al. (2016) in </w:t>
      </w:r>
      <w:proofErr w:type="spellStart"/>
      <w:r>
        <w:rPr>
          <w:rFonts w:ascii="Times New Roman" w:hAnsi="Times New Roman" w:cs="Times New Roman"/>
          <w:lang w:val="en-US"/>
        </w:rPr>
        <w:t>Dimbhe</w:t>
      </w:r>
      <w:proofErr w:type="spellEnd"/>
      <w:r>
        <w:rPr>
          <w:rFonts w:ascii="Times New Roman" w:hAnsi="Times New Roman" w:cs="Times New Roman"/>
          <w:lang w:val="en-US"/>
        </w:rPr>
        <w:t xml:space="preserve"> reservoir (65%) of Maharashtra, India. </w:t>
      </w:r>
      <w:r w:rsidR="006D3BE2">
        <w:rPr>
          <w:rFonts w:ascii="Times New Roman" w:hAnsi="Times New Roman" w:cs="Times New Roman"/>
          <w:lang w:val="en-US"/>
        </w:rPr>
        <w:t>There was a total</w:t>
      </w:r>
      <w:r>
        <w:rPr>
          <w:rFonts w:ascii="Times New Roman" w:hAnsi="Times New Roman" w:cs="Times New Roman"/>
          <w:lang w:val="en-US"/>
        </w:rPr>
        <w:t xml:space="preserve"> mortality of 1637 fishes</w:t>
      </w:r>
      <w:r w:rsidR="006D3BE2">
        <w:rPr>
          <w:rFonts w:ascii="Times New Roman" w:hAnsi="Times New Roman" w:cs="Times New Roman"/>
          <w:lang w:val="en-US"/>
        </w:rPr>
        <w:t xml:space="preserve"> throughout the culture period,</w:t>
      </w:r>
      <w:r>
        <w:rPr>
          <w:rFonts w:ascii="Times New Roman" w:hAnsi="Times New Roman" w:cs="Times New Roman"/>
          <w:lang w:val="en-US"/>
        </w:rPr>
        <w:t xml:space="preserve"> </w:t>
      </w:r>
      <w:r w:rsidR="006D3BE2">
        <w:rPr>
          <w:rFonts w:ascii="Times New Roman" w:hAnsi="Times New Roman" w:cs="Times New Roman"/>
          <w:lang w:val="en-US"/>
        </w:rPr>
        <w:t xml:space="preserve">of which </w:t>
      </w:r>
      <w:r>
        <w:rPr>
          <w:rFonts w:ascii="Times New Roman" w:hAnsi="Times New Roman" w:cs="Times New Roman"/>
          <w:lang w:val="en-US"/>
        </w:rPr>
        <w:t xml:space="preserve">the highest mortality rate </w:t>
      </w:r>
      <w:r w:rsidR="007B6C9B">
        <w:rPr>
          <w:rFonts w:ascii="Times New Roman" w:hAnsi="Times New Roman" w:cs="Times New Roman"/>
          <w:lang w:val="en-US"/>
        </w:rPr>
        <w:t>was observed</w:t>
      </w:r>
      <w:r>
        <w:rPr>
          <w:rFonts w:ascii="Times New Roman" w:hAnsi="Times New Roman" w:cs="Times New Roman"/>
          <w:lang w:val="en-US"/>
        </w:rPr>
        <w:t xml:space="preserve"> in November (18.33%), followed by</w:t>
      </w:r>
      <w:r w:rsidR="007B6C9B">
        <w:rPr>
          <w:rFonts w:ascii="Times New Roman" w:hAnsi="Times New Roman" w:cs="Times New Roman"/>
          <w:lang w:val="en-US"/>
        </w:rPr>
        <w:t xml:space="preserve"> January (17.96%), December (14.</w:t>
      </w:r>
      <w:r>
        <w:rPr>
          <w:rFonts w:ascii="Times New Roman" w:hAnsi="Times New Roman" w:cs="Times New Roman"/>
          <w:lang w:val="en-US"/>
        </w:rPr>
        <w:t xml:space="preserve">48%), March (14.11%), February (12.46%), May (12.16%) and lowest in April (10.51%). </w:t>
      </w:r>
    </w:p>
    <w:p w14:paraId="75E4F59E" w14:textId="77777777" w:rsidR="008D606A" w:rsidRDefault="008A7AE7" w:rsidP="00873136">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From Table 2, it can be observed that in March the fish stock started to gain more weight (541.33). It may be due to a rise in water temperature, as the month coincides with the spring season when the temperature rises from 0</w:t>
      </w:r>
      <w:r>
        <w:rPr>
          <w:rFonts w:ascii="Times New Roman" w:hAnsi="Times New Roman" w:cs="Times New Roman"/>
          <w:vertAlign w:val="superscript"/>
          <w:lang w:val="en-US"/>
        </w:rPr>
        <w:t>o</w:t>
      </w:r>
      <w:r>
        <w:rPr>
          <w:rFonts w:ascii="Times New Roman" w:hAnsi="Times New Roman" w:cs="Times New Roman"/>
          <w:lang w:val="en-US"/>
        </w:rPr>
        <w:t xml:space="preserve"> to 20</w:t>
      </w:r>
      <w:r>
        <w:rPr>
          <w:rFonts w:ascii="Times New Roman" w:hAnsi="Times New Roman" w:cs="Times New Roman"/>
          <w:vertAlign w:val="superscript"/>
          <w:lang w:val="en-US"/>
        </w:rPr>
        <w:t>o</w:t>
      </w:r>
      <w:r>
        <w:rPr>
          <w:rFonts w:ascii="Times New Roman" w:hAnsi="Times New Roman" w:cs="Times New Roman"/>
          <w:lang w:val="en-US"/>
        </w:rPr>
        <w:t xml:space="preserve"> C. Highest weight gain of the fish stock occurred in June 1422.95 kg, followed by May 1268.77 and the lowest in February 54.26 kg. The highest feed conversion ratio (FCR) can be observed in February (6.27) when the fish stock gained the least weight (54.26 kg). However, from March, FCR started to decrease and is in a quite good range due to favourable conditions of water temperature and food availability.</w:t>
      </w:r>
    </w:p>
    <w:p w14:paraId="6BAFAF6C" w14:textId="77777777" w:rsidR="008D606A" w:rsidRDefault="008A7AE7" w:rsidP="00873136">
      <w:pPr>
        <w:pStyle w:val="NoSpacing"/>
        <w:spacing w:line="360" w:lineRule="auto"/>
        <w:jc w:val="both"/>
        <w:rPr>
          <w:rFonts w:ascii="Times New Roman" w:hAnsi="Times New Roman" w:cs="Times New Roman"/>
          <w:b/>
          <w:lang w:val="en-US"/>
        </w:rPr>
      </w:pPr>
      <w:r>
        <w:rPr>
          <w:rFonts w:ascii="Times New Roman" w:hAnsi="Times New Roman" w:cs="Times New Roman"/>
          <w:b/>
          <w:lang w:val="en-US"/>
        </w:rPr>
        <w:t>Table 2. Weight gain and feed conversion ratio (FCR) of fish stock in cages (for 8 months)</w:t>
      </w:r>
    </w:p>
    <w:tbl>
      <w:tblPr>
        <w:tblW w:w="4248" w:type="dxa"/>
        <w:tblLook w:val="0600" w:firstRow="0" w:lastRow="0" w:firstColumn="0" w:lastColumn="0" w:noHBand="1" w:noVBand="1"/>
      </w:tblPr>
      <w:tblGrid>
        <w:gridCol w:w="1838"/>
        <w:gridCol w:w="1701"/>
        <w:gridCol w:w="709"/>
      </w:tblGrid>
      <w:tr w:rsidR="008D606A" w14:paraId="080A1BC9" w14:textId="77777777">
        <w:trPr>
          <w:trHeight w:val="416"/>
        </w:trPr>
        <w:tc>
          <w:tcPr>
            <w:tcW w:w="1838" w:type="dxa"/>
            <w:tcBorders>
              <w:top w:val="single" w:sz="4" w:space="0" w:color="auto"/>
              <w:bottom w:val="single" w:sz="4" w:space="0" w:color="auto"/>
            </w:tcBorders>
            <w:shd w:val="clear" w:color="auto" w:fill="auto"/>
            <w:noWrap/>
            <w:vAlign w:val="bottom"/>
            <w:hideMark/>
          </w:tcPr>
          <w:p w14:paraId="4DE9BA58"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Months (2013-14)</w:t>
            </w:r>
          </w:p>
        </w:tc>
        <w:tc>
          <w:tcPr>
            <w:tcW w:w="1701" w:type="dxa"/>
            <w:tcBorders>
              <w:top w:val="single" w:sz="4" w:space="0" w:color="auto"/>
              <w:bottom w:val="single" w:sz="4" w:space="0" w:color="auto"/>
            </w:tcBorders>
            <w:shd w:val="clear" w:color="auto" w:fill="auto"/>
            <w:noWrap/>
            <w:vAlign w:val="bottom"/>
            <w:hideMark/>
          </w:tcPr>
          <w:p w14:paraId="1A9EA267"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Weight gain (kg)</w:t>
            </w:r>
          </w:p>
        </w:tc>
        <w:tc>
          <w:tcPr>
            <w:tcW w:w="709" w:type="dxa"/>
            <w:tcBorders>
              <w:top w:val="single" w:sz="4" w:space="0" w:color="auto"/>
              <w:bottom w:val="single" w:sz="4" w:space="0" w:color="auto"/>
            </w:tcBorders>
            <w:shd w:val="clear" w:color="auto" w:fill="auto"/>
            <w:noWrap/>
            <w:vAlign w:val="bottom"/>
            <w:hideMark/>
          </w:tcPr>
          <w:p w14:paraId="52C91A7D"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FCR</w:t>
            </w:r>
          </w:p>
        </w:tc>
      </w:tr>
      <w:tr w:rsidR="008D606A" w14:paraId="59957D0D" w14:textId="77777777">
        <w:trPr>
          <w:trHeight w:val="256"/>
        </w:trPr>
        <w:tc>
          <w:tcPr>
            <w:tcW w:w="1838" w:type="dxa"/>
            <w:tcBorders>
              <w:top w:val="single" w:sz="4" w:space="0" w:color="auto"/>
            </w:tcBorders>
            <w:shd w:val="clear" w:color="auto" w:fill="auto"/>
            <w:noWrap/>
            <w:vAlign w:val="bottom"/>
            <w:hideMark/>
          </w:tcPr>
          <w:p w14:paraId="06D8907E"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Nov-13</w:t>
            </w:r>
          </w:p>
        </w:tc>
        <w:tc>
          <w:tcPr>
            <w:tcW w:w="1701" w:type="dxa"/>
            <w:tcBorders>
              <w:top w:val="single" w:sz="4" w:space="0" w:color="auto"/>
            </w:tcBorders>
            <w:shd w:val="clear" w:color="auto" w:fill="auto"/>
            <w:noWrap/>
            <w:vAlign w:val="bottom"/>
            <w:hideMark/>
          </w:tcPr>
          <w:p w14:paraId="3D2BD42B"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86.1</w:t>
            </w:r>
          </w:p>
        </w:tc>
        <w:tc>
          <w:tcPr>
            <w:tcW w:w="709" w:type="dxa"/>
            <w:tcBorders>
              <w:top w:val="single" w:sz="4" w:space="0" w:color="auto"/>
            </w:tcBorders>
            <w:shd w:val="clear" w:color="auto" w:fill="auto"/>
            <w:noWrap/>
            <w:vAlign w:val="bottom"/>
            <w:hideMark/>
          </w:tcPr>
          <w:p w14:paraId="55773768"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2.67</w:t>
            </w:r>
          </w:p>
        </w:tc>
      </w:tr>
      <w:tr w:rsidR="008D606A" w14:paraId="4B254847" w14:textId="77777777">
        <w:trPr>
          <w:trHeight w:val="256"/>
        </w:trPr>
        <w:tc>
          <w:tcPr>
            <w:tcW w:w="1838" w:type="dxa"/>
            <w:shd w:val="clear" w:color="auto" w:fill="auto"/>
            <w:noWrap/>
            <w:vAlign w:val="bottom"/>
            <w:hideMark/>
          </w:tcPr>
          <w:p w14:paraId="56EB479E"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December</w:t>
            </w:r>
          </w:p>
        </w:tc>
        <w:tc>
          <w:tcPr>
            <w:tcW w:w="1701" w:type="dxa"/>
            <w:shd w:val="clear" w:color="auto" w:fill="auto"/>
            <w:noWrap/>
            <w:vAlign w:val="bottom"/>
            <w:hideMark/>
          </w:tcPr>
          <w:p w14:paraId="1B2767D2"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55.85</w:t>
            </w:r>
          </w:p>
        </w:tc>
        <w:tc>
          <w:tcPr>
            <w:tcW w:w="709" w:type="dxa"/>
            <w:shd w:val="clear" w:color="auto" w:fill="auto"/>
            <w:noWrap/>
            <w:vAlign w:val="bottom"/>
            <w:hideMark/>
          </w:tcPr>
          <w:p w14:paraId="51C69A96"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4.66</w:t>
            </w:r>
          </w:p>
        </w:tc>
      </w:tr>
      <w:tr w:rsidR="008D606A" w14:paraId="1287AC8F" w14:textId="77777777">
        <w:trPr>
          <w:trHeight w:val="256"/>
        </w:trPr>
        <w:tc>
          <w:tcPr>
            <w:tcW w:w="1838" w:type="dxa"/>
            <w:shd w:val="clear" w:color="auto" w:fill="auto"/>
            <w:noWrap/>
            <w:vAlign w:val="bottom"/>
            <w:hideMark/>
          </w:tcPr>
          <w:p w14:paraId="7052B930"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Jan-14</w:t>
            </w:r>
          </w:p>
        </w:tc>
        <w:tc>
          <w:tcPr>
            <w:tcW w:w="1701" w:type="dxa"/>
            <w:shd w:val="clear" w:color="auto" w:fill="auto"/>
            <w:noWrap/>
            <w:vAlign w:val="bottom"/>
            <w:hideMark/>
          </w:tcPr>
          <w:p w14:paraId="309747C5"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83.1</w:t>
            </w:r>
          </w:p>
        </w:tc>
        <w:tc>
          <w:tcPr>
            <w:tcW w:w="709" w:type="dxa"/>
            <w:shd w:val="clear" w:color="auto" w:fill="auto"/>
            <w:noWrap/>
            <w:vAlign w:val="bottom"/>
            <w:hideMark/>
          </w:tcPr>
          <w:p w14:paraId="36A9289C"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4.09</w:t>
            </w:r>
          </w:p>
        </w:tc>
      </w:tr>
      <w:tr w:rsidR="008D606A" w14:paraId="24365189" w14:textId="77777777">
        <w:trPr>
          <w:trHeight w:val="256"/>
        </w:trPr>
        <w:tc>
          <w:tcPr>
            <w:tcW w:w="1838" w:type="dxa"/>
            <w:shd w:val="clear" w:color="auto" w:fill="auto"/>
            <w:noWrap/>
            <w:vAlign w:val="bottom"/>
            <w:hideMark/>
          </w:tcPr>
          <w:p w14:paraId="79F3B327"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February</w:t>
            </w:r>
          </w:p>
        </w:tc>
        <w:tc>
          <w:tcPr>
            <w:tcW w:w="1701" w:type="dxa"/>
            <w:shd w:val="clear" w:color="auto" w:fill="auto"/>
            <w:noWrap/>
            <w:vAlign w:val="bottom"/>
            <w:hideMark/>
          </w:tcPr>
          <w:p w14:paraId="152CCAC5"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54.26</w:t>
            </w:r>
          </w:p>
        </w:tc>
        <w:tc>
          <w:tcPr>
            <w:tcW w:w="709" w:type="dxa"/>
            <w:shd w:val="clear" w:color="auto" w:fill="auto"/>
            <w:noWrap/>
            <w:vAlign w:val="bottom"/>
            <w:hideMark/>
          </w:tcPr>
          <w:p w14:paraId="726B94BF"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6.27</w:t>
            </w:r>
          </w:p>
        </w:tc>
      </w:tr>
      <w:tr w:rsidR="008D606A" w14:paraId="425B3E74" w14:textId="77777777">
        <w:trPr>
          <w:trHeight w:val="256"/>
        </w:trPr>
        <w:tc>
          <w:tcPr>
            <w:tcW w:w="1838" w:type="dxa"/>
            <w:shd w:val="clear" w:color="auto" w:fill="auto"/>
            <w:noWrap/>
            <w:vAlign w:val="bottom"/>
            <w:hideMark/>
          </w:tcPr>
          <w:p w14:paraId="52E2A8D8"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March</w:t>
            </w:r>
          </w:p>
        </w:tc>
        <w:tc>
          <w:tcPr>
            <w:tcW w:w="1701" w:type="dxa"/>
            <w:shd w:val="clear" w:color="auto" w:fill="auto"/>
            <w:noWrap/>
            <w:vAlign w:val="bottom"/>
            <w:hideMark/>
          </w:tcPr>
          <w:p w14:paraId="5C744986"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541.33</w:t>
            </w:r>
          </w:p>
        </w:tc>
        <w:tc>
          <w:tcPr>
            <w:tcW w:w="709" w:type="dxa"/>
            <w:shd w:val="clear" w:color="auto" w:fill="auto"/>
            <w:noWrap/>
            <w:vAlign w:val="bottom"/>
            <w:hideMark/>
          </w:tcPr>
          <w:p w14:paraId="74357876"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1.85</w:t>
            </w:r>
          </w:p>
        </w:tc>
      </w:tr>
      <w:tr w:rsidR="008D606A" w14:paraId="2770D2F6" w14:textId="77777777">
        <w:trPr>
          <w:trHeight w:val="256"/>
        </w:trPr>
        <w:tc>
          <w:tcPr>
            <w:tcW w:w="1838" w:type="dxa"/>
            <w:shd w:val="clear" w:color="auto" w:fill="auto"/>
            <w:noWrap/>
            <w:vAlign w:val="bottom"/>
            <w:hideMark/>
          </w:tcPr>
          <w:p w14:paraId="4177BE15"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April</w:t>
            </w:r>
          </w:p>
        </w:tc>
        <w:tc>
          <w:tcPr>
            <w:tcW w:w="1701" w:type="dxa"/>
            <w:shd w:val="clear" w:color="auto" w:fill="auto"/>
            <w:noWrap/>
            <w:vAlign w:val="bottom"/>
            <w:hideMark/>
          </w:tcPr>
          <w:p w14:paraId="29C41295"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880.95</w:t>
            </w:r>
          </w:p>
        </w:tc>
        <w:tc>
          <w:tcPr>
            <w:tcW w:w="709" w:type="dxa"/>
            <w:shd w:val="clear" w:color="auto" w:fill="auto"/>
            <w:noWrap/>
            <w:vAlign w:val="bottom"/>
            <w:hideMark/>
          </w:tcPr>
          <w:p w14:paraId="6209A7A2"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1.48</w:t>
            </w:r>
          </w:p>
        </w:tc>
      </w:tr>
      <w:tr w:rsidR="008D606A" w14:paraId="1EF06BFF" w14:textId="77777777" w:rsidTr="00425C8E">
        <w:trPr>
          <w:trHeight w:val="256"/>
        </w:trPr>
        <w:tc>
          <w:tcPr>
            <w:tcW w:w="1838" w:type="dxa"/>
            <w:shd w:val="clear" w:color="auto" w:fill="auto"/>
            <w:noWrap/>
            <w:vAlign w:val="bottom"/>
            <w:hideMark/>
          </w:tcPr>
          <w:p w14:paraId="2E59EA6E"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May</w:t>
            </w:r>
          </w:p>
        </w:tc>
        <w:tc>
          <w:tcPr>
            <w:tcW w:w="1701" w:type="dxa"/>
            <w:shd w:val="clear" w:color="auto" w:fill="auto"/>
            <w:noWrap/>
            <w:vAlign w:val="bottom"/>
            <w:hideMark/>
          </w:tcPr>
          <w:p w14:paraId="4A83473E"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1268.77</w:t>
            </w:r>
          </w:p>
        </w:tc>
        <w:tc>
          <w:tcPr>
            <w:tcW w:w="709" w:type="dxa"/>
            <w:shd w:val="clear" w:color="auto" w:fill="auto"/>
            <w:noWrap/>
            <w:vAlign w:val="bottom"/>
            <w:hideMark/>
          </w:tcPr>
          <w:p w14:paraId="2950E1BA"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1.42</w:t>
            </w:r>
          </w:p>
        </w:tc>
      </w:tr>
      <w:tr w:rsidR="008D606A" w14:paraId="62944921" w14:textId="77777777" w:rsidTr="00425C8E">
        <w:trPr>
          <w:trHeight w:val="256"/>
        </w:trPr>
        <w:tc>
          <w:tcPr>
            <w:tcW w:w="1838" w:type="dxa"/>
            <w:tcBorders>
              <w:bottom w:val="single" w:sz="4" w:space="0" w:color="auto"/>
            </w:tcBorders>
            <w:shd w:val="clear" w:color="auto" w:fill="auto"/>
            <w:noWrap/>
            <w:vAlign w:val="bottom"/>
            <w:hideMark/>
          </w:tcPr>
          <w:p w14:paraId="086BDDCC"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June</w:t>
            </w:r>
          </w:p>
        </w:tc>
        <w:tc>
          <w:tcPr>
            <w:tcW w:w="1701" w:type="dxa"/>
            <w:tcBorders>
              <w:bottom w:val="single" w:sz="4" w:space="0" w:color="auto"/>
            </w:tcBorders>
            <w:shd w:val="clear" w:color="auto" w:fill="auto"/>
            <w:noWrap/>
            <w:vAlign w:val="bottom"/>
            <w:hideMark/>
          </w:tcPr>
          <w:p w14:paraId="2D288B84"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1422.95</w:t>
            </w:r>
          </w:p>
        </w:tc>
        <w:tc>
          <w:tcPr>
            <w:tcW w:w="709" w:type="dxa"/>
            <w:tcBorders>
              <w:bottom w:val="single" w:sz="4" w:space="0" w:color="auto"/>
            </w:tcBorders>
            <w:shd w:val="clear" w:color="auto" w:fill="auto"/>
            <w:noWrap/>
            <w:vAlign w:val="bottom"/>
            <w:hideMark/>
          </w:tcPr>
          <w:p w14:paraId="077D0778"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1.48</w:t>
            </w:r>
          </w:p>
        </w:tc>
      </w:tr>
    </w:tbl>
    <w:p w14:paraId="6DC65C37" w14:textId="77777777" w:rsidR="008D606A" w:rsidRDefault="008A7AE7" w:rsidP="00873136">
      <w:pPr>
        <w:pStyle w:val="NoSpacing"/>
        <w:spacing w:line="360" w:lineRule="auto"/>
        <w:jc w:val="both"/>
        <w:rPr>
          <w:rFonts w:ascii="Times New Roman" w:hAnsi="Times New Roman" w:cs="Times New Roman"/>
          <w:lang w:val="en-US"/>
        </w:rPr>
      </w:pPr>
      <w:r>
        <w:rPr>
          <w:rFonts w:ascii="Times New Roman" w:hAnsi="Times New Roman" w:cs="Times New Roman"/>
          <w:lang w:val="en-US"/>
        </w:rPr>
        <w:t xml:space="preserve"> </w:t>
      </w:r>
    </w:p>
    <w:p w14:paraId="6DCC9307" w14:textId="77777777" w:rsidR="008D606A" w:rsidRDefault="006D3BE2" w:rsidP="00873136">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T</w:t>
      </w:r>
      <w:r w:rsidR="008A7AE7">
        <w:rPr>
          <w:rFonts w:ascii="Times New Roman" w:hAnsi="Times New Roman" w:cs="Times New Roman"/>
          <w:lang w:val="en-US"/>
        </w:rPr>
        <w:t>able 3</w:t>
      </w:r>
      <w:r w:rsidR="00777335">
        <w:rPr>
          <w:rFonts w:ascii="Times New Roman" w:hAnsi="Times New Roman" w:cs="Times New Roman"/>
          <w:lang w:val="en-US"/>
        </w:rPr>
        <w:t xml:space="preserve"> show</w:t>
      </w:r>
      <w:r>
        <w:rPr>
          <w:rFonts w:ascii="Times New Roman" w:hAnsi="Times New Roman" w:cs="Times New Roman"/>
          <w:lang w:val="en-US"/>
        </w:rPr>
        <w:t>s</w:t>
      </w:r>
      <w:r w:rsidR="008A7AE7">
        <w:rPr>
          <w:rFonts w:ascii="Times New Roman" w:hAnsi="Times New Roman" w:cs="Times New Roman"/>
          <w:lang w:val="en-US"/>
        </w:rPr>
        <w:t xml:space="preserve"> the annual fixed cost worked out to be ₹ 388160, </w:t>
      </w:r>
      <w:r w:rsidR="00777335">
        <w:rPr>
          <w:rFonts w:ascii="Times New Roman" w:hAnsi="Times New Roman" w:cs="Times New Roman"/>
          <w:lang w:val="en-US"/>
        </w:rPr>
        <w:t>while</w:t>
      </w:r>
      <w:r w:rsidR="008A7AE7">
        <w:rPr>
          <w:rFonts w:ascii="Times New Roman" w:hAnsi="Times New Roman" w:cs="Times New Roman"/>
          <w:lang w:val="en-US"/>
        </w:rPr>
        <w:t xml:space="preserve"> the annual variable cost </w:t>
      </w:r>
      <w:r w:rsidR="00777335">
        <w:rPr>
          <w:rFonts w:ascii="Times New Roman" w:hAnsi="Times New Roman" w:cs="Times New Roman"/>
          <w:lang w:val="en-US"/>
        </w:rPr>
        <w:t>amounted to</w:t>
      </w:r>
      <w:r w:rsidR="008A7AE7">
        <w:rPr>
          <w:rFonts w:ascii="Times New Roman" w:hAnsi="Times New Roman" w:cs="Times New Roman"/>
          <w:lang w:val="en-US"/>
        </w:rPr>
        <w:t xml:space="preserve"> ₹ 350252. Among variable cost components, feed cost comprises of highest cost component of ₹ 302170 (86.27%), succeeded by seed cost of 30000 (8.57%), Interest on working capital </w:t>
      </w:r>
      <w:r w:rsidR="008A7AE7">
        <w:rPr>
          <w:rFonts w:ascii="Times New Roman" w:hAnsi="Times New Roman" w:cs="Times New Roman"/>
          <w:lang w:val="en-US"/>
        </w:rPr>
        <w:lastRenderedPageBreak/>
        <w:t>15082 (4.31%) and net mending and maintenance of 3000 (0.86%). Gawa et al. (2021) and Obiero et al. (2022) also found the feed cost as the single most important cost component in inland water cages of Jharkhand, India and Kenya respectively. In the case of annual fixed cost structure, permanent human labour forms the highest cost component of ₹ 200000 (51.53%), followed by depreciation ₹ 112560 (29%) and interest on fixed capital 75600 (25.93%).</w:t>
      </w:r>
    </w:p>
    <w:p w14:paraId="5C3166DB" w14:textId="77777777" w:rsidR="002F5390" w:rsidRDefault="002F5390" w:rsidP="00873136">
      <w:pPr>
        <w:pStyle w:val="NoSpacing"/>
        <w:spacing w:line="360" w:lineRule="auto"/>
        <w:ind w:firstLine="720"/>
        <w:jc w:val="both"/>
        <w:rPr>
          <w:rFonts w:ascii="Times New Roman" w:hAnsi="Times New Roman" w:cs="Times New Roman"/>
          <w:lang w:val="en-US"/>
        </w:rPr>
      </w:pPr>
    </w:p>
    <w:p w14:paraId="6E43CE60" w14:textId="77777777" w:rsidR="008D606A" w:rsidRDefault="008A7AE7" w:rsidP="00873136">
      <w:pPr>
        <w:pStyle w:val="NoSpacing"/>
        <w:spacing w:line="360" w:lineRule="auto"/>
        <w:jc w:val="both"/>
        <w:rPr>
          <w:rFonts w:ascii="Times New Roman" w:hAnsi="Times New Roman" w:cs="Times New Roman"/>
          <w:b/>
          <w:lang w:val="en-US"/>
        </w:rPr>
      </w:pPr>
      <w:r>
        <w:rPr>
          <w:rFonts w:ascii="Times New Roman" w:hAnsi="Times New Roman" w:cs="Times New Roman"/>
          <w:b/>
          <w:noProof/>
          <w:lang w:eastAsia="en-IN"/>
        </w:rPr>
        <w:t>Table 3. Cost structure for experimental cage culture at Manasbal lake (8 months)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3256"/>
        <w:gridCol w:w="1701"/>
      </w:tblGrid>
      <w:tr w:rsidR="008D606A" w14:paraId="716F1812" w14:textId="77777777">
        <w:trPr>
          <w:trHeight w:val="554"/>
        </w:trPr>
        <w:tc>
          <w:tcPr>
            <w:tcW w:w="1842" w:type="dxa"/>
            <w:tcBorders>
              <w:top w:val="single" w:sz="4" w:space="0" w:color="auto"/>
              <w:bottom w:val="single" w:sz="4" w:space="0" w:color="auto"/>
            </w:tcBorders>
            <w:noWrap/>
            <w:hideMark/>
          </w:tcPr>
          <w:p w14:paraId="3A512B84" w14:textId="77777777" w:rsidR="008D606A" w:rsidRDefault="008D606A" w:rsidP="00873136">
            <w:pPr>
              <w:pStyle w:val="NoSpacing"/>
              <w:spacing w:line="360" w:lineRule="auto"/>
              <w:jc w:val="both"/>
              <w:rPr>
                <w:rFonts w:ascii="Times New Roman" w:hAnsi="Times New Roman" w:cs="Times New Roman"/>
              </w:rPr>
            </w:pPr>
          </w:p>
        </w:tc>
        <w:tc>
          <w:tcPr>
            <w:tcW w:w="3256" w:type="dxa"/>
            <w:tcBorders>
              <w:top w:val="single" w:sz="4" w:space="0" w:color="auto"/>
              <w:bottom w:val="single" w:sz="4" w:space="0" w:color="auto"/>
            </w:tcBorders>
            <w:noWrap/>
            <w:hideMark/>
          </w:tcPr>
          <w:p w14:paraId="56FF3D7F"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Cost components</w:t>
            </w:r>
          </w:p>
        </w:tc>
        <w:tc>
          <w:tcPr>
            <w:tcW w:w="1701" w:type="dxa"/>
            <w:tcBorders>
              <w:top w:val="single" w:sz="4" w:space="0" w:color="auto"/>
              <w:bottom w:val="single" w:sz="4" w:space="0" w:color="auto"/>
            </w:tcBorders>
            <w:noWrap/>
            <w:hideMark/>
          </w:tcPr>
          <w:p w14:paraId="18E7031C"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Amount in ₹ (%)</w:t>
            </w:r>
          </w:p>
        </w:tc>
      </w:tr>
      <w:tr w:rsidR="008D606A" w14:paraId="554B4546" w14:textId="77777777">
        <w:trPr>
          <w:trHeight w:val="288"/>
        </w:trPr>
        <w:tc>
          <w:tcPr>
            <w:tcW w:w="1842" w:type="dxa"/>
            <w:vMerge w:val="restart"/>
            <w:tcBorders>
              <w:top w:val="single" w:sz="4" w:space="0" w:color="auto"/>
            </w:tcBorders>
            <w:noWrap/>
            <w:hideMark/>
          </w:tcPr>
          <w:p w14:paraId="4DFB4EA5" w14:textId="77777777" w:rsidR="008D606A" w:rsidRDefault="008A7AE7" w:rsidP="00873136">
            <w:pPr>
              <w:pStyle w:val="NoSpacing"/>
              <w:spacing w:line="360" w:lineRule="auto"/>
              <w:jc w:val="center"/>
              <w:rPr>
                <w:rFonts w:ascii="Times New Roman" w:hAnsi="Times New Roman" w:cs="Times New Roman"/>
              </w:rPr>
            </w:pPr>
            <w:r>
              <w:rPr>
                <w:rFonts w:ascii="Times New Roman" w:hAnsi="Times New Roman" w:cs="Times New Roman"/>
              </w:rPr>
              <w:t>Annual fixed cost</w:t>
            </w:r>
          </w:p>
        </w:tc>
        <w:tc>
          <w:tcPr>
            <w:tcW w:w="3256" w:type="dxa"/>
            <w:tcBorders>
              <w:top w:val="single" w:sz="4" w:space="0" w:color="auto"/>
            </w:tcBorders>
            <w:noWrap/>
            <w:hideMark/>
          </w:tcPr>
          <w:p w14:paraId="3D04DD31"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Depreciation of frame and nets</w:t>
            </w:r>
          </w:p>
        </w:tc>
        <w:tc>
          <w:tcPr>
            <w:tcW w:w="1701" w:type="dxa"/>
            <w:tcBorders>
              <w:top w:val="single" w:sz="4" w:space="0" w:color="auto"/>
            </w:tcBorders>
            <w:noWrap/>
            <w:hideMark/>
          </w:tcPr>
          <w:p w14:paraId="7EA6850D"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112560 (17.54)</w:t>
            </w:r>
          </w:p>
        </w:tc>
      </w:tr>
      <w:tr w:rsidR="008D606A" w14:paraId="31D6931B" w14:textId="77777777">
        <w:trPr>
          <w:trHeight w:val="288"/>
        </w:trPr>
        <w:tc>
          <w:tcPr>
            <w:tcW w:w="1842" w:type="dxa"/>
            <w:vMerge/>
            <w:noWrap/>
            <w:hideMark/>
          </w:tcPr>
          <w:p w14:paraId="43AD6A84" w14:textId="77777777" w:rsidR="008D606A" w:rsidRDefault="008D606A" w:rsidP="00873136">
            <w:pPr>
              <w:pStyle w:val="NoSpacing"/>
              <w:spacing w:line="360" w:lineRule="auto"/>
              <w:jc w:val="both"/>
              <w:rPr>
                <w:rFonts w:ascii="Times New Roman" w:hAnsi="Times New Roman" w:cs="Times New Roman"/>
              </w:rPr>
            </w:pPr>
          </w:p>
        </w:tc>
        <w:tc>
          <w:tcPr>
            <w:tcW w:w="3256" w:type="dxa"/>
            <w:noWrap/>
            <w:hideMark/>
          </w:tcPr>
          <w:p w14:paraId="6EDC2CDB"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Interest on fixed capital (4.5%)</w:t>
            </w:r>
          </w:p>
        </w:tc>
        <w:tc>
          <w:tcPr>
            <w:tcW w:w="1701" w:type="dxa"/>
            <w:noWrap/>
            <w:hideMark/>
          </w:tcPr>
          <w:p w14:paraId="0FB1C4C6"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75600 (25.93)</w:t>
            </w:r>
          </w:p>
        </w:tc>
      </w:tr>
      <w:tr w:rsidR="008D606A" w14:paraId="6C4E2120" w14:textId="77777777">
        <w:trPr>
          <w:trHeight w:val="288"/>
        </w:trPr>
        <w:tc>
          <w:tcPr>
            <w:tcW w:w="1842" w:type="dxa"/>
            <w:vMerge/>
            <w:noWrap/>
            <w:hideMark/>
          </w:tcPr>
          <w:p w14:paraId="0FD64EF9" w14:textId="77777777" w:rsidR="008D606A" w:rsidRDefault="008D606A" w:rsidP="00873136">
            <w:pPr>
              <w:pStyle w:val="NoSpacing"/>
              <w:spacing w:line="360" w:lineRule="auto"/>
              <w:jc w:val="both"/>
              <w:rPr>
                <w:rFonts w:ascii="Times New Roman" w:hAnsi="Times New Roman" w:cs="Times New Roman"/>
              </w:rPr>
            </w:pPr>
          </w:p>
        </w:tc>
        <w:tc>
          <w:tcPr>
            <w:tcW w:w="3256" w:type="dxa"/>
            <w:noWrap/>
            <w:hideMark/>
          </w:tcPr>
          <w:p w14:paraId="2BA069F8"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Permanent human labour</w:t>
            </w:r>
          </w:p>
        </w:tc>
        <w:tc>
          <w:tcPr>
            <w:tcW w:w="1701" w:type="dxa"/>
            <w:noWrap/>
            <w:hideMark/>
          </w:tcPr>
          <w:p w14:paraId="440E1BD2"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200000 (56.52)</w:t>
            </w:r>
          </w:p>
        </w:tc>
      </w:tr>
      <w:tr w:rsidR="008D606A" w14:paraId="249E756C" w14:textId="77777777">
        <w:trPr>
          <w:trHeight w:val="288"/>
        </w:trPr>
        <w:tc>
          <w:tcPr>
            <w:tcW w:w="1842" w:type="dxa"/>
            <w:vMerge/>
            <w:tcBorders>
              <w:bottom w:val="single" w:sz="4" w:space="0" w:color="auto"/>
            </w:tcBorders>
            <w:noWrap/>
            <w:hideMark/>
          </w:tcPr>
          <w:p w14:paraId="0C59C0AA" w14:textId="77777777" w:rsidR="008D606A" w:rsidRDefault="008D606A" w:rsidP="00873136">
            <w:pPr>
              <w:pStyle w:val="NoSpacing"/>
              <w:spacing w:line="360" w:lineRule="auto"/>
              <w:jc w:val="both"/>
              <w:rPr>
                <w:rFonts w:ascii="Times New Roman" w:hAnsi="Times New Roman" w:cs="Times New Roman"/>
              </w:rPr>
            </w:pPr>
          </w:p>
        </w:tc>
        <w:tc>
          <w:tcPr>
            <w:tcW w:w="3256" w:type="dxa"/>
            <w:tcBorders>
              <w:bottom w:val="single" w:sz="4" w:space="0" w:color="auto"/>
            </w:tcBorders>
            <w:noWrap/>
            <w:hideMark/>
          </w:tcPr>
          <w:p w14:paraId="6A40ECEE"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Sub total</w:t>
            </w:r>
          </w:p>
        </w:tc>
        <w:tc>
          <w:tcPr>
            <w:tcW w:w="1701" w:type="dxa"/>
            <w:tcBorders>
              <w:bottom w:val="single" w:sz="4" w:space="0" w:color="auto"/>
            </w:tcBorders>
            <w:noWrap/>
            <w:hideMark/>
          </w:tcPr>
          <w:p w14:paraId="57CE68FC"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388160</w:t>
            </w:r>
          </w:p>
        </w:tc>
      </w:tr>
      <w:tr w:rsidR="008D606A" w14:paraId="70C6D25B" w14:textId="77777777">
        <w:trPr>
          <w:trHeight w:val="288"/>
        </w:trPr>
        <w:tc>
          <w:tcPr>
            <w:tcW w:w="1842" w:type="dxa"/>
            <w:vMerge w:val="restart"/>
            <w:tcBorders>
              <w:top w:val="single" w:sz="4" w:space="0" w:color="auto"/>
            </w:tcBorders>
            <w:noWrap/>
            <w:hideMark/>
          </w:tcPr>
          <w:p w14:paraId="6E0B7CF5"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Annual variable cost</w:t>
            </w:r>
          </w:p>
        </w:tc>
        <w:tc>
          <w:tcPr>
            <w:tcW w:w="3256" w:type="dxa"/>
            <w:tcBorders>
              <w:top w:val="single" w:sz="4" w:space="0" w:color="auto"/>
            </w:tcBorders>
            <w:noWrap/>
            <w:hideMark/>
          </w:tcPr>
          <w:p w14:paraId="49C5C335"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Feed cost (one crop)</w:t>
            </w:r>
          </w:p>
        </w:tc>
        <w:tc>
          <w:tcPr>
            <w:tcW w:w="1701" w:type="dxa"/>
            <w:tcBorders>
              <w:top w:val="single" w:sz="4" w:space="0" w:color="auto"/>
            </w:tcBorders>
            <w:noWrap/>
            <w:hideMark/>
          </w:tcPr>
          <w:p w14:paraId="42DE9A00"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302170 (86.27)</w:t>
            </w:r>
          </w:p>
        </w:tc>
      </w:tr>
      <w:tr w:rsidR="008D606A" w14:paraId="6BF3D537" w14:textId="77777777">
        <w:trPr>
          <w:trHeight w:val="288"/>
        </w:trPr>
        <w:tc>
          <w:tcPr>
            <w:tcW w:w="1842" w:type="dxa"/>
            <w:vMerge/>
            <w:noWrap/>
            <w:hideMark/>
          </w:tcPr>
          <w:p w14:paraId="1680DD87" w14:textId="77777777" w:rsidR="008D606A" w:rsidRDefault="008D606A" w:rsidP="00873136">
            <w:pPr>
              <w:pStyle w:val="NoSpacing"/>
              <w:spacing w:line="360" w:lineRule="auto"/>
              <w:jc w:val="both"/>
              <w:rPr>
                <w:rFonts w:ascii="Times New Roman" w:hAnsi="Times New Roman" w:cs="Times New Roman"/>
              </w:rPr>
            </w:pPr>
          </w:p>
        </w:tc>
        <w:tc>
          <w:tcPr>
            <w:tcW w:w="3256" w:type="dxa"/>
            <w:noWrap/>
            <w:hideMark/>
          </w:tcPr>
          <w:p w14:paraId="68BF503E"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Seed cost</w:t>
            </w:r>
          </w:p>
        </w:tc>
        <w:tc>
          <w:tcPr>
            <w:tcW w:w="1701" w:type="dxa"/>
            <w:noWrap/>
            <w:hideMark/>
          </w:tcPr>
          <w:p w14:paraId="0E765050"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30000 (8.57)</w:t>
            </w:r>
          </w:p>
        </w:tc>
      </w:tr>
      <w:tr w:rsidR="008D606A" w14:paraId="1D010AFD" w14:textId="77777777">
        <w:trPr>
          <w:trHeight w:val="288"/>
        </w:trPr>
        <w:tc>
          <w:tcPr>
            <w:tcW w:w="1842" w:type="dxa"/>
            <w:vMerge/>
            <w:noWrap/>
            <w:hideMark/>
          </w:tcPr>
          <w:p w14:paraId="04479C1D" w14:textId="77777777" w:rsidR="008D606A" w:rsidRDefault="008D606A" w:rsidP="00873136">
            <w:pPr>
              <w:pStyle w:val="NoSpacing"/>
              <w:spacing w:line="360" w:lineRule="auto"/>
              <w:jc w:val="both"/>
              <w:rPr>
                <w:rFonts w:ascii="Times New Roman" w:hAnsi="Times New Roman" w:cs="Times New Roman"/>
              </w:rPr>
            </w:pPr>
          </w:p>
        </w:tc>
        <w:tc>
          <w:tcPr>
            <w:tcW w:w="3256" w:type="dxa"/>
            <w:noWrap/>
            <w:hideMark/>
          </w:tcPr>
          <w:p w14:paraId="4A3CC533"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 xml:space="preserve"> Net mending and maintenance</w:t>
            </w:r>
          </w:p>
        </w:tc>
        <w:tc>
          <w:tcPr>
            <w:tcW w:w="1701" w:type="dxa"/>
            <w:noWrap/>
            <w:hideMark/>
          </w:tcPr>
          <w:p w14:paraId="18660601"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3000 (0.86)</w:t>
            </w:r>
          </w:p>
        </w:tc>
      </w:tr>
      <w:tr w:rsidR="008D606A" w14:paraId="5D168BB9" w14:textId="77777777">
        <w:trPr>
          <w:trHeight w:val="288"/>
        </w:trPr>
        <w:tc>
          <w:tcPr>
            <w:tcW w:w="1842" w:type="dxa"/>
            <w:vMerge/>
            <w:noWrap/>
            <w:hideMark/>
          </w:tcPr>
          <w:p w14:paraId="4C0F4F58" w14:textId="77777777" w:rsidR="008D606A" w:rsidRDefault="008D606A" w:rsidP="00873136">
            <w:pPr>
              <w:pStyle w:val="NoSpacing"/>
              <w:spacing w:line="360" w:lineRule="auto"/>
              <w:jc w:val="both"/>
              <w:rPr>
                <w:rFonts w:ascii="Times New Roman" w:hAnsi="Times New Roman" w:cs="Times New Roman"/>
              </w:rPr>
            </w:pPr>
          </w:p>
        </w:tc>
        <w:tc>
          <w:tcPr>
            <w:tcW w:w="3256" w:type="dxa"/>
            <w:noWrap/>
            <w:hideMark/>
          </w:tcPr>
          <w:p w14:paraId="0263CF18"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Interest on working capital (4.5%)</w:t>
            </w:r>
          </w:p>
        </w:tc>
        <w:tc>
          <w:tcPr>
            <w:tcW w:w="1701" w:type="dxa"/>
            <w:noWrap/>
            <w:hideMark/>
          </w:tcPr>
          <w:p w14:paraId="4A0C8351"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15082 (4.31)</w:t>
            </w:r>
          </w:p>
        </w:tc>
      </w:tr>
      <w:tr w:rsidR="008D606A" w14:paraId="40CEFC79" w14:textId="77777777">
        <w:trPr>
          <w:trHeight w:val="288"/>
        </w:trPr>
        <w:tc>
          <w:tcPr>
            <w:tcW w:w="1842" w:type="dxa"/>
            <w:vMerge/>
            <w:tcBorders>
              <w:bottom w:val="single" w:sz="4" w:space="0" w:color="auto"/>
            </w:tcBorders>
            <w:noWrap/>
            <w:hideMark/>
          </w:tcPr>
          <w:p w14:paraId="44FB2C1F" w14:textId="77777777" w:rsidR="008D606A" w:rsidRDefault="008D606A" w:rsidP="00873136">
            <w:pPr>
              <w:pStyle w:val="NoSpacing"/>
              <w:spacing w:line="360" w:lineRule="auto"/>
              <w:jc w:val="both"/>
              <w:rPr>
                <w:rFonts w:ascii="Times New Roman" w:hAnsi="Times New Roman" w:cs="Times New Roman"/>
              </w:rPr>
            </w:pPr>
          </w:p>
        </w:tc>
        <w:tc>
          <w:tcPr>
            <w:tcW w:w="3256" w:type="dxa"/>
            <w:tcBorders>
              <w:bottom w:val="single" w:sz="4" w:space="0" w:color="auto"/>
            </w:tcBorders>
            <w:noWrap/>
            <w:hideMark/>
          </w:tcPr>
          <w:p w14:paraId="72D87B06"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Sub total</w:t>
            </w:r>
          </w:p>
        </w:tc>
        <w:tc>
          <w:tcPr>
            <w:tcW w:w="1701" w:type="dxa"/>
            <w:tcBorders>
              <w:bottom w:val="single" w:sz="4" w:space="0" w:color="auto"/>
            </w:tcBorders>
            <w:noWrap/>
            <w:hideMark/>
          </w:tcPr>
          <w:p w14:paraId="75F4863E"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350252</w:t>
            </w:r>
          </w:p>
        </w:tc>
      </w:tr>
    </w:tbl>
    <w:p w14:paraId="5FB882D9" w14:textId="77777777" w:rsidR="008D606A" w:rsidRDefault="008D606A" w:rsidP="00873136">
      <w:pPr>
        <w:pStyle w:val="NoSpacing"/>
        <w:spacing w:line="360" w:lineRule="auto"/>
        <w:jc w:val="both"/>
        <w:rPr>
          <w:rFonts w:ascii="Times New Roman" w:hAnsi="Times New Roman" w:cs="Times New Roman"/>
          <w:lang w:val="en-US"/>
        </w:rPr>
      </w:pPr>
    </w:p>
    <w:p w14:paraId="4480B751" w14:textId="77777777" w:rsidR="008D606A" w:rsidRDefault="008A7AE7" w:rsidP="00873136">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The biomass gained for 8 months was 3351 kg (Table 4). And the revenue </w:t>
      </w:r>
      <w:proofErr w:type="gramStart"/>
      <w:r>
        <w:rPr>
          <w:rFonts w:ascii="Times New Roman" w:hAnsi="Times New Roman" w:cs="Times New Roman"/>
          <w:lang w:val="en-US"/>
        </w:rPr>
        <w:t>generated  (</w:t>
      </w:r>
      <w:proofErr w:type="gramEnd"/>
      <w:r>
        <w:rPr>
          <w:rFonts w:ascii="Times New Roman" w:hAnsi="Times New Roman" w:cs="Times New Roman"/>
          <w:lang w:val="en-US"/>
        </w:rPr>
        <w:t>₹ 402196) was less than the total cost (₹ 738412). Net income worked out to be negative (₹ -336216), indicating losses from the venture. The cost of production was found to be ₹ 220, in other words, ₹ 220 is required to raise one kilogram of fish which generates ₹ 120 as revenue.</w:t>
      </w:r>
      <w:r w:rsidR="00EE4832">
        <w:rPr>
          <w:rFonts w:ascii="Times New Roman" w:hAnsi="Times New Roman" w:cs="Times New Roman"/>
          <w:lang w:val="en-US"/>
        </w:rPr>
        <w:t xml:space="preserve"> </w:t>
      </w:r>
      <w:r w:rsidR="00EE4832" w:rsidRPr="00EE4832">
        <w:rPr>
          <w:rFonts w:ascii="Times New Roman" w:hAnsi="Times New Roman" w:cs="Times New Roman"/>
          <w:lang w:val="en-US"/>
        </w:rPr>
        <w:t>The authors could discuss factors such as feed costs, labour expenses, and other operational costs that contributed to the higher cost of production.</w:t>
      </w:r>
    </w:p>
    <w:p w14:paraId="19057B44" w14:textId="77777777" w:rsidR="008D606A" w:rsidRDefault="008A7AE7" w:rsidP="00873136">
      <w:pPr>
        <w:pStyle w:val="NoSpacing"/>
        <w:spacing w:line="360" w:lineRule="auto"/>
        <w:jc w:val="both"/>
        <w:rPr>
          <w:rFonts w:ascii="Times New Roman" w:hAnsi="Times New Roman" w:cs="Times New Roman"/>
          <w:b/>
          <w:lang w:val="en-US"/>
        </w:rPr>
      </w:pPr>
      <w:r>
        <w:rPr>
          <w:rFonts w:ascii="Times New Roman" w:hAnsi="Times New Roman" w:cs="Times New Roman"/>
          <w:b/>
          <w:lang w:val="en-US"/>
        </w:rPr>
        <w:t>Table 4. Components of costs and revenue from cage culture in Manasbal lake (per crop)</w:t>
      </w:r>
    </w:p>
    <w:tbl>
      <w:tblPr>
        <w:tblW w:w="3746" w:type="dxa"/>
        <w:tblLook w:val="0600" w:firstRow="0" w:lastRow="0" w:firstColumn="0" w:lastColumn="0" w:noHBand="1" w:noVBand="1"/>
      </w:tblPr>
      <w:tblGrid>
        <w:gridCol w:w="2631"/>
        <w:gridCol w:w="1115"/>
      </w:tblGrid>
      <w:tr w:rsidR="008D606A" w14:paraId="6D363D0A" w14:textId="77777777">
        <w:trPr>
          <w:trHeight w:val="292"/>
        </w:trPr>
        <w:tc>
          <w:tcPr>
            <w:tcW w:w="2631" w:type="dxa"/>
            <w:tcBorders>
              <w:top w:val="single" w:sz="4" w:space="0" w:color="auto"/>
              <w:bottom w:val="single" w:sz="4" w:space="0" w:color="auto"/>
            </w:tcBorders>
            <w:shd w:val="clear" w:color="auto" w:fill="auto"/>
            <w:noWrap/>
            <w:vAlign w:val="bottom"/>
            <w:hideMark/>
          </w:tcPr>
          <w:p w14:paraId="02569535"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Particulars</w:t>
            </w:r>
          </w:p>
        </w:tc>
        <w:tc>
          <w:tcPr>
            <w:tcW w:w="1115" w:type="dxa"/>
            <w:tcBorders>
              <w:top w:val="single" w:sz="4" w:space="0" w:color="auto"/>
              <w:bottom w:val="single" w:sz="4" w:space="0" w:color="auto"/>
            </w:tcBorders>
            <w:shd w:val="clear" w:color="auto" w:fill="auto"/>
            <w:noWrap/>
            <w:vAlign w:val="bottom"/>
            <w:hideMark/>
          </w:tcPr>
          <w:p w14:paraId="4EA6B9E4"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Amount (₹) /   kg</w:t>
            </w:r>
          </w:p>
        </w:tc>
      </w:tr>
      <w:tr w:rsidR="008D606A" w14:paraId="341BC93E" w14:textId="77777777">
        <w:trPr>
          <w:trHeight w:val="292"/>
        </w:trPr>
        <w:tc>
          <w:tcPr>
            <w:tcW w:w="2631" w:type="dxa"/>
            <w:tcBorders>
              <w:top w:val="single" w:sz="4" w:space="0" w:color="auto"/>
            </w:tcBorders>
            <w:shd w:val="clear" w:color="auto" w:fill="auto"/>
            <w:noWrap/>
            <w:vAlign w:val="bottom"/>
            <w:hideMark/>
          </w:tcPr>
          <w:p w14:paraId="54D097FA"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Initial investment</w:t>
            </w:r>
          </w:p>
        </w:tc>
        <w:tc>
          <w:tcPr>
            <w:tcW w:w="1115" w:type="dxa"/>
            <w:tcBorders>
              <w:top w:val="single" w:sz="4" w:space="0" w:color="auto"/>
            </w:tcBorders>
            <w:shd w:val="clear" w:color="auto" w:fill="auto"/>
            <w:noWrap/>
            <w:vAlign w:val="bottom"/>
            <w:hideMark/>
          </w:tcPr>
          <w:p w14:paraId="616328A9"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2000000</w:t>
            </w:r>
          </w:p>
        </w:tc>
      </w:tr>
      <w:tr w:rsidR="008D606A" w14:paraId="215A4BEA" w14:textId="77777777">
        <w:trPr>
          <w:trHeight w:val="292"/>
        </w:trPr>
        <w:tc>
          <w:tcPr>
            <w:tcW w:w="2631" w:type="dxa"/>
            <w:shd w:val="clear" w:color="auto" w:fill="auto"/>
            <w:noWrap/>
            <w:vAlign w:val="bottom"/>
            <w:hideMark/>
          </w:tcPr>
          <w:p w14:paraId="29040DF1"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Annual fixed cost</w:t>
            </w:r>
          </w:p>
        </w:tc>
        <w:tc>
          <w:tcPr>
            <w:tcW w:w="1115" w:type="dxa"/>
            <w:shd w:val="clear" w:color="auto" w:fill="auto"/>
            <w:noWrap/>
            <w:vAlign w:val="bottom"/>
            <w:hideMark/>
          </w:tcPr>
          <w:p w14:paraId="1B9795CB"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388160</w:t>
            </w:r>
          </w:p>
        </w:tc>
      </w:tr>
      <w:tr w:rsidR="008D606A" w14:paraId="1C98E459" w14:textId="77777777">
        <w:trPr>
          <w:trHeight w:val="292"/>
        </w:trPr>
        <w:tc>
          <w:tcPr>
            <w:tcW w:w="2631" w:type="dxa"/>
            <w:shd w:val="clear" w:color="auto" w:fill="auto"/>
            <w:noWrap/>
            <w:vAlign w:val="bottom"/>
            <w:hideMark/>
          </w:tcPr>
          <w:p w14:paraId="201F0835"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Annual variable cost</w:t>
            </w:r>
          </w:p>
        </w:tc>
        <w:tc>
          <w:tcPr>
            <w:tcW w:w="1115" w:type="dxa"/>
            <w:shd w:val="clear" w:color="auto" w:fill="auto"/>
            <w:noWrap/>
            <w:vAlign w:val="bottom"/>
            <w:hideMark/>
          </w:tcPr>
          <w:p w14:paraId="618A9592"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350253</w:t>
            </w:r>
          </w:p>
        </w:tc>
      </w:tr>
      <w:tr w:rsidR="008D606A" w14:paraId="0C13B5E9" w14:textId="77777777">
        <w:trPr>
          <w:trHeight w:val="292"/>
        </w:trPr>
        <w:tc>
          <w:tcPr>
            <w:tcW w:w="2631" w:type="dxa"/>
            <w:shd w:val="clear" w:color="auto" w:fill="auto"/>
            <w:noWrap/>
            <w:vAlign w:val="bottom"/>
            <w:hideMark/>
          </w:tcPr>
          <w:p w14:paraId="307CE9CC"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 xml:space="preserve">Total cost </w:t>
            </w:r>
          </w:p>
        </w:tc>
        <w:tc>
          <w:tcPr>
            <w:tcW w:w="1115" w:type="dxa"/>
            <w:shd w:val="clear" w:color="auto" w:fill="auto"/>
            <w:noWrap/>
            <w:vAlign w:val="bottom"/>
            <w:hideMark/>
          </w:tcPr>
          <w:p w14:paraId="43220B2E"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738412</w:t>
            </w:r>
          </w:p>
        </w:tc>
      </w:tr>
      <w:tr w:rsidR="008D606A" w14:paraId="057522C0" w14:textId="77777777">
        <w:trPr>
          <w:trHeight w:val="292"/>
        </w:trPr>
        <w:tc>
          <w:tcPr>
            <w:tcW w:w="2631" w:type="dxa"/>
            <w:shd w:val="clear" w:color="auto" w:fill="auto"/>
            <w:noWrap/>
            <w:vAlign w:val="bottom"/>
            <w:hideMark/>
          </w:tcPr>
          <w:p w14:paraId="6B366915"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 xml:space="preserve">Yield (one crop) </w:t>
            </w:r>
          </w:p>
        </w:tc>
        <w:tc>
          <w:tcPr>
            <w:tcW w:w="1115" w:type="dxa"/>
            <w:shd w:val="clear" w:color="auto" w:fill="auto"/>
            <w:noWrap/>
            <w:vAlign w:val="bottom"/>
            <w:hideMark/>
          </w:tcPr>
          <w:p w14:paraId="216A48BC"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3352</w:t>
            </w:r>
          </w:p>
        </w:tc>
      </w:tr>
      <w:tr w:rsidR="008D606A" w14:paraId="330BDB8A" w14:textId="77777777">
        <w:trPr>
          <w:trHeight w:val="292"/>
        </w:trPr>
        <w:tc>
          <w:tcPr>
            <w:tcW w:w="2631" w:type="dxa"/>
            <w:shd w:val="clear" w:color="auto" w:fill="auto"/>
            <w:noWrap/>
            <w:vAlign w:val="bottom"/>
            <w:hideMark/>
          </w:tcPr>
          <w:p w14:paraId="79C2DA0A"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Price per kg</w:t>
            </w:r>
          </w:p>
        </w:tc>
        <w:tc>
          <w:tcPr>
            <w:tcW w:w="1115" w:type="dxa"/>
            <w:shd w:val="clear" w:color="auto" w:fill="auto"/>
            <w:noWrap/>
            <w:vAlign w:val="bottom"/>
            <w:hideMark/>
          </w:tcPr>
          <w:p w14:paraId="4333BDF9"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120</w:t>
            </w:r>
          </w:p>
        </w:tc>
      </w:tr>
      <w:tr w:rsidR="008D606A" w14:paraId="34EA3264" w14:textId="77777777">
        <w:trPr>
          <w:trHeight w:val="292"/>
        </w:trPr>
        <w:tc>
          <w:tcPr>
            <w:tcW w:w="2631" w:type="dxa"/>
            <w:shd w:val="clear" w:color="auto" w:fill="auto"/>
            <w:noWrap/>
            <w:vAlign w:val="bottom"/>
            <w:hideMark/>
          </w:tcPr>
          <w:p w14:paraId="68F20E0E"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Gross revenue</w:t>
            </w:r>
          </w:p>
        </w:tc>
        <w:tc>
          <w:tcPr>
            <w:tcW w:w="1115" w:type="dxa"/>
            <w:shd w:val="clear" w:color="auto" w:fill="auto"/>
            <w:noWrap/>
            <w:vAlign w:val="bottom"/>
            <w:hideMark/>
          </w:tcPr>
          <w:p w14:paraId="29120F85"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402196</w:t>
            </w:r>
          </w:p>
        </w:tc>
      </w:tr>
      <w:tr w:rsidR="008D606A" w14:paraId="7D0EFBA8" w14:textId="77777777">
        <w:trPr>
          <w:trHeight w:val="292"/>
        </w:trPr>
        <w:tc>
          <w:tcPr>
            <w:tcW w:w="2631" w:type="dxa"/>
            <w:shd w:val="clear" w:color="auto" w:fill="auto"/>
            <w:noWrap/>
            <w:vAlign w:val="bottom"/>
            <w:hideMark/>
          </w:tcPr>
          <w:p w14:paraId="179BEE56"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Net operating cost</w:t>
            </w:r>
          </w:p>
        </w:tc>
        <w:tc>
          <w:tcPr>
            <w:tcW w:w="1115" w:type="dxa"/>
            <w:shd w:val="clear" w:color="auto" w:fill="auto"/>
            <w:noWrap/>
            <w:vAlign w:val="bottom"/>
            <w:hideMark/>
          </w:tcPr>
          <w:p w14:paraId="54132212"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51944</w:t>
            </w:r>
          </w:p>
        </w:tc>
      </w:tr>
      <w:tr w:rsidR="008D606A" w14:paraId="02153CD3" w14:textId="77777777" w:rsidTr="00425C8E">
        <w:trPr>
          <w:trHeight w:val="292"/>
        </w:trPr>
        <w:tc>
          <w:tcPr>
            <w:tcW w:w="2631" w:type="dxa"/>
            <w:shd w:val="clear" w:color="auto" w:fill="auto"/>
            <w:noWrap/>
            <w:vAlign w:val="bottom"/>
            <w:hideMark/>
          </w:tcPr>
          <w:p w14:paraId="42D9442F"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Net income</w:t>
            </w:r>
          </w:p>
        </w:tc>
        <w:tc>
          <w:tcPr>
            <w:tcW w:w="1115" w:type="dxa"/>
            <w:shd w:val="clear" w:color="auto" w:fill="auto"/>
            <w:noWrap/>
            <w:vAlign w:val="bottom"/>
            <w:hideMark/>
          </w:tcPr>
          <w:p w14:paraId="24198522"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-336216</w:t>
            </w:r>
          </w:p>
        </w:tc>
      </w:tr>
      <w:tr w:rsidR="008D606A" w14:paraId="12224952" w14:textId="77777777" w:rsidTr="00425C8E">
        <w:trPr>
          <w:trHeight w:val="292"/>
        </w:trPr>
        <w:tc>
          <w:tcPr>
            <w:tcW w:w="2631" w:type="dxa"/>
            <w:tcBorders>
              <w:bottom w:val="single" w:sz="4" w:space="0" w:color="auto"/>
            </w:tcBorders>
            <w:shd w:val="clear" w:color="auto" w:fill="auto"/>
            <w:noWrap/>
            <w:vAlign w:val="bottom"/>
            <w:hideMark/>
          </w:tcPr>
          <w:p w14:paraId="03CB2B78"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Cost of production (₹/ kg)</w:t>
            </w:r>
          </w:p>
        </w:tc>
        <w:tc>
          <w:tcPr>
            <w:tcW w:w="1115" w:type="dxa"/>
            <w:tcBorders>
              <w:bottom w:val="single" w:sz="4" w:space="0" w:color="auto"/>
            </w:tcBorders>
            <w:shd w:val="clear" w:color="auto" w:fill="auto"/>
            <w:noWrap/>
            <w:vAlign w:val="bottom"/>
            <w:hideMark/>
          </w:tcPr>
          <w:p w14:paraId="244F52A5"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220</w:t>
            </w:r>
          </w:p>
        </w:tc>
      </w:tr>
    </w:tbl>
    <w:p w14:paraId="48637AA9" w14:textId="77777777" w:rsidR="008D606A" w:rsidRDefault="008D606A" w:rsidP="00873136">
      <w:pPr>
        <w:pStyle w:val="NoSpacing"/>
        <w:spacing w:line="360" w:lineRule="auto"/>
        <w:jc w:val="both"/>
        <w:rPr>
          <w:rFonts w:ascii="Times New Roman" w:hAnsi="Times New Roman" w:cs="Times New Roman"/>
          <w:lang w:val="en-US"/>
        </w:rPr>
      </w:pPr>
    </w:p>
    <w:p w14:paraId="2B657981" w14:textId="77777777" w:rsidR="008D606A" w:rsidRDefault="008A7AE7" w:rsidP="00873136">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The NPV was found to be negative with a value of ₹ -713844 lakhs. There is more loss than benefit from the venture, it can be supported by BCR value (-0.97%) and payback period (-5.94 years). It indicates the non-economic viability of cage culture in the region. Lan et al. (2022) also found similar results for cages installed in the inland waters of Taiwan. In addition, the feed efficiency ratio worked out to be 45.48%. It means out of the total feed given (7370 kg), only 45.48% (3352) is converted into fish biomass for one crop season of eight months.</w:t>
      </w:r>
    </w:p>
    <w:p w14:paraId="6EF30C66" w14:textId="77777777" w:rsidR="008D606A" w:rsidRPr="00425C8E" w:rsidRDefault="008350D9" w:rsidP="00873136">
      <w:pPr>
        <w:pStyle w:val="NoSpacing"/>
        <w:spacing w:line="360" w:lineRule="auto"/>
        <w:jc w:val="both"/>
        <w:rPr>
          <w:rFonts w:ascii="Times New Roman" w:hAnsi="Times New Roman" w:cs="Times New Roman"/>
          <w:b/>
          <w:lang w:val="en-US"/>
        </w:rPr>
      </w:pPr>
      <w:r w:rsidRPr="00425C8E">
        <w:rPr>
          <w:rFonts w:ascii="Times New Roman" w:hAnsi="Times New Roman" w:cs="Times New Roman"/>
          <w:b/>
          <w:lang w:val="en-US"/>
        </w:rPr>
        <w:t>Table 5</w:t>
      </w:r>
      <w:r w:rsidR="008A7AE7" w:rsidRPr="00425C8E">
        <w:rPr>
          <w:rFonts w:ascii="Times New Roman" w:hAnsi="Times New Roman" w:cs="Times New Roman"/>
          <w:b/>
          <w:lang w:val="en-US"/>
        </w:rPr>
        <w:t xml:space="preserve">.  </w:t>
      </w:r>
      <w:r w:rsidR="00B51858" w:rsidRPr="00425C8E">
        <w:rPr>
          <w:rFonts w:ascii="Times New Roman" w:hAnsi="Times New Roman" w:cs="Times New Roman"/>
          <w:b/>
          <w:lang w:val="en-US"/>
        </w:rPr>
        <w:t>Key Economic Indicators of cage culture in Manasbal Lake</w:t>
      </w:r>
    </w:p>
    <w:tbl>
      <w:tblPr>
        <w:tblW w:w="5129" w:type="dxa"/>
        <w:tblLook w:val="04A0" w:firstRow="1" w:lastRow="0" w:firstColumn="1" w:lastColumn="0" w:noHBand="0" w:noVBand="1"/>
      </w:tblPr>
      <w:tblGrid>
        <w:gridCol w:w="1595"/>
        <w:gridCol w:w="1726"/>
        <w:gridCol w:w="1808"/>
      </w:tblGrid>
      <w:tr w:rsidR="008D606A" w14:paraId="199586A8" w14:textId="77777777" w:rsidTr="00B51858">
        <w:trPr>
          <w:trHeight w:val="624"/>
        </w:trPr>
        <w:tc>
          <w:tcPr>
            <w:tcW w:w="1595" w:type="dxa"/>
            <w:tcBorders>
              <w:top w:val="single" w:sz="4" w:space="0" w:color="auto"/>
              <w:bottom w:val="single" w:sz="4" w:space="0" w:color="auto"/>
            </w:tcBorders>
            <w:shd w:val="clear" w:color="auto" w:fill="auto"/>
            <w:noWrap/>
            <w:vAlign w:val="center"/>
            <w:hideMark/>
          </w:tcPr>
          <w:p w14:paraId="7D2F8A48" w14:textId="77777777" w:rsidR="008D606A" w:rsidRDefault="008A7AE7" w:rsidP="00B51858">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S no.</w:t>
            </w:r>
          </w:p>
        </w:tc>
        <w:tc>
          <w:tcPr>
            <w:tcW w:w="1726" w:type="dxa"/>
            <w:tcBorders>
              <w:top w:val="single" w:sz="4" w:space="0" w:color="auto"/>
              <w:bottom w:val="single" w:sz="4" w:space="0" w:color="auto"/>
            </w:tcBorders>
            <w:shd w:val="clear" w:color="auto" w:fill="auto"/>
            <w:noWrap/>
            <w:vAlign w:val="center"/>
            <w:hideMark/>
          </w:tcPr>
          <w:p w14:paraId="23D8D548" w14:textId="77777777" w:rsidR="008D606A" w:rsidRDefault="008A7AE7" w:rsidP="00B51858">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Criteria</w:t>
            </w:r>
          </w:p>
        </w:tc>
        <w:tc>
          <w:tcPr>
            <w:tcW w:w="1808" w:type="dxa"/>
            <w:tcBorders>
              <w:top w:val="single" w:sz="4" w:space="0" w:color="auto"/>
              <w:bottom w:val="single" w:sz="4" w:space="0" w:color="auto"/>
            </w:tcBorders>
            <w:shd w:val="clear" w:color="auto" w:fill="auto"/>
            <w:noWrap/>
            <w:vAlign w:val="center"/>
            <w:hideMark/>
          </w:tcPr>
          <w:p w14:paraId="507AFF00" w14:textId="77777777" w:rsidR="008D606A" w:rsidRPr="00B51858" w:rsidRDefault="008A7AE7" w:rsidP="00B51858">
            <w:pPr>
              <w:pStyle w:val="NoSpacing"/>
              <w:rPr>
                <w:rFonts w:ascii="Times New Roman" w:hAnsi="Times New Roman" w:cs="Times New Roman"/>
                <w:lang w:eastAsia="en-IN"/>
              </w:rPr>
            </w:pPr>
            <w:r w:rsidRPr="00B51858">
              <w:rPr>
                <w:rFonts w:ascii="Times New Roman" w:hAnsi="Times New Roman" w:cs="Times New Roman"/>
                <w:sz w:val="20"/>
                <w:lang w:eastAsia="en-IN"/>
              </w:rPr>
              <w:t>Manasbal cage culture</w:t>
            </w:r>
          </w:p>
        </w:tc>
      </w:tr>
      <w:tr w:rsidR="008D606A" w14:paraId="3B47F090" w14:textId="77777777" w:rsidTr="00B51858">
        <w:trPr>
          <w:trHeight w:val="303"/>
        </w:trPr>
        <w:tc>
          <w:tcPr>
            <w:tcW w:w="1595" w:type="dxa"/>
            <w:tcBorders>
              <w:top w:val="single" w:sz="4" w:space="0" w:color="auto"/>
            </w:tcBorders>
            <w:shd w:val="clear" w:color="auto" w:fill="auto"/>
            <w:noWrap/>
            <w:vAlign w:val="bottom"/>
            <w:hideMark/>
          </w:tcPr>
          <w:p w14:paraId="185BA4D7"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1</w:t>
            </w:r>
          </w:p>
        </w:tc>
        <w:tc>
          <w:tcPr>
            <w:tcW w:w="1726" w:type="dxa"/>
            <w:tcBorders>
              <w:top w:val="single" w:sz="4" w:space="0" w:color="auto"/>
            </w:tcBorders>
            <w:shd w:val="clear" w:color="auto" w:fill="auto"/>
            <w:noWrap/>
            <w:vAlign w:val="bottom"/>
            <w:hideMark/>
          </w:tcPr>
          <w:p w14:paraId="0ECF7C5D"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NPV (₹)</w:t>
            </w:r>
          </w:p>
        </w:tc>
        <w:tc>
          <w:tcPr>
            <w:tcW w:w="1808" w:type="dxa"/>
            <w:tcBorders>
              <w:top w:val="single" w:sz="4" w:space="0" w:color="auto"/>
            </w:tcBorders>
            <w:shd w:val="clear" w:color="auto" w:fill="auto"/>
            <w:noWrap/>
            <w:vAlign w:val="bottom"/>
            <w:hideMark/>
          </w:tcPr>
          <w:p w14:paraId="48E2AE5D"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-713844</w:t>
            </w:r>
          </w:p>
        </w:tc>
      </w:tr>
      <w:tr w:rsidR="008D606A" w14:paraId="0DAC4728" w14:textId="77777777" w:rsidTr="00B51858">
        <w:trPr>
          <w:trHeight w:val="303"/>
        </w:trPr>
        <w:tc>
          <w:tcPr>
            <w:tcW w:w="1595" w:type="dxa"/>
            <w:shd w:val="clear" w:color="auto" w:fill="auto"/>
            <w:noWrap/>
            <w:vAlign w:val="bottom"/>
            <w:hideMark/>
          </w:tcPr>
          <w:p w14:paraId="51E4A8CA"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2</w:t>
            </w:r>
          </w:p>
        </w:tc>
        <w:tc>
          <w:tcPr>
            <w:tcW w:w="1726" w:type="dxa"/>
            <w:shd w:val="clear" w:color="auto" w:fill="auto"/>
            <w:noWrap/>
            <w:vAlign w:val="bottom"/>
            <w:hideMark/>
          </w:tcPr>
          <w:p w14:paraId="4C2C3D7A"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BCR (%)</w:t>
            </w:r>
          </w:p>
        </w:tc>
        <w:tc>
          <w:tcPr>
            <w:tcW w:w="1808" w:type="dxa"/>
            <w:shd w:val="clear" w:color="auto" w:fill="auto"/>
            <w:noWrap/>
            <w:vAlign w:val="bottom"/>
            <w:hideMark/>
          </w:tcPr>
          <w:p w14:paraId="583F40F8"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-0.97</w:t>
            </w:r>
          </w:p>
        </w:tc>
      </w:tr>
      <w:tr w:rsidR="008D606A" w14:paraId="13B11AB0" w14:textId="77777777" w:rsidTr="00B51858">
        <w:trPr>
          <w:trHeight w:val="303"/>
        </w:trPr>
        <w:tc>
          <w:tcPr>
            <w:tcW w:w="1595" w:type="dxa"/>
            <w:shd w:val="clear" w:color="auto" w:fill="auto"/>
            <w:noWrap/>
            <w:vAlign w:val="bottom"/>
            <w:hideMark/>
          </w:tcPr>
          <w:p w14:paraId="253293F0"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3</w:t>
            </w:r>
          </w:p>
        </w:tc>
        <w:tc>
          <w:tcPr>
            <w:tcW w:w="1726" w:type="dxa"/>
            <w:shd w:val="clear" w:color="auto" w:fill="auto"/>
            <w:noWrap/>
            <w:vAlign w:val="bottom"/>
            <w:hideMark/>
          </w:tcPr>
          <w:p w14:paraId="20621FD4"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PBP (years)</w:t>
            </w:r>
          </w:p>
        </w:tc>
        <w:tc>
          <w:tcPr>
            <w:tcW w:w="1808" w:type="dxa"/>
            <w:shd w:val="clear" w:color="auto" w:fill="auto"/>
            <w:noWrap/>
            <w:vAlign w:val="bottom"/>
            <w:hideMark/>
          </w:tcPr>
          <w:p w14:paraId="6F6BBFFC"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-5.94</w:t>
            </w:r>
          </w:p>
        </w:tc>
      </w:tr>
      <w:tr w:rsidR="008D606A" w14:paraId="0DFD5F73" w14:textId="77777777" w:rsidTr="00B51858">
        <w:trPr>
          <w:trHeight w:val="303"/>
        </w:trPr>
        <w:tc>
          <w:tcPr>
            <w:tcW w:w="1595" w:type="dxa"/>
            <w:tcBorders>
              <w:bottom w:val="single" w:sz="4" w:space="0" w:color="auto"/>
            </w:tcBorders>
            <w:shd w:val="clear" w:color="auto" w:fill="auto"/>
            <w:noWrap/>
            <w:vAlign w:val="bottom"/>
            <w:hideMark/>
          </w:tcPr>
          <w:p w14:paraId="0C599A66"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4</w:t>
            </w:r>
          </w:p>
        </w:tc>
        <w:tc>
          <w:tcPr>
            <w:tcW w:w="1726" w:type="dxa"/>
            <w:tcBorders>
              <w:bottom w:val="single" w:sz="4" w:space="0" w:color="auto"/>
            </w:tcBorders>
            <w:shd w:val="clear" w:color="auto" w:fill="auto"/>
            <w:noWrap/>
            <w:vAlign w:val="bottom"/>
            <w:hideMark/>
          </w:tcPr>
          <w:p w14:paraId="6484E0F7"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IRR (%)</w:t>
            </w:r>
          </w:p>
        </w:tc>
        <w:tc>
          <w:tcPr>
            <w:tcW w:w="1808" w:type="dxa"/>
            <w:tcBorders>
              <w:bottom w:val="single" w:sz="4" w:space="0" w:color="auto"/>
            </w:tcBorders>
            <w:shd w:val="clear" w:color="auto" w:fill="auto"/>
            <w:noWrap/>
            <w:vAlign w:val="bottom"/>
            <w:hideMark/>
          </w:tcPr>
          <w:p w14:paraId="58B7607C"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Negative</w:t>
            </w:r>
          </w:p>
        </w:tc>
      </w:tr>
    </w:tbl>
    <w:p w14:paraId="4C436F8E" w14:textId="77777777" w:rsidR="008D606A" w:rsidRDefault="008D606A" w:rsidP="00873136">
      <w:pPr>
        <w:pStyle w:val="NoSpacing"/>
        <w:spacing w:line="360" w:lineRule="auto"/>
        <w:jc w:val="both"/>
        <w:rPr>
          <w:rFonts w:ascii="Times New Roman" w:hAnsi="Times New Roman" w:cs="Times New Roman"/>
          <w:b/>
          <w:lang w:val="en-US"/>
        </w:rPr>
      </w:pPr>
    </w:p>
    <w:p w14:paraId="521B7DF1" w14:textId="77777777" w:rsidR="008D606A" w:rsidRDefault="008A7AE7" w:rsidP="00873136">
      <w:pPr>
        <w:pStyle w:val="NoSpacing"/>
        <w:numPr>
          <w:ilvl w:val="0"/>
          <w:numId w:val="5"/>
        </w:numPr>
        <w:spacing w:line="360" w:lineRule="auto"/>
        <w:ind w:left="284" w:hanging="284"/>
        <w:jc w:val="both"/>
        <w:rPr>
          <w:rFonts w:ascii="Times New Roman" w:hAnsi="Times New Roman" w:cs="Times New Roman"/>
          <w:b/>
          <w:lang w:val="en-US"/>
        </w:rPr>
      </w:pPr>
      <w:r>
        <w:rPr>
          <w:rFonts w:ascii="Times New Roman" w:hAnsi="Times New Roman" w:cs="Times New Roman"/>
          <w:b/>
          <w:lang w:val="en-US"/>
        </w:rPr>
        <w:t>Conclusion</w:t>
      </w:r>
    </w:p>
    <w:p w14:paraId="03BB5AD9" w14:textId="77777777" w:rsidR="008D606A" w:rsidRDefault="008A7AE7" w:rsidP="00873136">
      <w:pPr>
        <w:pStyle w:val="NoSpacing"/>
        <w:spacing w:line="360" w:lineRule="auto"/>
        <w:ind w:firstLine="720"/>
        <w:jc w:val="both"/>
        <w:rPr>
          <w:rFonts w:ascii="Times New Roman" w:hAnsi="Times New Roman" w:cs="Times New Roman"/>
        </w:rPr>
      </w:pPr>
      <w:r>
        <w:rPr>
          <w:rFonts w:ascii="Times New Roman" w:hAnsi="Times New Roman" w:cs="Times New Roman"/>
        </w:rPr>
        <w:t xml:space="preserve">The mortality rate of fish stock for one crop season of eight months was 5.5% which falls in a quite good range. It may be due to the good water quality of the lake that makes it less prone to diseases. A negative value of all the economic indicators depicts that cage farming generates losses over time. The higher initial investment of ₹ 20 lakhs implies cage culture as a capital-intensive venture, thereafter high feed cost (86%) among recurring costs is required to raise the fish stock. As an intensive aquaculture practice, culturing of fish in cages is entirely dependent on the feed given, its quality and price. Comparatively less growth occurred in February, which coincides with the highest FCR (6.6) due to less metabolic activities. Growth favouring season starts from March onwards, thereafter the fish stock shows visible growth changes. Annual fixed cost and variable cost almost share the same cost percentage of 52.6% and 47.4%, respectively in total cost. The cost of production is almost double that of the revenue generated implying the non-economic viability of the cage culture in Manasbal lake. </w:t>
      </w:r>
    </w:p>
    <w:p w14:paraId="4598F792" w14:textId="77777777" w:rsidR="008D606A" w:rsidRDefault="008A7AE7" w:rsidP="00873136">
      <w:pPr>
        <w:pStyle w:val="NoSpacing"/>
        <w:spacing w:line="360" w:lineRule="auto"/>
        <w:jc w:val="both"/>
        <w:rPr>
          <w:rFonts w:ascii="Times New Roman" w:hAnsi="Times New Roman" w:cs="Times New Roman"/>
          <w:b/>
        </w:rPr>
      </w:pPr>
      <w:r>
        <w:rPr>
          <w:rFonts w:ascii="Times New Roman" w:hAnsi="Times New Roman" w:cs="Times New Roman"/>
          <w:b/>
        </w:rPr>
        <w:t xml:space="preserve">Suggestions </w:t>
      </w:r>
    </w:p>
    <w:p w14:paraId="185E737C" w14:textId="77777777" w:rsidR="008D606A" w:rsidRDefault="008A7AE7" w:rsidP="00873136">
      <w:pPr>
        <w:pStyle w:val="NoSpacing"/>
        <w:spacing w:line="360" w:lineRule="auto"/>
        <w:ind w:firstLine="720"/>
        <w:jc w:val="both"/>
        <w:rPr>
          <w:rFonts w:ascii="Times New Roman" w:hAnsi="Times New Roman" w:cs="Times New Roman"/>
        </w:rPr>
      </w:pPr>
      <w:r>
        <w:rPr>
          <w:rFonts w:ascii="Times New Roman" w:hAnsi="Times New Roman" w:cs="Times New Roman"/>
        </w:rPr>
        <w:t xml:space="preserve">Although the intensive cage culture is not suitable in the lake as per NFDB guidelines. However, the main motive of a project to provide alternate livelihood opportunities to landless fishers can still be achieved by modifying the cage from rearing to recreational purposes. A strong governance </w:t>
      </w:r>
      <w:r w:rsidRPr="002F5390">
        <w:rPr>
          <w:rFonts w:ascii="Times New Roman" w:hAnsi="Times New Roman" w:cs="Times New Roman"/>
        </w:rPr>
        <w:t xml:space="preserve">platform based on co-management principles for recreation can be made to benefit the local community. </w:t>
      </w:r>
      <w:r w:rsidR="00993297" w:rsidRPr="002F5390">
        <w:rPr>
          <w:rFonts w:ascii="Times New Roman" w:hAnsi="Times New Roman" w:cs="Times New Roman"/>
        </w:rPr>
        <w:t xml:space="preserve">Future research could focus on developing locally-sourced feed ingredients and creating cost-effective floating feed formulations that meet the dietary needs of exotic carps, particularly for cage culture in lakes like Dal, Manasbal, and Wular in Kashmir. Emphasizing the creation of floating feed would be beneficial, as it would remain on the water surface for extended periods, allowing fish to recognize and consume it at their convenience. This approach would reduce feed wastage and promote faster fish </w:t>
      </w:r>
      <w:r w:rsidR="00993297" w:rsidRPr="002F5390">
        <w:rPr>
          <w:rFonts w:ascii="Times New Roman" w:hAnsi="Times New Roman" w:cs="Times New Roman"/>
        </w:rPr>
        <w:lastRenderedPageBreak/>
        <w:t xml:space="preserve">growth, helping them reach market size quickly. </w:t>
      </w:r>
      <w:r w:rsidR="00EC33FA" w:rsidRPr="002F5390">
        <w:rPr>
          <w:rFonts w:ascii="Times New Roman" w:hAnsi="Times New Roman" w:cs="Times New Roman"/>
        </w:rPr>
        <w:t>S</w:t>
      </w:r>
      <w:r w:rsidRPr="002F5390">
        <w:rPr>
          <w:rFonts w:ascii="Times New Roman" w:hAnsi="Times New Roman" w:cs="Times New Roman"/>
        </w:rPr>
        <w:t>tocking</w:t>
      </w:r>
      <w:r>
        <w:rPr>
          <w:rFonts w:ascii="Times New Roman" w:hAnsi="Times New Roman" w:cs="Times New Roman"/>
        </w:rPr>
        <w:t xml:space="preserve"> in the spring season (March) would be a better option for optimum growth and feeding response. The percentage of feed </w:t>
      </w:r>
      <w:r w:rsidR="00EC33FA">
        <w:rPr>
          <w:rFonts w:ascii="Times New Roman" w:hAnsi="Times New Roman" w:cs="Times New Roman"/>
        </w:rPr>
        <w:t>should be</w:t>
      </w:r>
      <w:r>
        <w:rPr>
          <w:rFonts w:ascii="Times New Roman" w:hAnsi="Times New Roman" w:cs="Times New Roman"/>
        </w:rPr>
        <w:t xml:space="preserve"> given by considering the entire fish biomass on monthly basis. Rather, the percentage or quantity of feed should be given by considering the continuous or daily fish biomass for each fish species, separately. To improve the economic viability of cages in other eligible lakes like Dal, continuous records of feed given and body weight gained should be maintained separately for each species. It would form the basis for the (standardized) optimum feeding schedule for these exotic carps in the temperate lakes of Kashmir. The harvesting of the fish crop should be done by the end of the summer season (September) when the water temperature starts to decrease.</w:t>
      </w:r>
    </w:p>
    <w:p w14:paraId="7A810E8C" w14:textId="77777777" w:rsidR="008D606A" w:rsidRDefault="008A7AE7" w:rsidP="00873136">
      <w:pPr>
        <w:spacing w:line="360" w:lineRule="auto"/>
        <w:jc w:val="both"/>
        <w:rPr>
          <w:rFonts w:ascii="Times New Roman" w:hAnsi="Times New Roman" w:cs="Times New Roman"/>
          <w:b/>
        </w:rPr>
      </w:pPr>
      <w:r>
        <w:rPr>
          <w:rFonts w:ascii="Times New Roman" w:hAnsi="Times New Roman" w:cs="Times New Roman"/>
          <w:b/>
        </w:rPr>
        <w:t>References</w:t>
      </w:r>
    </w:p>
    <w:p w14:paraId="4417FB08"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000000" w:themeColor="text1"/>
          <w:sz w:val="20"/>
          <w:szCs w:val="20"/>
          <w:shd w:val="clear" w:color="auto" w:fill="FFFFFF"/>
        </w:rPr>
      </w:pPr>
      <w:r w:rsidRPr="003E28FC">
        <w:rPr>
          <w:rFonts w:ascii="Times New Roman" w:hAnsi="Times New Roman" w:cs="Times New Roman"/>
          <w:color w:val="000000" w:themeColor="text1"/>
          <w:sz w:val="20"/>
          <w:szCs w:val="20"/>
          <w:shd w:val="clear" w:color="auto" w:fill="FFFFFF"/>
        </w:rPr>
        <w:t>Aswathy, N. and Joseph, I. (2019). Economic feasibility and resource use efficiency of coastal cage fish farming in Kerala. </w:t>
      </w:r>
      <w:r w:rsidRPr="003E28FC">
        <w:rPr>
          <w:rFonts w:ascii="Times New Roman" w:hAnsi="Times New Roman" w:cs="Times New Roman"/>
          <w:i/>
          <w:iCs/>
          <w:color w:val="000000" w:themeColor="text1"/>
          <w:sz w:val="20"/>
          <w:szCs w:val="20"/>
          <w:shd w:val="clear" w:color="auto" w:fill="FFFFFF"/>
        </w:rPr>
        <w:t>Economic Affairs</w:t>
      </w:r>
      <w:r w:rsidRPr="003E28FC">
        <w:rPr>
          <w:rFonts w:ascii="Times New Roman" w:hAnsi="Times New Roman" w:cs="Times New Roman"/>
          <w:color w:val="000000" w:themeColor="text1"/>
          <w:sz w:val="20"/>
          <w:szCs w:val="20"/>
          <w:shd w:val="clear" w:color="auto" w:fill="FFFFFF"/>
        </w:rPr>
        <w:t>, </w:t>
      </w:r>
      <w:r w:rsidRPr="003E28FC">
        <w:rPr>
          <w:rFonts w:ascii="Times New Roman" w:hAnsi="Times New Roman" w:cs="Times New Roman"/>
          <w:i/>
          <w:iCs/>
          <w:color w:val="000000" w:themeColor="text1"/>
          <w:sz w:val="20"/>
          <w:szCs w:val="20"/>
          <w:shd w:val="clear" w:color="auto" w:fill="FFFFFF"/>
        </w:rPr>
        <w:t>64</w:t>
      </w:r>
      <w:r w:rsidRPr="003E28FC">
        <w:rPr>
          <w:rFonts w:ascii="Times New Roman" w:hAnsi="Times New Roman" w:cs="Times New Roman"/>
          <w:color w:val="000000" w:themeColor="text1"/>
          <w:sz w:val="20"/>
          <w:szCs w:val="20"/>
          <w:shd w:val="clear" w:color="auto" w:fill="FFFFFF"/>
        </w:rPr>
        <w:t>(1), 151-155.</w:t>
      </w:r>
      <w:r w:rsidR="003316B1" w:rsidRPr="003316B1">
        <w:t xml:space="preserve"> </w:t>
      </w:r>
      <w:r w:rsidR="003316B1">
        <w:t xml:space="preserve">DOI </w:t>
      </w:r>
      <w:r w:rsidR="003316B1" w:rsidRPr="003E28FC">
        <w:rPr>
          <w:rFonts w:ascii="Times New Roman" w:hAnsi="Times New Roman" w:cs="Times New Roman"/>
          <w:color w:val="000000" w:themeColor="text1"/>
          <w:sz w:val="20"/>
          <w:szCs w:val="20"/>
          <w:shd w:val="clear" w:color="auto" w:fill="FFFFFF"/>
        </w:rPr>
        <w:t xml:space="preserve">10.30954/0424-2513.1.2019.19. </w:t>
      </w:r>
    </w:p>
    <w:p w14:paraId="67064A94"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222222"/>
          <w:sz w:val="20"/>
          <w:szCs w:val="20"/>
          <w:shd w:val="clear" w:color="auto" w:fill="FFFFFF"/>
        </w:rPr>
      </w:pPr>
      <w:r w:rsidRPr="003E28FC">
        <w:rPr>
          <w:rFonts w:ascii="Times New Roman" w:hAnsi="Times New Roman" w:cs="Times New Roman"/>
          <w:color w:val="000000" w:themeColor="text1"/>
          <w:sz w:val="20"/>
          <w:szCs w:val="20"/>
          <w:shd w:val="clear" w:color="auto" w:fill="FFFFFF"/>
        </w:rPr>
        <w:t>Aswathy, N., Imelda, J., Ignatius, B. and Joseph, S. (2020). Economic viability of cage fish farming in India</w:t>
      </w:r>
      <w:r w:rsidRPr="003E28FC">
        <w:rPr>
          <w:rFonts w:ascii="Times New Roman" w:hAnsi="Times New Roman" w:cs="Times New Roman"/>
          <w:color w:val="222222"/>
          <w:sz w:val="20"/>
          <w:szCs w:val="20"/>
          <w:shd w:val="clear" w:color="auto" w:fill="FFFFFF"/>
        </w:rPr>
        <w:t>.</w:t>
      </w:r>
      <w:r w:rsidR="00156753" w:rsidRPr="003E28FC">
        <w:rPr>
          <w:rFonts w:ascii="Times New Roman" w:hAnsi="Times New Roman" w:cs="Times New Roman"/>
          <w:color w:val="222222"/>
          <w:sz w:val="20"/>
          <w:szCs w:val="20"/>
          <w:shd w:val="clear" w:color="auto" w:fill="FFFFFF"/>
        </w:rPr>
        <w:t xml:space="preserve"> </w:t>
      </w:r>
      <w:hyperlink r:id="rId7" w:history="1">
        <w:r w:rsidRPr="003E28FC">
          <w:rPr>
            <w:rStyle w:val="Hyperlink"/>
            <w:rFonts w:ascii="Times New Roman" w:hAnsi="Times New Roman" w:cs="Times New Roman"/>
            <w:sz w:val="20"/>
            <w:szCs w:val="20"/>
            <w:shd w:val="clear" w:color="auto" w:fill="FFFFFF"/>
          </w:rPr>
          <w:t>http://eprints.cmfri.org.in/14274/1/CMFRI%20SP%20No.134_2020_Economic%20viability%20of%20cage%20fish%20farming%20in%20India.pdf</w:t>
        </w:r>
      </w:hyperlink>
      <w:r w:rsidR="003316B1" w:rsidRPr="003E28FC">
        <w:rPr>
          <w:rFonts w:ascii="Times New Roman" w:hAnsi="Times New Roman" w:cs="Times New Roman"/>
          <w:color w:val="222222"/>
          <w:sz w:val="20"/>
          <w:szCs w:val="20"/>
          <w:shd w:val="clear" w:color="auto" w:fill="FFFFFF"/>
        </w:rPr>
        <w:t>.</w:t>
      </w:r>
    </w:p>
    <w:p w14:paraId="77680673"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222222"/>
          <w:sz w:val="20"/>
          <w:szCs w:val="20"/>
          <w:shd w:val="clear" w:color="auto" w:fill="FFFFFF"/>
        </w:rPr>
      </w:pPr>
      <w:r w:rsidRPr="003E28FC">
        <w:rPr>
          <w:rFonts w:ascii="Times New Roman" w:hAnsi="Times New Roman" w:cs="Times New Roman"/>
          <w:color w:val="000000" w:themeColor="text1"/>
          <w:sz w:val="20"/>
          <w:szCs w:val="20"/>
          <w:shd w:val="clear" w:color="auto" w:fill="FFFFFF"/>
        </w:rPr>
        <w:t xml:space="preserve">Aswathy, N., </w:t>
      </w:r>
      <w:proofErr w:type="spellStart"/>
      <w:r w:rsidRPr="003E28FC">
        <w:rPr>
          <w:rFonts w:ascii="Times New Roman" w:hAnsi="Times New Roman" w:cs="Times New Roman"/>
          <w:color w:val="000000" w:themeColor="text1"/>
          <w:sz w:val="20"/>
          <w:szCs w:val="20"/>
          <w:shd w:val="clear" w:color="auto" w:fill="FFFFFF"/>
        </w:rPr>
        <w:t>Narayanakumar</w:t>
      </w:r>
      <w:proofErr w:type="spellEnd"/>
      <w:r w:rsidRPr="003E28FC">
        <w:rPr>
          <w:rFonts w:ascii="Times New Roman" w:hAnsi="Times New Roman" w:cs="Times New Roman"/>
          <w:color w:val="000000" w:themeColor="text1"/>
          <w:sz w:val="20"/>
          <w:szCs w:val="20"/>
          <w:shd w:val="clear" w:color="auto" w:fill="FFFFFF"/>
        </w:rPr>
        <w:t xml:space="preserve">, R., Philipose, K.K. and Imelda, J. (2015). Cost-benefit Analysis and Input Requirements for Mariculture of Finfishes in India. </w:t>
      </w:r>
      <w:r w:rsidR="00B72581" w:rsidRPr="003E28FC">
        <w:rPr>
          <w:rFonts w:ascii="Times New Roman" w:hAnsi="Times New Roman" w:cs="Times New Roman"/>
          <w:color w:val="000000" w:themeColor="text1"/>
          <w:sz w:val="20"/>
          <w:szCs w:val="20"/>
          <w:shd w:val="clear" w:color="auto" w:fill="FFFFFF"/>
        </w:rPr>
        <w:t>30</w:t>
      </w:r>
      <w:r w:rsidR="00156753" w:rsidRPr="003E28FC">
        <w:rPr>
          <w:rFonts w:ascii="Times New Roman" w:hAnsi="Times New Roman" w:cs="Times New Roman"/>
          <w:color w:val="000000" w:themeColor="text1"/>
          <w:sz w:val="20"/>
          <w:szCs w:val="20"/>
          <w:shd w:val="clear" w:color="auto" w:fill="FFFFFF"/>
        </w:rPr>
        <w:t>1</w:t>
      </w:r>
      <w:r w:rsidR="00B72581" w:rsidRPr="003E28FC">
        <w:rPr>
          <w:rFonts w:ascii="Times New Roman" w:hAnsi="Times New Roman" w:cs="Times New Roman"/>
          <w:color w:val="000000" w:themeColor="text1"/>
          <w:sz w:val="20"/>
          <w:szCs w:val="20"/>
          <w:shd w:val="clear" w:color="auto" w:fill="FFFFFF"/>
        </w:rPr>
        <w:t>-304</w:t>
      </w:r>
      <w:r w:rsidR="00156753" w:rsidRPr="003E28FC">
        <w:rPr>
          <w:rFonts w:ascii="Times New Roman" w:hAnsi="Times New Roman" w:cs="Times New Roman"/>
          <w:color w:val="000000" w:themeColor="text1"/>
          <w:sz w:val="20"/>
          <w:szCs w:val="20"/>
          <w:shd w:val="clear" w:color="auto" w:fill="FFFFFF"/>
        </w:rPr>
        <w:t xml:space="preserve">. </w:t>
      </w:r>
      <w:hyperlink r:id="rId8" w:history="1">
        <w:r w:rsidRPr="003E28FC">
          <w:rPr>
            <w:rStyle w:val="Hyperlink"/>
            <w:rFonts w:ascii="Times New Roman" w:hAnsi="Times New Roman" w:cs="Times New Roman"/>
            <w:sz w:val="20"/>
            <w:szCs w:val="20"/>
            <w:shd w:val="clear" w:color="auto" w:fill="FFFFFF"/>
          </w:rPr>
          <w:t>http://eprints.cmfri.org.in/10700</w:t>
        </w:r>
      </w:hyperlink>
      <w:hyperlink r:id="rId9" w:history="1">
        <w:r w:rsidRPr="003E28FC">
          <w:rPr>
            <w:rStyle w:val="Hyperlink"/>
            <w:rFonts w:ascii="Times New Roman" w:hAnsi="Times New Roman" w:cs="Times New Roman"/>
            <w:sz w:val="20"/>
            <w:szCs w:val="20"/>
            <w:shd w:val="clear" w:color="auto" w:fill="FFFFFF"/>
          </w:rPr>
          <w:t>/</w:t>
        </w:r>
      </w:hyperlink>
      <w:r w:rsidRPr="003E28FC">
        <w:rPr>
          <w:rFonts w:ascii="Times New Roman" w:hAnsi="Times New Roman" w:cs="Times New Roman"/>
          <w:color w:val="222222"/>
          <w:sz w:val="20"/>
          <w:szCs w:val="20"/>
          <w:shd w:val="clear" w:color="auto" w:fill="FFFFFF"/>
        </w:rPr>
        <w:t xml:space="preserve">. </w:t>
      </w:r>
    </w:p>
    <w:p w14:paraId="6CCC5F30"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000000" w:themeColor="text1"/>
          <w:sz w:val="20"/>
          <w:szCs w:val="20"/>
        </w:rPr>
      </w:pPr>
      <w:r w:rsidRPr="003E28FC">
        <w:rPr>
          <w:rFonts w:ascii="Times New Roman" w:hAnsi="Times New Roman" w:cs="Times New Roman"/>
          <w:color w:val="000000" w:themeColor="text1"/>
          <w:sz w:val="20"/>
          <w:szCs w:val="20"/>
          <w:shd w:val="clear" w:color="auto" w:fill="FFFFFF"/>
        </w:rPr>
        <w:t xml:space="preserve">Bezerra, T.R.Q., Domingues, E.C., Maia Filho, L.F.A., </w:t>
      </w:r>
      <w:proofErr w:type="spellStart"/>
      <w:r w:rsidRPr="003E28FC">
        <w:rPr>
          <w:rFonts w:ascii="Times New Roman" w:hAnsi="Times New Roman" w:cs="Times New Roman"/>
          <w:color w:val="000000" w:themeColor="text1"/>
          <w:sz w:val="20"/>
          <w:szCs w:val="20"/>
          <w:shd w:val="clear" w:color="auto" w:fill="FFFFFF"/>
        </w:rPr>
        <w:t>Rombenso</w:t>
      </w:r>
      <w:proofErr w:type="spellEnd"/>
      <w:r w:rsidRPr="003E28FC">
        <w:rPr>
          <w:rFonts w:ascii="Times New Roman" w:hAnsi="Times New Roman" w:cs="Times New Roman"/>
          <w:color w:val="000000" w:themeColor="text1"/>
          <w:sz w:val="20"/>
          <w:szCs w:val="20"/>
          <w:shd w:val="clear" w:color="auto" w:fill="FFFFFF"/>
        </w:rPr>
        <w:t>, A.N., Hamilton, S. and Cavalli, R.O. (2016). Economic analysis of cobia (</w:t>
      </w:r>
      <w:r w:rsidRPr="003E28FC">
        <w:rPr>
          <w:rFonts w:ascii="Times New Roman" w:hAnsi="Times New Roman" w:cs="Times New Roman"/>
          <w:i/>
          <w:color w:val="000000" w:themeColor="text1"/>
          <w:sz w:val="20"/>
          <w:szCs w:val="20"/>
          <w:shd w:val="clear" w:color="auto" w:fill="FFFFFF"/>
        </w:rPr>
        <w:t>Rachycentron canadum</w:t>
      </w:r>
      <w:r w:rsidRPr="003E28FC">
        <w:rPr>
          <w:rFonts w:ascii="Times New Roman" w:hAnsi="Times New Roman" w:cs="Times New Roman"/>
          <w:color w:val="000000" w:themeColor="text1"/>
          <w:sz w:val="20"/>
          <w:szCs w:val="20"/>
          <w:shd w:val="clear" w:color="auto" w:fill="FFFFFF"/>
        </w:rPr>
        <w:t>) cage culture in large-and small-scale production systems in Brazil. </w:t>
      </w:r>
      <w:r w:rsidRPr="003E28FC">
        <w:rPr>
          <w:rFonts w:ascii="Times New Roman" w:hAnsi="Times New Roman" w:cs="Times New Roman"/>
          <w:i/>
          <w:iCs/>
          <w:color w:val="000000" w:themeColor="text1"/>
          <w:sz w:val="20"/>
          <w:szCs w:val="20"/>
          <w:shd w:val="clear" w:color="auto" w:fill="FFFFFF"/>
        </w:rPr>
        <w:t>Aquaculture International</w:t>
      </w:r>
      <w:r w:rsidRPr="003E28FC">
        <w:rPr>
          <w:rFonts w:ascii="Times New Roman" w:hAnsi="Times New Roman" w:cs="Times New Roman"/>
          <w:color w:val="000000" w:themeColor="text1"/>
          <w:sz w:val="20"/>
          <w:szCs w:val="20"/>
          <w:shd w:val="clear" w:color="auto" w:fill="FFFFFF"/>
        </w:rPr>
        <w:t>, </w:t>
      </w:r>
      <w:r w:rsidRPr="003E28FC">
        <w:rPr>
          <w:rFonts w:ascii="Times New Roman" w:hAnsi="Times New Roman" w:cs="Times New Roman"/>
          <w:i/>
          <w:iCs/>
          <w:color w:val="000000" w:themeColor="text1"/>
          <w:sz w:val="20"/>
          <w:szCs w:val="20"/>
          <w:shd w:val="clear" w:color="auto" w:fill="FFFFFF"/>
        </w:rPr>
        <w:t>24</w:t>
      </w:r>
      <w:r w:rsidRPr="003E28FC">
        <w:rPr>
          <w:rFonts w:ascii="Times New Roman" w:hAnsi="Times New Roman" w:cs="Times New Roman"/>
          <w:color w:val="000000" w:themeColor="text1"/>
          <w:sz w:val="20"/>
          <w:szCs w:val="20"/>
          <w:shd w:val="clear" w:color="auto" w:fill="FFFFFF"/>
        </w:rPr>
        <w:t>(2), 609-622.</w:t>
      </w:r>
      <w:r w:rsidR="003316B1" w:rsidRPr="003E28FC">
        <w:rPr>
          <w:rFonts w:ascii="Times New Roman" w:hAnsi="Times New Roman" w:cs="Times New Roman"/>
          <w:color w:val="000000" w:themeColor="text1"/>
          <w:sz w:val="20"/>
          <w:szCs w:val="20"/>
          <w:shd w:val="clear" w:color="auto" w:fill="FFFFFF"/>
        </w:rPr>
        <w:t xml:space="preserve"> </w:t>
      </w:r>
      <w:hyperlink r:id="rId10" w:history="1">
        <w:r w:rsidR="003316B1" w:rsidRPr="003E28FC">
          <w:rPr>
            <w:rStyle w:val="Hyperlink"/>
            <w:rFonts w:ascii="Times New Roman" w:hAnsi="Times New Roman" w:cs="Times New Roman"/>
            <w:sz w:val="20"/>
            <w:szCs w:val="20"/>
            <w:shd w:val="clear" w:color="auto" w:fill="FFFFFF"/>
          </w:rPr>
          <w:t>https://doi.org/10.1007/s10499-015-9951-2</w:t>
        </w:r>
      </w:hyperlink>
      <w:r w:rsidR="003316B1" w:rsidRPr="003E28FC">
        <w:rPr>
          <w:rFonts w:ascii="Times New Roman" w:hAnsi="Times New Roman" w:cs="Times New Roman"/>
          <w:color w:val="000000" w:themeColor="text1"/>
          <w:sz w:val="20"/>
          <w:szCs w:val="20"/>
          <w:shd w:val="clear" w:color="auto" w:fill="FFFFFF"/>
        </w:rPr>
        <w:t xml:space="preserve">. </w:t>
      </w:r>
    </w:p>
    <w:p w14:paraId="776CA68D"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sz w:val="20"/>
          <w:szCs w:val="20"/>
        </w:rPr>
      </w:pPr>
      <w:r w:rsidRPr="003E28FC">
        <w:rPr>
          <w:rFonts w:ascii="Times New Roman" w:hAnsi="Times New Roman" w:cs="Times New Roman"/>
          <w:color w:val="000000" w:themeColor="text1"/>
          <w:sz w:val="20"/>
          <w:szCs w:val="20"/>
        </w:rPr>
        <w:t xml:space="preserve">CIFRI (2018). Central Inland Fisheries Research Institute. Annual report. </w:t>
      </w:r>
      <w:r w:rsidR="00156753" w:rsidRPr="003E28FC">
        <w:rPr>
          <w:rFonts w:ascii="Times New Roman" w:hAnsi="Times New Roman" w:cs="Times New Roman"/>
          <w:color w:val="000000" w:themeColor="text1"/>
          <w:sz w:val="20"/>
          <w:szCs w:val="20"/>
        </w:rPr>
        <w:t>1-3.</w:t>
      </w:r>
      <w:r w:rsidRPr="003E28FC">
        <w:rPr>
          <w:rFonts w:ascii="Times New Roman" w:hAnsi="Times New Roman" w:cs="Times New Roman"/>
          <w:color w:val="000000" w:themeColor="text1"/>
          <w:sz w:val="20"/>
          <w:szCs w:val="20"/>
        </w:rPr>
        <w:t xml:space="preserve"> </w:t>
      </w:r>
      <w:hyperlink r:id="rId11" w:history="1">
        <w:r w:rsidRPr="003E28FC">
          <w:rPr>
            <w:rStyle w:val="Hyperlink"/>
            <w:rFonts w:ascii="Times New Roman" w:hAnsi="Times New Roman" w:cs="Times New Roman"/>
            <w:sz w:val="20"/>
            <w:szCs w:val="20"/>
          </w:rPr>
          <w:t>http://</w:t>
        </w:r>
      </w:hyperlink>
      <w:hyperlink r:id="rId12" w:history="1">
        <w:r w:rsidRPr="003E28FC">
          <w:rPr>
            <w:rStyle w:val="Hyperlink"/>
            <w:rFonts w:ascii="Times New Roman" w:hAnsi="Times New Roman" w:cs="Times New Roman"/>
            <w:sz w:val="20"/>
            <w:szCs w:val="20"/>
          </w:rPr>
          <w:t>www.cifri.res.in/AR/Annual%20Report%202017-18.pdf</w:t>
        </w:r>
      </w:hyperlink>
      <w:r w:rsidRPr="003E28FC">
        <w:rPr>
          <w:rFonts w:ascii="Times New Roman" w:hAnsi="Times New Roman" w:cs="Times New Roman"/>
          <w:sz w:val="20"/>
          <w:szCs w:val="20"/>
        </w:rPr>
        <w:t xml:space="preserve">. </w:t>
      </w:r>
    </w:p>
    <w:p w14:paraId="1E3E61A4"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sz w:val="20"/>
          <w:szCs w:val="20"/>
        </w:rPr>
      </w:pPr>
      <w:r w:rsidRPr="003E28FC">
        <w:rPr>
          <w:rFonts w:ascii="Times New Roman" w:hAnsi="Times New Roman" w:cs="Times New Roman"/>
          <w:color w:val="000000" w:themeColor="text1"/>
          <w:sz w:val="20"/>
          <w:szCs w:val="20"/>
        </w:rPr>
        <w:t xml:space="preserve">CIFRI (2023). Central Inland Fisheries Research Institute, Kolkata India. Significant achievements, </w:t>
      </w:r>
      <w:r w:rsidR="00156753" w:rsidRPr="003E28FC">
        <w:rPr>
          <w:rFonts w:ascii="Times New Roman" w:hAnsi="Times New Roman" w:cs="Times New Roman"/>
          <w:color w:val="000000" w:themeColor="text1"/>
          <w:sz w:val="20"/>
          <w:szCs w:val="20"/>
        </w:rPr>
        <w:t>1-2.</w:t>
      </w:r>
      <w:r w:rsidRPr="003E28FC">
        <w:rPr>
          <w:rFonts w:ascii="Times New Roman" w:hAnsi="Times New Roman" w:cs="Times New Roman"/>
          <w:color w:val="000000" w:themeColor="text1"/>
          <w:sz w:val="20"/>
          <w:szCs w:val="20"/>
        </w:rPr>
        <w:t xml:space="preserve"> </w:t>
      </w:r>
      <w:hyperlink r:id="rId13" w:history="1">
        <w:r w:rsidRPr="003E28FC">
          <w:rPr>
            <w:rStyle w:val="Hyperlink"/>
            <w:rFonts w:ascii="Times New Roman" w:hAnsi="Times New Roman" w:cs="Times New Roman"/>
            <w:sz w:val="20"/>
            <w:szCs w:val="20"/>
          </w:rPr>
          <w:t>http</w:t>
        </w:r>
      </w:hyperlink>
      <w:hyperlink r:id="rId14" w:history="1">
        <w:r w:rsidRPr="003E28FC">
          <w:rPr>
            <w:rStyle w:val="Hyperlink"/>
            <w:rFonts w:ascii="Times New Roman" w:hAnsi="Times New Roman" w:cs="Times New Roman"/>
            <w:sz w:val="20"/>
            <w:szCs w:val="20"/>
          </w:rPr>
          <w:t>://www.cifri.res.in</w:t>
        </w:r>
      </w:hyperlink>
      <w:hyperlink r:id="rId15" w:history="1">
        <w:r w:rsidRPr="003E28FC">
          <w:rPr>
            <w:rStyle w:val="Hyperlink"/>
            <w:rFonts w:ascii="Times New Roman" w:hAnsi="Times New Roman" w:cs="Times New Roman"/>
            <w:sz w:val="20"/>
            <w:szCs w:val="20"/>
          </w:rPr>
          <w:t>/</w:t>
        </w:r>
      </w:hyperlink>
      <w:r w:rsidRPr="003E28FC">
        <w:rPr>
          <w:rFonts w:ascii="Times New Roman" w:hAnsi="Times New Roman" w:cs="Times New Roman"/>
          <w:sz w:val="20"/>
          <w:szCs w:val="20"/>
        </w:rPr>
        <w:t xml:space="preserve">. </w:t>
      </w:r>
      <w:r w:rsidR="00156753" w:rsidRPr="003E28FC">
        <w:rPr>
          <w:rFonts w:ascii="Times New Roman" w:hAnsi="Times New Roman" w:cs="Times New Roman"/>
          <w:color w:val="000000" w:themeColor="text1"/>
          <w:sz w:val="20"/>
          <w:szCs w:val="20"/>
        </w:rPr>
        <w:t>Acc</w:t>
      </w:r>
      <w:r w:rsidRPr="003E28FC">
        <w:rPr>
          <w:rFonts w:ascii="Times New Roman" w:hAnsi="Times New Roman" w:cs="Times New Roman"/>
          <w:color w:val="000000" w:themeColor="text1"/>
          <w:sz w:val="20"/>
          <w:szCs w:val="20"/>
        </w:rPr>
        <w:t>essed on 15-01-2023.</w:t>
      </w:r>
      <w:r w:rsidR="00156753" w:rsidRPr="003E28FC">
        <w:rPr>
          <w:rFonts w:ascii="Times New Roman" w:hAnsi="Times New Roman" w:cs="Times New Roman"/>
          <w:color w:val="000000" w:themeColor="text1"/>
          <w:sz w:val="20"/>
          <w:szCs w:val="20"/>
        </w:rPr>
        <w:t xml:space="preserve"> </w:t>
      </w:r>
    </w:p>
    <w:p w14:paraId="5A349224"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222222"/>
          <w:sz w:val="20"/>
          <w:szCs w:val="20"/>
          <w:shd w:val="clear" w:color="auto" w:fill="FFFFFF"/>
        </w:rPr>
      </w:pPr>
      <w:r w:rsidRPr="003E28FC">
        <w:rPr>
          <w:rFonts w:ascii="Times New Roman" w:hAnsi="Times New Roman" w:cs="Times New Roman"/>
          <w:color w:val="000000" w:themeColor="text1"/>
          <w:sz w:val="20"/>
          <w:szCs w:val="20"/>
          <w:shd w:val="clear" w:color="auto" w:fill="FFFFFF"/>
        </w:rPr>
        <w:t>CMFRI (2020).</w:t>
      </w:r>
      <w:r w:rsidRPr="003E28FC">
        <w:rPr>
          <w:rFonts w:ascii="Times New Roman" w:hAnsi="Times New Roman" w:cs="Times New Roman"/>
          <w:b/>
          <w:bCs/>
          <w:color w:val="000000" w:themeColor="text1"/>
          <w:sz w:val="20"/>
          <w:szCs w:val="20"/>
          <w:shd w:val="clear" w:color="auto" w:fill="FFFFFF"/>
        </w:rPr>
        <w:t xml:space="preserve"> </w:t>
      </w:r>
      <w:r w:rsidRPr="003E28FC">
        <w:rPr>
          <w:rFonts w:ascii="Times New Roman" w:hAnsi="Times New Roman" w:cs="Times New Roman"/>
          <w:color w:val="000000" w:themeColor="text1"/>
          <w:sz w:val="20"/>
          <w:szCs w:val="20"/>
          <w:shd w:val="clear" w:color="auto" w:fill="FFFFFF"/>
        </w:rPr>
        <w:t>Central Marine Fisheries Research Institute, Kochi.</w:t>
      </w:r>
      <w:r w:rsidRPr="003E28FC">
        <w:rPr>
          <w:rFonts w:ascii="Times New Roman" w:hAnsi="Times New Roman" w:cs="Times New Roman"/>
          <w:b/>
          <w:bCs/>
          <w:color w:val="000000" w:themeColor="text1"/>
          <w:sz w:val="20"/>
          <w:szCs w:val="20"/>
          <w:shd w:val="clear" w:color="auto" w:fill="FFFFFF"/>
        </w:rPr>
        <w:t xml:space="preserve"> </w:t>
      </w:r>
      <w:hyperlink r:id="rId16" w:history="1">
        <w:r w:rsidR="00156753" w:rsidRPr="003E28FC">
          <w:rPr>
            <w:rStyle w:val="Hyperlink"/>
            <w:rFonts w:ascii="Times New Roman" w:hAnsi="Times New Roman" w:cs="Times New Roman"/>
            <w:color w:val="000000" w:themeColor="text1"/>
            <w:sz w:val="20"/>
            <w:szCs w:val="20"/>
            <w:u w:val="none"/>
            <w:shd w:val="clear" w:color="auto" w:fill="FFFFFF"/>
          </w:rPr>
          <w:t xml:space="preserve"> Accessed on </w:t>
        </w:r>
      </w:hyperlink>
      <w:hyperlink r:id="rId17" w:history="1">
        <w:r w:rsidR="00156753" w:rsidRPr="003E28FC">
          <w:rPr>
            <w:rStyle w:val="Hyperlink"/>
            <w:rFonts w:ascii="Times New Roman" w:hAnsi="Times New Roman" w:cs="Times New Roman"/>
            <w:color w:val="000000" w:themeColor="text1"/>
            <w:sz w:val="20"/>
            <w:szCs w:val="20"/>
            <w:u w:val="none"/>
            <w:shd w:val="clear" w:color="auto" w:fill="FFFFFF"/>
          </w:rPr>
          <w:t>13-01-2023</w:t>
        </w:r>
      </w:hyperlink>
      <w:r w:rsidR="00156753" w:rsidRPr="003E28FC">
        <w:rPr>
          <w:rStyle w:val="Hyperlink"/>
          <w:rFonts w:ascii="Times New Roman" w:hAnsi="Times New Roman" w:cs="Times New Roman"/>
          <w:color w:val="000000" w:themeColor="text1"/>
          <w:sz w:val="20"/>
          <w:szCs w:val="20"/>
          <w:u w:val="none"/>
          <w:shd w:val="clear" w:color="auto" w:fill="FFFFFF"/>
        </w:rPr>
        <w:t xml:space="preserve">. </w:t>
      </w:r>
      <w:hyperlink r:id="rId18" w:history="1">
        <w:r w:rsidRPr="003E28FC">
          <w:rPr>
            <w:rStyle w:val="Hyperlink"/>
            <w:rFonts w:ascii="Times New Roman" w:hAnsi="Times New Roman" w:cs="Times New Roman"/>
            <w:bCs/>
            <w:sz w:val="20"/>
            <w:szCs w:val="20"/>
            <w:shd w:val="clear" w:color="auto" w:fill="FFFFFF"/>
          </w:rPr>
          <w:t>http://eprints.cmfri.org.in/id/eprint/13646</w:t>
        </w:r>
      </w:hyperlink>
      <w:r w:rsidR="00156753" w:rsidRPr="003E28FC">
        <w:rPr>
          <w:rStyle w:val="Hyperlink"/>
          <w:rFonts w:ascii="Times New Roman" w:hAnsi="Times New Roman" w:cs="Times New Roman"/>
          <w:bCs/>
          <w:sz w:val="20"/>
          <w:szCs w:val="20"/>
          <w:shd w:val="clear" w:color="auto" w:fill="FFFFFF"/>
        </w:rPr>
        <w:t>.</w:t>
      </w:r>
      <w:r w:rsidR="00156753" w:rsidRPr="003E28FC">
        <w:rPr>
          <w:rStyle w:val="Hyperlink"/>
          <w:rFonts w:ascii="Times New Roman" w:hAnsi="Times New Roman" w:cs="Times New Roman"/>
          <w:b/>
          <w:bCs/>
          <w:sz w:val="20"/>
          <w:szCs w:val="20"/>
          <w:shd w:val="clear" w:color="auto" w:fill="FFFFFF"/>
        </w:rPr>
        <w:t xml:space="preserve"> </w:t>
      </w:r>
    </w:p>
    <w:p w14:paraId="2DD74672"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222222"/>
          <w:sz w:val="20"/>
          <w:szCs w:val="20"/>
          <w:shd w:val="clear" w:color="auto" w:fill="FFFFFF"/>
        </w:rPr>
      </w:pPr>
      <w:r w:rsidRPr="003E28FC">
        <w:rPr>
          <w:rFonts w:ascii="Times New Roman" w:hAnsi="Times New Roman" w:cs="Times New Roman"/>
          <w:color w:val="000000" w:themeColor="text1"/>
          <w:sz w:val="20"/>
          <w:szCs w:val="20"/>
          <w:shd w:val="clear" w:color="auto" w:fill="FFFFFF"/>
        </w:rPr>
        <w:t>DAHD</w:t>
      </w:r>
      <w:r w:rsidR="00B430F7" w:rsidRPr="003E28FC">
        <w:rPr>
          <w:rFonts w:ascii="Times New Roman" w:hAnsi="Times New Roman" w:cs="Times New Roman"/>
          <w:color w:val="000000" w:themeColor="text1"/>
          <w:sz w:val="20"/>
          <w:szCs w:val="20"/>
          <w:shd w:val="clear" w:color="auto" w:fill="FFFFFF"/>
        </w:rPr>
        <w:t>F</w:t>
      </w:r>
      <w:r w:rsidRPr="003E28FC">
        <w:rPr>
          <w:rFonts w:ascii="Times New Roman" w:hAnsi="Times New Roman" w:cs="Times New Roman"/>
          <w:color w:val="000000" w:themeColor="text1"/>
          <w:sz w:val="20"/>
          <w:szCs w:val="20"/>
          <w:shd w:val="clear" w:color="auto" w:fill="FFFFFF"/>
        </w:rPr>
        <w:t xml:space="preserve"> (2016) Guidelines Central Sector Schemes on Blue Revolution Integrated Development and Management of fisheries. Government of India, Ministry of Agriculture and Farmer Welfare No. 27035-19/2015-Fy </w:t>
      </w:r>
      <w:r w:rsidR="00156753" w:rsidRPr="003E28FC">
        <w:rPr>
          <w:rFonts w:ascii="Times New Roman" w:hAnsi="Times New Roman" w:cs="Times New Roman"/>
          <w:color w:val="000000" w:themeColor="text1"/>
          <w:sz w:val="20"/>
          <w:szCs w:val="20"/>
          <w:shd w:val="clear" w:color="auto" w:fill="FFFFFF"/>
        </w:rPr>
        <w:t xml:space="preserve">II </w:t>
      </w:r>
      <w:r w:rsidRPr="003E28FC">
        <w:rPr>
          <w:rFonts w:ascii="Times New Roman" w:hAnsi="Times New Roman" w:cs="Times New Roman"/>
          <w:color w:val="000000" w:themeColor="text1"/>
          <w:sz w:val="20"/>
          <w:szCs w:val="20"/>
          <w:shd w:val="clear" w:color="auto" w:fill="FFFFFF"/>
        </w:rPr>
        <w:t>(IV), 23-57</w:t>
      </w:r>
      <w:r w:rsidRPr="003E28FC">
        <w:rPr>
          <w:rFonts w:ascii="Times New Roman" w:hAnsi="Times New Roman" w:cs="Times New Roman"/>
          <w:color w:val="222222"/>
          <w:sz w:val="20"/>
          <w:szCs w:val="20"/>
          <w:shd w:val="clear" w:color="auto" w:fill="FFFFFF"/>
        </w:rPr>
        <w:t xml:space="preserve">. </w:t>
      </w:r>
      <w:hyperlink w:history="1">
        <w:r w:rsidR="00156753" w:rsidRPr="003E28FC">
          <w:rPr>
            <w:rStyle w:val="Hyperlink"/>
            <w:rFonts w:ascii="Times New Roman" w:hAnsi="Times New Roman" w:cs="Times New Roman"/>
            <w:sz w:val="20"/>
            <w:szCs w:val="20"/>
            <w:shd w:val="clear" w:color="auto" w:fill="FFFFFF"/>
          </w:rPr>
          <w:t>https://</w:t>
        </w:r>
      </w:hyperlink>
      <w:hyperlink r:id="rId19" w:history="1">
        <w:r w:rsidRPr="003E28FC">
          <w:rPr>
            <w:rStyle w:val="Hyperlink"/>
            <w:rFonts w:ascii="Times New Roman" w:hAnsi="Times New Roman" w:cs="Times New Roman"/>
            <w:sz w:val="20"/>
            <w:szCs w:val="20"/>
            <w:shd w:val="clear" w:color="auto" w:fill="FFFFFF"/>
          </w:rPr>
          <w:t>dahd.nic.in/annual-report</w:t>
        </w:r>
      </w:hyperlink>
      <w:r w:rsidRPr="003E28FC">
        <w:rPr>
          <w:rFonts w:ascii="Times New Roman" w:hAnsi="Times New Roman" w:cs="Times New Roman"/>
          <w:color w:val="222222"/>
          <w:sz w:val="20"/>
          <w:szCs w:val="20"/>
          <w:shd w:val="clear" w:color="auto" w:fill="FFFFFF"/>
        </w:rPr>
        <w:t xml:space="preserve">. </w:t>
      </w:r>
    </w:p>
    <w:p w14:paraId="36B65550"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000000" w:themeColor="text1"/>
          <w:sz w:val="20"/>
          <w:szCs w:val="20"/>
          <w:shd w:val="clear" w:color="auto" w:fill="FFFFFF"/>
        </w:rPr>
      </w:pPr>
      <w:r w:rsidRPr="003E28FC">
        <w:rPr>
          <w:rFonts w:ascii="Times New Roman" w:hAnsi="Times New Roman" w:cs="Times New Roman"/>
          <w:color w:val="000000" w:themeColor="text1"/>
          <w:sz w:val="20"/>
          <w:szCs w:val="20"/>
          <w:shd w:val="clear" w:color="auto" w:fill="FFFFFF"/>
        </w:rPr>
        <w:t xml:space="preserve">Das, P., Das, B. K., Das, S. K. </w:t>
      </w:r>
      <w:proofErr w:type="spellStart"/>
      <w:r w:rsidRPr="003E28FC">
        <w:rPr>
          <w:rFonts w:ascii="Times New Roman" w:hAnsi="Times New Roman" w:cs="Times New Roman"/>
          <w:color w:val="000000" w:themeColor="text1"/>
          <w:sz w:val="20"/>
          <w:szCs w:val="20"/>
          <w:shd w:val="clear" w:color="auto" w:fill="FFFFFF"/>
        </w:rPr>
        <w:t>Bhattacharjya</w:t>
      </w:r>
      <w:proofErr w:type="spellEnd"/>
      <w:r w:rsidRPr="003E28FC">
        <w:rPr>
          <w:rFonts w:ascii="Times New Roman" w:hAnsi="Times New Roman" w:cs="Times New Roman"/>
          <w:color w:val="000000" w:themeColor="text1"/>
          <w:sz w:val="20"/>
          <w:szCs w:val="20"/>
          <w:shd w:val="clear" w:color="auto" w:fill="FFFFFF"/>
        </w:rPr>
        <w:t>, B. K. Hazarika, S. Borah, S. Das, A. Singh, S. G. and Devi, P. (2022). 1st Indian Fisheries Outlook on “Priming Indian Fisheries in Attaining Sustainable Development Goals”. ICAR-Central Inland Fisheries Research Institute, Barrackpore, Kolkata-700 120, India, ISBN 0970-616X</w:t>
      </w:r>
      <w:r w:rsidR="00156753" w:rsidRPr="003E28FC">
        <w:rPr>
          <w:rFonts w:ascii="Times New Roman" w:hAnsi="Times New Roman" w:cs="Times New Roman"/>
          <w:color w:val="000000" w:themeColor="text1"/>
          <w:sz w:val="20"/>
          <w:szCs w:val="20"/>
          <w:shd w:val="clear" w:color="auto" w:fill="FFFFFF"/>
        </w:rPr>
        <w:t>,</w:t>
      </w:r>
      <w:r w:rsidRPr="003E28FC">
        <w:rPr>
          <w:rFonts w:ascii="Times New Roman" w:hAnsi="Times New Roman" w:cs="Times New Roman"/>
          <w:color w:val="000000" w:themeColor="text1"/>
          <w:sz w:val="20"/>
          <w:szCs w:val="20"/>
          <w:shd w:val="clear" w:color="auto" w:fill="FFFFFF"/>
        </w:rPr>
        <w:t xml:space="preserve"> 431.</w:t>
      </w:r>
    </w:p>
    <w:p w14:paraId="0BF3A5FF" w14:textId="77777777" w:rsidR="00DD22CD" w:rsidRPr="003E28FC" w:rsidRDefault="00B430F7" w:rsidP="003E28FC">
      <w:pPr>
        <w:pStyle w:val="ListParagraph"/>
        <w:numPr>
          <w:ilvl w:val="0"/>
          <w:numId w:val="7"/>
        </w:numPr>
        <w:spacing w:line="360" w:lineRule="auto"/>
        <w:jc w:val="both"/>
        <w:rPr>
          <w:rFonts w:ascii="Times New Roman" w:hAnsi="Times New Roman" w:cs="Times New Roman"/>
          <w:color w:val="222222"/>
          <w:sz w:val="20"/>
          <w:szCs w:val="20"/>
          <w:shd w:val="clear" w:color="auto" w:fill="FFFFFF"/>
        </w:rPr>
      </w:pPr>
      <w:proofErr w:type="spellStart"/>
      <w:r w:rsidRPr="003E28FC">
        <w:rPr>
          <w:rFonts w:ascii="Times New Roman" w:hAnsi="Times New Roman" w:cs="Times New Roman"/>
          <w:color w:val="000000" w:themeColor="text1"/>
          <w:sz w:val="20"/>
          <w:szCs w:val="20"/>
          <w:shd w:val="clear" w:color="auto" w:fill="FFFFFF"/>
        </w:rPr>
        <w:t>DoI</w:t>
      </w:r>
      <w:proofErr w:type="spellEnd"/>
      <w:r w:rsidRPr="003E28FC">
        <w:rPr>
          <w:rFonts w:ascii="Times New Roman" w:hAnsi="Times New Roman" w:cs="Times New Roman"/>
          <w:color w:val="000000" w:themeColor="text1"/>
          <w:sz w:val="20"/>
          <w:szCs w:val="20"/>
          <w:shd w:val="clear" w:color="auto" w:fill="FFFFFF"/>
        </w:rPr>
        <w:t xml:space="preserve">, </w:t>
      </w:r>
      <w:proofErr w:type="spellStart"/>
      <w:r w:rsidRPr="003E28FC">
        <w:rPr>
          <w:rFonts w:ascii="Times New Roman" w:hAnsi="Times New Roman" w:cs="Times New Roman"/>
          <w:color w:val="000000" w:themeColor="text1"/>
          <w:sz w:val="20"/>
          <w:szCs w:val="20"/>
          <w:shd w:val="clear" w:color="auto" w:fill="FFFFFF"/>
        </w:rPr>
        <w:t>GoI</w:t>
      </w:r>
      <w:proofErr w:type="spellEnd"/>
      <w:r w:rsidRPr="003E28FC">
        <w:rPr>
          <w:rFonts w:ascii="Times New Roman" w:hAnsi="Times New Roman" w:cs="Times New Roman"/>
          <w:color w:val="000000" w:themeColor="text1"/>
          <w:sz w:val="20"/>
          <w:szCs w:val="20"/>
          <w:shd w:val="clear" w:color="auto" w:fill="FFFFFF"/>
        </w:rPr>
        <w:t xml:space="preserve"> </w:t>
      </w:r>
      <w:r w:rsidR="00DD22CD" w:rsidRPr="003E28FC">
        <w:rPr>
          <w:rFonts w:ascii="Times New Roman" w:hAnsi="Times New Roman" w:cs="Times New Roman"/>
          <w:color w:val="000000" w:themeColor="text1"/>
          <w:sz w:val="20"/>
          <w:szCs w:val="20"/>
          <w:shd w:val="clear" w:color="auto" w:fill="FFFFFF"/>
        </w:rPr>
        <w:t xml:space="preserve">(2022). </w:t>
      </w:r>
      <w:r w:rsidRPr="003E28FC">
        <w:rPr>
          <w:rFonts w:ascii="Times New Roman" w:hAnsi="Times New Roman" w:cs="Times New Roman"/>
          <w:color w:val="000000" w:themeColor="text1"/>
          <w:sz w:val="20"/>
          <w:szCs w:val="20"/>
          <w:shd w:val="clear" w:color="auto" w:fill="FFFFFF"/>
        </w:rPr>
        <w:t xml:space="preserve">Department of Fisheries, Government of India. </w:t>
      </w:r>
      <w:r w:rsidR="00DD22CD" w:rsidRPr="003E28FC">
        <w:rPr>
          <w:rFonts w:ascii="Times New Roman" w:hAnsi="Times New Roman" w:cs="Times New Roman"/>
          <w:color w:val="000000" w:themeColor="text1"/>
          <w:sz w:val="20"/>
          <w:szCs w:val="20"/>
          <w:shd w:val="clear" w:color="auto" w:fill="FFFFFF"/>
        </w:rPr>
        <w:t>Annual report, Ministry of Fisheries, Animal Husbandry and Dairying, 9</w:t>
      </w:r>
      <w:r w:rsidR="00B938CE" w:rsidRPr="003E28FC">
        <w:rPr>
          <w:rFonts w:ascii="Times New Roman" w:hAnsi="Times New Roman" w:cs="Times New Roman"/>
          <w:color w:val="000000" w:themeColor="text1"/>
          <w:sz w:val="20"/>
          <w:szCs w:val="20"/>
          <w:shd w:val="clear" w:color="auto" w:fill="FFFFFF"/>
        </w:rPr>
        <w:t>-11</w:t>
      </w:r>
      <w:r w:rsidR="00DD22CD" w:rsidRPr="003E28FC">
        <w:rPr>
          <w:rFonts w:ascii="Times New Roman" w:hAnsi="Times New Roman" w:cs="Times New Roman"/>
          <w:color w:val="000000" w:themeColor="text1"/>
          <w:sz w:val="20"/>
          <w:szCs w:val="20"/>
          <w:shd w:val="clear" w:color="auto" w:fill="FFFFFF"/>
        </w:rPr>
        <w:t xml:space="preserve">. </w:t>
      </w:r>
      <w:hyperlink r:id="rId20" w:history="1">
        <w:r w:rsidR="00DD22CD" w:rsidRPr="003E28FC">
          <w:rPr>
            <w:rStyle w:val="Hyperlink"/>
            <w:rFonts w:ascii="Times New Roman" w:hAnsi="Times New Roman" w:cs="Times New Roman"/>
            <w:sz w:val="20"/>
            <w:szCs w:val="20"/>
            <w:shd w:val="clear" w:color="auto" w:fill="FFFFFF"/>
          </w:rPr>
          <w:t>https://dof.gov.in</w:t>
        </w:r>
      </w:hyperlink>
      <w:hyperlink r:id="rId21" w:history="1">
        <w:r w:rsidR="00DD22CD" w:rsidRPr="003E28FC">
          <w:rPr>
            <w:rStyle w:val="Hyperlink"/>
            <w:rFonts w:ascii="Times New Roman" w:hAnsi="Times New Roman" w:cs="Times New Roman"/>
            <w:sz w:val="20"/>
            <w:szCs w:val="20"/>
            <w:shd w:val="clear" w:color="auto" w:fill="FFFFFF"/>
          </w:rPr>
          <w:t>/</w:t>
        </w:r>
      </w:hyperlink>
      <w:r w:rsidR="00DD22CD" w:rsidRPr="003E28FC">
        <w:rPr>
          <w:rFonts w:ascii="Times New Roman" w:hAnsi="Times New Roman" w:cs="Times New Roman"/>
          <w:color w:val="222222"/>
          <w:sz w:val="20"/>
          <w:szCs w:val="20"/>
          <w:shd w:val="clear" w:color="auto" w:fill="FFFFFF"/>
        </w:rPr>
        <w:t xml:space="preserve">. </w:t>
      </w:r>
      <w:r w:rsidR="00DD22CD" w:rsidRPr="003E28FC">
        <w:rPr>
          <w:rFonts w:ascii="Times New Roman" w:hAnsi="Times New Roman" w:cs="Times New Roman"/>
          <w:color w:val="000000" w:themeColor="text1"/>
          <w:sz w:val="20"/>
          <w:szCs w:val="20"/>
          <w:shd w:val="clear" w:color="auto" w:fill="FFFFFF"/>
        </w:rPr>
        <w:t>Accessed on 5-01-2023.</w:t>
      </w:r>
    </w:p>
    <w:p w14:paraId="1D33E980"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222222"/>
          <w:sz w:val="20"/>
          <w:szCs w:val="20"/>
          <w:shd w:val="clear" w:color="auto" w:fill="FFFFFF"/>
        </w:rPr>
      </w:pPr>
      <w:proofErr w:type="spellStart"/>
      <w:r w:rsidRPr="003E28FC">
        <w:rPr>
          <w:rFonts w:ascii="Times New Roman" w:hAnsi="Times New Roman" w:cs="Times New Roman"/>
          <w:color w:val="000000" w:themeColor="text1"/>
          <w:sz w:val="20"/>
          <w:szCs w:val="20"/>
          <w:shd w:val="clear" w:color="auto" w:fill="FFFFFF"/>
        </w:rPr>
        <w:t>DoF</w:t>
      </w:r>
      <w:proofErr w:type="spellEnd"/>
      <w:r w:rsidRPr="003E28FC">
        <w:rPr>
          <w:rFonts w:ascii="Times New Roman" w:hAnsi="Times New Roman" w:cs="Times New Roman"/>
          <w:color w:val="000000" w:themeColor="text1"/>
          <w:sz w:val="20"/>
          <w:szCs w:val="20"/>
          <w:shd w:val="clear" w:color="auto" w:fill="FFFFFF"/>
        </w:rPr>
        <w:t xml:space="preserve">, J.K. (2023). Department of fisheries, Jammu and Kashmir, </w:t>
      </w:r>
      <w:hyperlink r:id="rId22" w:history="1">
        <w:r w:rsidRPr="003E28FC">
          <w:rPr>
            <w:rStyle w:val="Hyperlink"/>
            <w:rFonts w:ascii="Times New Roman" w:hAnsi="Times New Roman" w:cs="Times New Roman"/>
            <w:sz w:val="20"/>
            <w:szCs w:val="20"/>
            <w:shd w:val="clear" w:color="auto" w:fill="FFFFFF"/>
          </w:rPr>
          <w:t>http://</w:t>
        </w:r>
      </w:hyperlink>
      <w:hyperlink r:id="rId23" w:history="1">
        <w:r w:rsidRPr="003E28FC">
          <w:rPr>
            <w:rStyle w:val="Hyperlink"/>
            <w:rFonts w:ascii="Times New Roman" w:hAnsi="Times New Roman" w:cs="Times New Roman"/>
            <w:sz w:val="20"/>
            <w:szCs w:val="20"/>
            <w:shd w:val="clear" w:color="auto" w:fill="FFFFFF"/>
          </w:rPr>
          <w:t>jkfisheries.in/</w:t>
        </w:r>
      </w:hyperlink>
      <w:r w:rsidRPr="003E28FC">
        <w:rPr>
          <w:rFonts w:ascii="Times New Roman" w:hAnsi="Times New Roman" w:cs="Times New Roman"/>
          <w:color w:val="222222"/>
          <w:sz w:val="20"/>
          <w:szCs w:val="20"/>
          <w:u w:val="single"/>
          <w:shd w:val="clear" w:color="auto" w:fill="FFFFFF"/>
        </w:rPr>
        <w:t xml:space="preserve">. </w:t>
      </w:r>
      <w:r w:rsidRPr="003E28FC">
        <w:rPr>
          <w:rFonts w:ascii="Times New Roman" w:hAnsi="Times New Roman" w:cs="Times New Roman"/>
          <w:color w:val="222222"/>
          <w:sz w:val="20"/>
          <w:szCs w:val="20"/>
          <w:shd w:val="clear" w:color="auto" w:fill="FFFFFF"/>
        </w:rPr>
        <w:t>Accessed on 11-01-2023.</w:t>
      </w:r>
    </w:p>
    <w:p w14:paraId="6B91A060"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000000" w:themeColor="text1"/>
          <w:sz w:val="20"/>
          <w:szCs w:val="20"/>
          <w:shd w:val="clear" w:color="auto" w:fill="FFFFFF"/>
        </w:rPr>
      </w:pPr>
      <w:r w:rsidRPr="003E28FC">
        <w:rPr>
          <w:rFonts w:ascii="Times New Roman" w:hAnsi="Times New Roman" w:cs="Times New Roman"/>
          <w:color w:val="000000" w:themeColor="text1"/>
          <w:sz w:val="20"/>
          <w:szCs w:val="20"/>
          <w:shd w:val="clear" w:color="auto" w:fill="FFFFFF"/>
        </w:rPr>
        <w:lastRenderedPageBreak/>
        <w:t xml:space="preserve">Durai, V., Prabhakaran, P. and Karthy, A. (2021). Growth and survival of amur carp and pangasius at floating cages in Stanley reservoir. </w:t>
      </w:r>
      <w:r w:rsidRPr="003E28FC">
        <w:rPr>
          <w:rFonts w:ascii="Times New Roman" w:hAnsi="Times New Roman" w:cs="Times New Roman"/>
          <w:i/>
          <w:color w:val="000000" w:themeColor="text1"/>
          <w:sz w:val="20"/>
          <w:szCs w:val="20"/>
          <w:shd w:val="clear" w:color="auto" w:fill="FFFFFF"/>
        </w:rPr>
        <w:t>Journal of Entomology and Zoology Studies,</w:t>
      </w:r>
      <w:r w:rsidRPr="003E28FC">
        <w:rPr>
          <w:rFonts w:ascii="Times New Roman" w:hAnsi="Times New Roman" w:cs="Times New Roman"/>
          <w:color w:val="000000" w:themeColor="text1"/>
          <w:sz w:val="20"/>
          <w:szCs w:val="20"/>
          <w:shd w:val="clear" w:color="auto" w:fill="FFFFFF"/>
        </w:rPr>
        <w:t xml:space="preserve"> </w:t>
      </w:r>
      <w:r w:rsidR="00AD1306" w:rsidRPr="003E28FC">
        <w:rPr>
          <w:rFonts w:ascii="Times New Roman" w:hAnsi="Times New Roman" w:cs="Times New Roman"/>
          <w:color w:val="000000" w:themeColor="text1"/>
          <w:sz w:val="20"/>
          <w:szCs w:val="20"/>
          <w:shd w:val="clear" w:color="auto" w:fill="FFFFFF"/>
        </w:rPr>
        <w:t xml:space="preserve">e-ISSN: 2320-7078, </w:t>
      </w:r>
      <w:r w:rsidR="00156753" w:rsidRPr="003E28FC">
        <w:rPr>
          <w:rFonts w:ascii="Times New Roman" w:hAnsi="Times New Roman" w:cs="Times New Roman"/>
          <w:color w:val="000000" w:themeColor="text1"/>
          <w:sz w:val="20"/>
          <w:szCs w:val="20"/>
          <w:shd w:val="clear" w:color="auto" w:fill="FFFFFF"/>
        </w:rPr>
        <w:t>9(1),</w:t>
      </w:r>
      <w:r w:rsidRPr="003E28FC">
        <w:rPr>
          <w:rFonts w:ascii="Times New Roman" w:hAnsi="Times New Roman" w:cs="Times New Roman"/>
          <w:color w:val="000000" w:themeColor="text1"/>
          <w:sz w:val="20"/>
          <w:szCs w:val="20"/>
          <w:shd w:val="clear" w:color="auto" w:fill="FFFFFF"/>
        </w:rPr>
        <w:t xml:space="preserve"> 1351-1353</w:t>
      </w:r>
    </w:p>
    <w:p w14:paraId="4CC26AA6"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sz w:val="20"/>
          <w:szCs w:val="20"/>
        </w:rPr>
      </w:pPr>
      <w:r w:rsidRPr="003E28FC">
        <w:rPr>
          <w:rFonts w:ascii="Times New Roman" w:hAnsi="Times New Roman" w:cs="Times New Roman"/>
          <w:color w:val="000000" w:themeColor="text1"/>
          <w:sz w:val="20"/>
          <w:szCs w:val="20"/>
        </w:rPr>
        <w:t>El-</w:t>
      </w:r>
      <w:proofErr w:type="spellStart"/>
      <w:r w:rsidRPr="003E28FC">
        <w:rPr>
          <w:rFonts w:ascii="Times New Roman" w:hAnsi="Times New Roman" w:cs="Times New Roman"/>
          <w:color w:val="000000" w:themeColor="text1"/>
          <w:sz w:val="20"/>
          <w:szCs w:val="20"/>
        </w:rPr>
        <w:t>Ouny</w:t>
      </w:r>
      <w:proofErr w:type="spellEnd"/>
      <w:r w:rsidRPr="003E28FC">
        <w:rPr>
          <w:rFonts w:ascii="Times New Roman" w:hAnsi="Times New Roman" w:cs="Times New Roman"/>
          <w:color w:val="000000" w:themeColor="text1"/>
          <w:sz w:val="20"/>
          <w:szCs w:val="20"/>
        </w:rPr>
        <w:t xml:space="preserve">, Y. M., </w:t>
      </w:r>
      <w:proofErr w:type="spellStart"/>
      <w:r w:rsidRPr="003E28FC">
        <w:rPr>
          <w:rFonts w:ascii="Times New Roman" w:hAnsi="Times New Roman" w:cs="Times New Roman"/>
          <w:color w:val="000000" w:themeColor="text1"/>
          <w:sz w:val="20"/>
          <w:szCs w:val="20"/>
        </w:rPr>
        <w:t>Maulu</w:t>
      </w:r>
      <w:proofErr w:type="spellEnd"/>
      <w:r w:rsidRPr="003E28FC">
        <w:rPr>
          <w:rFonts w:ascii="Times New Roman" w:hAnsi="Times New Roman" w:cs="Times New Roman"/>
          <w:color w:val="000000" w:themeColor="text1"/>
          <w:sz w:val="20"/>
          <w:szCs w:val="20"/>
        </w:rPr>
        <w:t xml:space="preserve">, S., Zaki, M. A., Helaly, A. A., Nour, A. A. M., </w:t>
      </w:r>
      <w:proofErr w:type="spellStart"/>
      <w:r w:rsidRPr="003E28FC">
        <w:rPr>
          <w:rFonts w:ascii="Times New Roman" w:hAnsi="Times New Roman" w:cs="Times New Roman"/>
          <w:color w:val="000000" w:themeColor="text1"/>
          <w:sz w:val="20"/>
          <w:szCs w:val="20"/>
        </w:rPr>
        <w:t>ElBasuini</w:t>
      </w:r>
      <w:proofErr w:type="spellEnd"/>
      <w:r w:rsidRPr="003E28FC">
        <w:rPr>
          <w:rFonts w:ascii="Times New Roman" w:hAnsi="Times New Roman" w:cs="Times New Roman"/>
          <w:color w:val="000000" w:themeColor="text1"/>
          <w:sz w:val="20"/>
          <w:szCs w:val="20"/>
        </w:rPr>
        <w:t>, M. F., ... &amp; Khalil, H. S. (2023). Effect of fishmeal replacement with dried red wigglers (</w:t>
      </w:r>
      <w:r w:rsidRPr="003E28FC">
        <w:rPr>
          <w:rFonts w:ascii="Times New Roman" w:hAnsi="Times New Roman" w:cs="Times New Roman"/>
          <w:i/>
          <w:color w:val="000000" w:themeColor="text1"/>
          <w:sz w:val="20"/>
          <w:szCs w:val="20"/>
        </w:rPr>
        <w:t xml:space="preserve">Eisenia </w:t>
      </w:r>
      <w:proofErr w:type="spellStart"/>
      <w:r w:rsidRPr="003E28FC">
        <w:rPr>
          <w:rFonts w:ascii="Times New Roman" w:hAnsi="Times New Roman" w:cs="Times New Roman"/>
          <w:i/>
          <w:color w:val="000000" w:themeColor="text1"/>
          <w:sz w:val="20"/>
          <w:szCs w:val="20"/>
        </w:rPr>
        <w:t>fetida</w:t>
      </w:r>
      <w:proofErr w:type="spellEnd"/>
      <w:r w:rsidRPr="003E28FC">
        <w:rPr>
          <w:rFonts w:ascii="Times New Roman" w:hAnsi="Times New Roman" w:cs="Times New Roman"/>
          <w:color w:val="000000" w:themeColor="text1"/>
          <w:sz w:val="20"/>
          <w:szCs w:val="20"/>
        </w:rPr>
        <w:t>) worm meal on growth and feed utilization, production efficiency, and serum biochemistry in Nile tilapia (</w:t>
      </w:r>
      <w:r w:rsidRPr="003E28FC">
        <w:rPr>
          <w:rFonts w:ascii="Times New Roman" w:hAnsi="Times New Roman" w:cs="Times New Roman"/>
          <w:i/>
          <w:color w:val="000000" w:themeColor="text1"/>
          <w:sz w:val="20"/>
          <w:szCs w:val="20"/>
        </w:rPr>
        <w:t>Oreochromis niloticus</w:t>
      </w:r>
      <w:r w:rsidRPr="003E28FC">
        <w:rPr>
          <w:rFonts w:ascii="Times New Roman" w:hAnsi="Times New Roman" w:cs="Times New Roman"/>
          <w:color w:val="000000" w:themeColor="text1"/>
          <w:sz w:val="20"/>
          <w:szCs w:val="20"/>
        </w:rPr>
        <w:t>) fingerlings. </w:t>
      </w:r>
      <w:r w:rsidRPr="003E28FC">
        <w:rPr>
          <w:rFonts w:ascii="Times New Roman" w:hAnsi="Times New Roman" w:cs="Times New Roman"/>
          <w:i/>
          <w:iCs/>
          <w:color w:val="000000" w:themeColor="text1"/>
          <w:sz w:val="20"/>
          <w:szCs w:val="20"/>
        </w:rPr>
        <w:t>Aquaculture Reports</w:t>
      </w:r>
      <w:r w:rsidRPr="003E28FC">
        <w:rPr>
          <w:rFonts w:ascii="Times New Roman" w:hAnsi="Times New Roman" w:cs="Times New Roman"/>
          <w:color w:val="000000" w:themeColor="text1"/>
          <w:sz w:val="20"/>
          <w:szCs w:val="20"/>
        </w:rPr>
        <w:t>, </w:t>
      </w:r>
      <w:r w:rsidRPr="003E28FC">
        <w:rPr>
          <w:rFonts w:ascii="Times New Roman" w:hAnsi="Times New Roman" w:cs="Times New Roman"/>
          <w:i/>
          <w:iCs/>
          <w:color w:val="000000" w:themeColor="text1"/>
          <w:sz w:val="20"/>
          <w:szCs w:val="20"/>
        </w:rPr>
        <w:t>29</w:t>
      </w:r>
      <w:r w:rsidRPr="003E28FC">
        <w:rPr>
          <w:rFonts w:ascii="Times New Roman" w:hAnsi="Times New Roman" w:cs="Times New Roman"/>
          <w:color w:val="000000" w:themeColor="text1"/>
          <w:sz w:val="20"/>
          <w:szCs w:val="20"/>
        </w:rPr>
        <w:t xml:space="preserve">, 101518. </w:t>
      </w:r>
      <w:hyperlink r:id="rId24" w:history="1">
        <w:r w:rsidRPr="003E28FC">
          <w:rPr>
            <w:rStyle w:val="Hyperlink"/>
            <w:rFonts w:ascii="Times New Roman" w:hAnsi="Times New Roman" w:cs="Times New Roman"/>
            <w:sz w:val="20"/>
            <w:szCs w:val="20"/>
          </w:rPr>
          <w:t>https://doi.org/10.1016/j.aqrep.2023.101518</w:t>
        </w:r>
      </w:hyperlink>
      <w:r w:rsidRPr="003E28FC">
        <w:rPr>
          <w:rFonts w:ascii="Times New Roman" w:hAnsi="Times New Roman" w:cs="Times New Roman"/>
          <w:sz w:val="20"/>
          <w:szCs w:val="20"/>
        </w:rPr>
        <w:t xml:space="preserve">. </w:t>
      </w:r>
    </w:p>
    <w:p w14:paraId="5982522C" w14:textId="77777777" w:rsidR="002B37E3" w:rsidRPr="003E28FC" w:rsidRDefault="002B37E3" w:rsidP="003E28FC">
      <w:pPr>
        <w:pStyle w:val="ListParagraph"/>
        <w:numPr>
          <w:ilvl w:val="0"/>
          <w:numId w:val="7"/>
        </w:numPr>
        <w:spacing w:line="360" w:lineRule="auto"/>
        <w:jc w:val="both"/>
        <w:rPr>
          <w:rFonts w:ascii="Times New Roman" w:hAnsi="Times New Roman" w:cs="Times New Roman"/>
          <w:color w:val="000000" w:themeColor="text1"/>
          <w:sz w:val="20"/>
          <w:szCs w:val="20"/>
        </w:rPr>
      </w:pPr>
      <w:r w:rsidRPr="003E28FC">
        <w:rPr>
          <w:rFonts w:ascii="Times New Roman" w:hAnsi="Times New Roman" w:cs="Times New Roman"/>
          <w:color w:val="000000" w:themeColor="text1"/>
          <w:sz w:val="20"/>
          <w:szCs w:val="20"/>
        </w:rPr>
        <w:t xml:space="preserve">FAO. (2020). The State of World Fisheries and Aquaculture 2020. Sustainability in action. Rome. Accessed on 2-08-2024. </w:t>
      </w:r>
      <w:hyperlink r:id="rId25" w:history="1">
        <w:r w:rsidRPr="003E28FC">
          <w:rPr>
            <w:rStyle w:val="Hyperlink"/>
            <w:rFonts w:ascii="Times New Roman" w:hAnsi="Times New Roman" w:cs="Times New Roman"/>
            <w:sz w:val="20"/>
            <w:szCs w:val="20"/>
          </w:rPr>
          <w:t>https://doi.org/10.4060/ca9229en</w:t>
        </w:r>
      </w:hyperlink>
      <w:r w:rsidRPr="003E28FC">
        <w:rPr>
          <w:rFonts w:ascii="Times New Roman" w:hAnsi="Times New Roman" w:cs="Times New Roman"/>
          <w:color w:val="000000" w:themeColor="text1"/>
          <w:sz w:val="20"/>
          <w:szCs w:val="20"/>
        </w:rPr>
        <w:t xml:space="preserve">. </w:t>
      </w:r>
    </w:p>
    <w:p w14:paraId="77974317"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sz w:val="20"/>
          <w:szCs w:val="20"/>
        </w:rPr>
      </w:pPr>
      <w:r w:rsidRPr="003E28FC">
        <w:rPr>
          <w:rFonts w:ascii="Times New Roman" w:hAnsi="Times New Roman" w:cs="Times New Roman"/>
          <w:color w:val="000000" w:themeColor="text1"/>
          <w:sz w:val="20"/>
          <w:szCs w:val="20"/>
        </w:rPr>
        <w:t>FAO (2022). The state of world fisheries and aquaculture. </w:t>
      </w:r>
      <w:r w:rsidRPr="003E28FC">
        <w:rPr>
          <w:rFonts w:ascii="Times New Roman" w:hAnsi="Times New Roman" w:cs="Times New Roman"/>
          <w:i/>
          <w:iCs/>
          <w:color w:val="000000" w:themeColor="text1"/>
          <w:sz w:val="20"/>
          <w:szCs w:val="20"/>
        </w:rPr>
        <w:t>Opportunities and challenges. Food and Agriculture Organization of the United Nations</w:t>
      </w:r>
      <w:r w:rsidRPr="003E28FC">
        <w:rPr>
          <w:rFonts w:ascii="Times New Roman" w:hAnsi="Times New Roman" w:cs="Times New Roman"/>
          <w:color w:val="000000" w:themeColor="text1"/>
          <w:sz w:val="20"/>
          <w:szCs w:val="20"/>
        </w:rPr>
        <w:t>.</w:t>
      </w:r>
      <w:r w:rsidR="002B37E3" w:rsidRPr="003E28FC">
        <w:rPr>
          <w:rFonts w:ascii="Times New Roman" w:hAnsi="Times New Roman" w:cs="Times New Roman"/>
          <w:color w:val="000000" w:themeColor="text1"/>
          <w:sz w:val="20"/>
          <w:szCs w:val="20"/>
        </w:rPr>
        <w:t xml:space="preserve"> Rome.</w:t>
      </w:r>
      <w:r w:rsidRPr="003E28FC">
        <w:rPr>
          <w:rFonts w:ascii="Times New Roman" w:hAnsi="Times New Roman" w:cs="Times New Roman"/>
          <w:color w:val="000000" w:themeColor="text1"/>
          <w:sz w:val="20"/>
          <w:szCs w:val="20"/>
        </w:rPr>
        <w:t xml:space="preserve"> </w:t>
      </w:r>
      <w:r w:rsidR="002B37E3" w:rsidRPr="003E28FC">
        <w:rPr>
          <w:rFonts w:ascii="Times New Roman" w:hAnsi="Times New Roman" w:cs="Times New Roman"/>
          <w:color w:val="000000" w:themeColor="text1"/>
          <w:sz w:val="20"/>
          <w:szCs w:val="20"/>
        </w:rPr>
        <w:t xml:space="preserve">Accessed on 22-09-2024. </w:t>
      </w:r>
      <w:hyperlink r:id="rId26" w:history="1">
        <w:r w:rsidRPr="003E28FC">
          <w:rPr>
            <w:rStyle w:val="Hyperlink"/>
            <w:rFonts w:ascii="Times New Roman" w:hAnsi="Times New Roman" w:cs="Times New Roman"/>
            <w:sz w:val="20"/>
            <w:szCs w:val="20"/>
          </w:rPr>
          <w:t>https://</w:t>
        </w:r>
      </w:hyperlink>
      <w:hyperlink r:id="rId27" w:history="1">
        <w:r w:rsidRPr="003E28FC">
          <w:rPr>
            <w:rStyle w:val="Hyperlink"/>
            <w:rFonts w:ascii="Times New Roman" w:hAnsi="Times New Roman" w:cs="Times New Roman"/>
            <w:sz w:val="20"/>
            <w:szCs w:val="20"/>
          </w:rPr>
          <w:t>www.fao.org/3/cc0461en/cc0461en.pdf</w:t>
        </w:r>
      </w:hyperlink>
      <w:r w:rsidRPr="003E28FC">
        <w:rPr>
          <w:rFonts w:ascii="Times New Roman" w:hAnsi="Times New Roman" w:cs="Times New Roman"/>
          <w:sz w:val="20"/>
          <w:szCs w:val="20"/>
        </w:rPr>
        <w:t xml:space="preserve">. </w:t>
      </w:r>
    </w:p>
    <w:p w14:paraId="00F5B2C9" w14:textId="77777777" w:rsidR="002B37E3" w:rsidRPr="003E28FC" w:rsidRDefault="002B37E3" w:rsidP="003E28FC">
      <w:pPr>
        <w:pStyle w:val="ListParagraph"/>
        <w:numPr>
          <w:ilvl w:val="0"/>
          <w:numId w:val="7"/>
        </w:numPr>
        <w:spacing w:line="360" w:lineRule="auto"/>
        <w:jc w:val="both"/>
        <w:rPr>
          <w:rFonts w:ascii="Times New Roman" w:hAnsi="Times New Roman" w:cs="Times New Roman"/>
          <w:sz w:val="20"/>
          <w:szCs w:val="20"/>
        </w:rPr>
      </w:pPr>
      <w:r w:rsidRPr="003E28FC">
        <w:rPr>
          <w:rFonts w:ascii="Times New Roman" w:hAnsi="Times New Roman" w:cs="Times New Roman"/>
          <w:color w:val="000000" w:themeColor="text1"/>
          <w:sz w:val="20"/>
          <w:szCs w:val="20"/>
        </w:rPr>
        <w:t>FAO (2023). The state of world fisheries and aquaculture. </w:t>
      </w:r>
      <w:r w:rsidRPr="003E28FC">
        <w:rPr>
          <w:rFonts w:ascii="Times New Roman" w:hAnsi="Times New Roman" w:cs="Times New Roman"/>
          <w:i/>
          <w:iCs/>
          <w:color w:val="000000" w:themeColor="text1"/>
          <w:sz w:val="20"/>
          <w:szCs w:val="20"/>
        </w:rPr>
        <w:t>Opportunities and challenges. Food and Agriculture Organization of the United Nations</w:t>
      </w:r>
      <w:r w:rsidRPr="003E28FC">
        <w:rPr>
          <w:rFonts w:ascii="Times New Roman" w:hAnsi="Times New Roman" w:cs="Times New Roman"/>
          <w:color w:val="000000" w:themeColor="text1"/>
          <w:sz w:val="20"/>
          <w:szCs w:val="20"/>
        </w:rPr>
        <w:t xml:space="preserve">. Accessed on 22-09-2024. </w:t>
      </w:r>
      <w:hyperlink r:id="rId28" w:history="1">
        <w:r w:rsidRPr="003E28FC">
          <w:rPr>
            <w:rStyle w:val="Hyperlink"/>
            <w:rFonts w:ascii="Times New Roman" w:hAnsi="Times New Roman" w:cs="Times New Roman"/>
            <w:sz w:val="20"/>
            <w:szCs w:val="20"/>
          </w:rPr>
          <w:t>https://www.fao.org/fishery/en/facp/ind?lang=en</w:t>
        </w:r>
      </w:hyperlink>
      <w:r w:rsidRPr="003E28FC">
        <w:rPr>
          <w:rFonts w:ascii="Times New Roman" w:hAnsi="Times New Roman" w:cs="Times New Roman"/>
          <w:sz w:val="20"/>
          <w:szCs w:val="20"/>
        </w:rPr>
        <w:t xml:space="preserve">. </w:t>
      </w:r>
    </w:p>
    <w:p w14:paraId="6CD86C02" w14:textId="77777777" w:rsidR="005E4F46" w:rsidRPr="003E28FC" w:rsidRDefault="005E4F46" w:rsidP="003E28FC">
      <w:pPr>
        <w:pStyle w:val="ListParagraph"/>
        <w:numPr>
          <w:ilvl w:val="0"/>
          <w:numId w:val="7"/>
        </w:numPr>
        <w:spacing w:line="360" w:lineRule="auto"/>
        <w:jc w:val="both"/>
        <w:rPr>
          <w:rFonts w:ascii="Times New Roman" w:hAnsi="Times New Roman" w:cs="Times New Roman"/>
          <w:sz w:val="20"/>
          <w:szCs w:val="20"/>
        </w:rPr>
      </w:pPr>
      <w:r w:rsidRPr="003E28FC">
        <w:rPr>
          <w:rFonts w:ascii="Times New Roman" w:hAnsi="Times New Roman" w:cs="Times New Roman"/>
          <w:color w:val="000000" w:themeColor="text1"/>
          <w:sz w:val="20"/>
          <w:szCs w:val="20"/>
        </w:rPr>
        <w:t>FAO (2024)</w:t>
      </w:r>
      <w:r w:rsidRPr="003E28FC">
        <w:rPr>
          <w:rFonts w:ascii="Times New Roman" w:hAnsi="Times New Roman" w:cs="Times New Roman"/>
          <w:sz w:val="20"/>
          <w:szCs w:val="20"/>
        </w:rPr>
        <w:t xml:space="preserve">. </w:t>
      </w:r>
      <w:r w:rsidRPr="003E28FC">
        <w:rPr>
          <w:rFonts w:ascii="Times New Roman" w:hAnsi="Times New Roman" w:cs="Times New Roman"/>
          <w:color w:val="000000" w:themeColor="text1"/>
          <w:sz w:val="20"/>
          <w:szCs w:val="20"/>
        </w:rPr>
        <w:t>The state of world fisheries and aquaculture. </w:t>
      </w:r>
      <w:r w:rsidRPr="003E28FC">
        <w:rPr>
          <w:rFonts w:ascii="Times New Roman" w:hAnsi="Times New Roman" w:cs="Times New Roman"/>
          <w:i/>
          <w:iCs/>
          <w:color w:val="000000" w:themeColor="text1"/>
          <w:sz w:val="20"/>
          <w:szCs w:val="20"/>
        </w:rPr>
        <w:t>Opportunities and challenges. Food and Agriculture Organization of the United Nations</w:t>
      </w:r>
      <w:r w:rsidRPr="003E28FC">
        <w:rPr>
          <w:rFonts w:ascii="Times New Roman" w:hAnsi="Times New Roman" w:cs="Times New Roman"/>
          <w:color w:val="000000" w:themeColor="text1"/>
          <w:sz w:val="20"/>
          <w:szCs w:val="20"/>
        </w:rPr>
        <w:t xml:space="preserve">. Accessed on 22-09-2024. </w:t>
      </w:r>
      <w:hyperlink r:id="rId29" w:history="1">
        <w:r w:rsidRPr="003E28FC">
          <w:rPr>
            <w:rStyle w:val="Hyperlink"/>
            <w:rFonts w:ascii="Times New Roman" w:hAnsi="Times New Roman" w:cs="Times New Roman"/>
            <w:sz w:val="20"/>
            <w:szCs w:val="20"/>
          </w:rPr>
          <w:t>https://www.fao.org/inland-fisheries/resources/publications/en/</w:t>
        </w:r>
      </w:hyperlink>
      <w:r w:rsidRPr="003E28FC">
        <w:rPr>
          <w:rFonts w:ascii="Times New Roman" w:hAnsi="Times New Roman" w:cs="Times New Roman"/>
          <w:sz w:val="20"/>
          <w:szCs w:val="20"/>
        </w:rPr>
        <w:t xml:space="preserve">. </w:t>
      </w:r>
    </w:p>
    <w:p w14:paraId="45B48243"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i/>
          <w:color w:val="000000" w:themeColor="text1"/>
          <w:sz w:val="20"/>
          <w:szCs w:val="20"/>
        </w:rPr>
      </w:pPr>
      <w:r w:rsidRPr="003E28FC">
        <w:rPr>
          <w:rFonts w:ascii="Times New Roman" w:hAnsi="Times New Roman" w:cs="Times New Roman"/>
          <w:color w:val="000000" w:themeColor="text1"/>
          <w:sz w:val="20"/>
          <w:szCs w:val="20"/>
        </w:rPr>
        <w:t>Gawa, S., Kumar, N.R., Prakash, S., Sharma, R., Panday, S.K. and Dube, K. (</w:t>
      </w:r>
      <w:proofErr w:type="gramStart"/>
      <w:r w:rsidRPr="003E28FC">
        <w:rPr>
          <w:rFonts w:ascii="Times New Roman" w:hAnsi="Times New Roman" w:cs="Times New Roman"/>
          <w:color w:val="000000" w:themeColor="text1"/>
          <w:sz w:val="20"/>
          <w:szCs w:val="20"/>
        </w:rPr>
        <w:t>2021)</w:t>
      </w:r>
      <w:r w:rsidRPr="003E28FC">
        <w:rPr>
          <w:rFonts w:ascii="Times New Roman" w:hAnsi="Times New Roman" w:cs="Times New Roman"/>
          <w:color w:val="000000" w:themeColor="text1"/>
          <w:sz w:val="20"/>
          <w:szCs w:val="20"/>
          <w:vertAlign w:val="superscript"/>
        </w:rPr>
        <w:t>a</w:t>
      </w:r>
      <w:r w:rsidRPr="003E28FC">
        <w:rPr>
          <w:rFonts w:ascii="Times New Roman" w:hAnsi="Times New Roman" w:cs="Times New Roman"/>
          <w:color w:val="000000" w:themeColor="text1"/>
          <w:sz w:val="20"/>
          <w:szCs w:val="20"/>
        </w:rPr>
        <w:t>.</w:t>
      </w:r>
      <w:proofErr w:type="gramEnd"/>
      <w:r w:rsidRPr="003E28FC">
        <w:rPr>
          <w:rFonts w:ascii="Times New Roman" w:hAnsi="Times New Roman" w:cs="Times New Roman"/>
          <w:color w:val="000000" w:themeColor="text1"/>
          <w:sz w:val="20"/>
          <w:szCs w:val="20"/>
        </w:rPr>
        <w:t xml:space="preserve"> Economics of fish feed production for cage culture in reservoirs of Jharkhand, India. </w:t>
      </w:r>
      <w:r w:rsidRPr="003E28FC">
        <w:rPr>
          <w:rFonts w:ascii="Times New Roman" w:hAnsi="Times New Roman" w:cs="Times New Roman"/>
          <w:i/>
          <w:color w:val="000000" w:themeColor="text1"/>
          <w:sz w:val="20"/>
          <w:szCs w:val="20"/>
        </w:rPr>
        <w:t>Indian Journal of Experimental Biology. 24</w:t>
      </w:r>
      <w:r w:rsidR="003316B1" w:rsidRPr="003E28FC">
        <w:rPr>
          <w:rFonts w:ascii="Times New Roman" w:hAnsi="Times New Roman" w:cs="Times New Roman"/>
          <w:color w:val="000000" w:themeColor="text1"/>
          <w:sz w:val="20"/>
          <w:szCs w:val="20"/>
        </w:rPr>
        <w:t>(</w:t>
      </w:r>
      <w:r w:rsidRPr="003E28FC">
        <w:rPr>
          <w:rFonts w:ascii="Times New Roman" w:hAnsi="Times New Roman" w:cs="Times New Roman"/>
          <w:color w:val="000000" w:themeColor="text1"/>
          <w:sz w:val="20"/>
          <w:szCs w:val="20"/>
        </w:rPr>
        <w:t>1</w:t>
      </w:r>
      <w:r w:rsidR="003316B1" w:rsidRPr="003E28FC">
        <w:rPr>
          <w:rFonts w:ascii="Times New Roman" w:hAnsi="Times New Roman" w:cs="Times New Roman"/>
          <w:color w:val="000000" w:themeColor="text1"/>
          <w:sz w:val="20"/>
          <w:szCs w:val="20"/>
        </w:rPr>
        <w:t>)</w:t>
      </w:r>
      <w:r w:rsidRPr="003E28FC">
        <w:rPr>
          <w:rFonts w:ascii="Times New Roman" w:hAnsi="Times New Roman" w:cs="Times New Roman"/>
          <w:color w:val="000000" w:themeColor="text1"/>
          <w:sz w:val="20"/>
          <w:szCs w:val="20"/>
        </w:rPr>
        <w:t xml:space="preserve">, </w:t>
      </w:r>
      <w:r w:rsidR="003316B1" w:rsidRPr="003E28FC">
        <w:rPr>
          <w:rFonts w:ascii="Times New Roman" w:hAnsi="Times New Roman" w:cs="Times New Roman"/>
          <w:color w:val="000000" w:themeColor="text1"/>
          <w:sz w:val="20"/>
          <w:szCs w:val="20"/>
        </w:rPr>
        <w:t xml:space="preserve">ISSN 0972-0030, </w:t>
      </w:r>
      <w:r w:rsidRPr="003E28FC">
        <w:rPr>
          <w:rFonts w:ascii="Times New Roman" w:hAnsi="Times New Roman" w:cs="Times New Roman"/>
          <w:color w:val="000000" w:themeColor="text1"/>
          <w:sz w:val="20"/>
          <w:szCs w:val="20"/>
        </w:rPr>
        <w:t>927-931.</w:t>
      </w:r>
      <w:r w:rsidR="003316B1" w:rsidRPr="003316B1">
        <w:t xml:space="preserve"> </w:t>
      </w:r>
      <w:hyperlink r:id="rId30" w:history="1">
        <w:r w:rsidR="003316B1" w:rsidRPr="003E28FC">
          <w:rPr>
            <w:rStyle w:val="Hyperlink"/>
            <w:rFonts w:ascii="Times New Roman" w:hAnsi="Times New Roman" w:cs="Times New Roman"/>
            <w:sz w:val="20"/>
            <w:szCs w:val="20"/>
          </w:rPr>
          <w:t>https://connectjournals.com/03895.2021.24.927</w:t>
        </w:r>
      </w:hyperlink>
      <w:r w:rsidR="003316B1" w:rsidRPr="003E28FC">
        <w:rPr>
          <w:rFonts w:ascii="Times New Roman" w:hAnsi="Times New Roman" w:cs="Times New Roman"/>
          <w:color w:val="000000" w:themeColor="text1"/>
          <w:sz w:val="20"/>
          <w:szCs w:val="20"/>
        </w:rPr>
        <w:t xml:space="preserve">. </w:t>
      </w:r>
    </w:p>
    <w:p w14:paraId="38F61B2F"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000000" w:themeColor="text1"/>
          <w:sz w:val="20"/>
          <w:szCs w:val="20"/>
        </w:rPr>
      </w:pPr>
      <w:r w:rsidRPr="003E28FC">
        <w:rPr>
          <w:rFonts w:ascii="Times New Roman" w:hAnsi="Times New Roman" w:cs="Times New Roman"/>
          <w:color w:val="000000" w:themeColor="text1"/>
          <w:sz w:val="20"/>
          <w:szCs w:val="20"/>
        </w:rPr>
        <w:t>Gawa, S., Kumar, N.R., Prakash, S., Sharma, R., Panday, S.K. and Dube, K. (</w:t>
      </w:r>
      <w:proofErr w:type="gramStart"/>
      <w:r w:rsidRPr="003E28FC">
        <w:rPr>
          <w:rFonts w:ascii="Times New Roman" w:hAnsi="Times New Roman" w:cs="Times New Roman"/>
          <w:color w:val="000000" w:themeColor="text1"/>
          <w:sz w:val="20"/>
          <w:szCs w:val="20"/>
        </w:rPr>
        <w:t>2021)</w:t>
      </w:r>
      <w:r w:rsidRPr="003E28FC">
        <w:rPr>
          <w:rFonts w:ascii="Times New Roman" w:hAnsi="Times New Roman" w:cs="Times New Roman"/>
          <w:color w:val="000000" w:themeColor="text1"/>
          <w:sz w:val="20"/>
          <w:szCs w:val="20"/>
          <w:vertAlign w:val="superscript"/>
        </w:rPr>
        <w:t>b</w:t>
      </w:r>
      <w:r w:rsidRPr="003E28FC">
        <w:rPr>
          <w:rFonts w:ascii="Times New Roman" w:hAnsi="Times New Roman" w:cs="Times New Roman"/>
          <w:color w:val="000000" w:themeColor="text1"/>
          <w:sz w:val="20"/>
          <w:szCs w:val="20"/>
        </w:rPr>
        <w:t>.</w:t>
      </w:r>
      <w:proofErr w:type="gramEnd"/>
      <w:r w:rsidRPr="003E28FC">
        <w:rPr>
          <w:rFonts w:ascii="Times New Roman" w:hAnsi="Times New Roman" w:cs="Times New Roman"/>
          <w:color w:val="000000" w:themeColor="text1"/>
          <w:sz w:val="20"/>
          <w:szCs w:val="20"/>
        </w:rPr>
        <w:t xml:space="preserve"> Economics of GI (Galvanised Iron) Pipe Cage Manufacturing for Cage Aquaculture in Reservoirs of Jharkhand. </w:t>
      </w:r>
      <w:r w:rsidRPr="003E28FC">
        <w:rPr>
          <w:rFonts w:ascii="Times New Roman" w:hAnsi="Times New Roman" w:cs="Times New Roman"/>
          <w:i/>
          <w:iCs/>
          <w:color w:val="000000" w:themeColor="text1"/>
          <w:sz w:val="20"/>
          <w:szCs w:val="20"/>
        </w:rPr>
        <w:t xml:space="preserve">Ind. J. Pure App. </w:t>
      </w:r>
      <w:proofErr w:type="spellStart"/>
      <w:r w:rsidRPr="003E28FC">
        <w:rPr>
          <w:rFonts w:ascii="Times New Roman" w:hAnsi="Times New Roman" w:cs="Times New Roman"/>
          <w:i/>
          <w:iCs/>
          <w:color w:val="000000" w:themeColor="text1"/>
          <w:sz w:val="20"/>
          <w:szCs w:val="20"/>
        </w:rPr>
        <w:t>Biosci</w:t>
      </w:r>
      <w:proofErr w:type="spellEnd"/>
      <w:r w:rsidRPr="003E28FC">
        <w:rPr>
          <w:rFonts w:ascii="Times New Roman" w:hAnsi="Times New Roman" w:cs="Times New Roman"/>
          <w:color w:val="000000" w:themeColor="text1"/>
          <w:sz w:val="20"/>
          <w:szCs w:val="20"/>
        </w:rPr>
        <w:t>, </w:t>
      </w:r>
      <w:r w:rsidRPr="003E28FC">
        <w:rPr>
          <w:rFonts w:ascii="Times New Roman" w:hAnsi="Times New Roman" w:cs="Times New Roman"/>
          <w:i/>
          <w:iCs/>
          <w:color w:val="000000" w:themeColor="text1"/>
          <w:sz w:val="20"/>
          <w:szCs w:val="20"/>
        </w:rPr>
        <w:t>9</w:t>
      </w:r>
      <w:r w:rsidRPr="003E28FC">
        <w:rPr>
          <w:rFonts w:ascii="Times New Roman" w:hAnsi="Times New Roman" w:cs="Times New Roman"/>
          <w:color w:val="000000" w:themeColor="text1"/>
          <w:sz w:val="20"/>
          <w:szCs w:val="20"/>
        </w:rPr>
        <w:t xml:space="preserve">(1), 286-292. </w:t>
      </w:r>
      <w:hyperlink r:id="rId31" w:history="1">
        <w:r w:rsidR="0046710F" w:rsidRPr="003E28FC">
          <w:rPr>
            <w:rStyle w:val="Hyperlink"/>
            <w:rFonts w:ascii="Times New Roman" w:hAnsi="Times New Roman" w:cs="Times New Roman"/>
            <w:sz w:val="20"/>
            <w:szCs w:val="20"/>
          </w:rPr>
          <w:t>http://dx.doi.org/10.18782/2582-2845.8597</w:t>
        </w:r>
      </w:hyperlink>
      <w:r w:rsidR="0046710F" w:rsidRPr="003E28FC">
        <w:rPr>
          <w:rFonts w:ascii="Times New Roman" w:hAnsi="Times New Roman" w:cs="Times New Roman"/>
          <w:color w:val="000000" w:themeColor="text1"/>
          <w:sz w:val="20"/>
          <w:szCs w:val="20"/>
        </w:rPr>
        <w:t xml:space="preserve">. </w:t>
      </w:r>
    </w:p>
    <w:p w14:paraId="547DA18E" w14:textId="77777777" w:rsidR="00DD22CD" w:rsidRPr="003E28FC" w:rsidRDefault="00DD22CD" w:rsidP="003E28FC">
      <w:pPr>
        <w:pStyle w:val="ListParagraph"/>
        <w:numPr>
          <w:ilvl w:val="0"/>
          <w:numId w:val="7"/>
        </w:numPr>
        <w:spacing w:line="360" w:lineRule="auto"/>
        <w:jc w:val="both"/>
        <w:rPr>
          <w:rStyle w:val="Hyperlink"/>
          <w:rFonts w:ascii="Times New Roman" w:hAnsi="Times New Roman" w:cs="Times New Roman"/>
          <w:color w:val="000000" w:themeColor="text1"/>
          <w:sz w:val="20"/>
          <w:szCs w:val="20"/>
        </w:rPr>
      </w:pPr>
      <w:r w:rsidRPr="003E28FC">
        <w:rPr>
          <w:rFonts w:ascii="Times New Roman" w:hAnsi="Times New Roman" w:cs="Times New Roman"/>
          <w:color w:val="000000" w:themeColor="text1"/>
          <w:sz w:val="20"/>
          <w:szCs w:val="20"/>
        </w:rPr>
        <w:t xml:space="preserve">Handbook on Fisheries Statistics (2020). Department of Fisheries Ministry of Fisheries, Animal Husbandry &amp; Dairying Government of India, New Delhi. </w:t>
      </w:r>
      <w:hyperlink r:id="rId32" w:history="1">
        <w:r w:rsidRPr="003E28FC">
          <w:rPr>
            <w:rStyle w:val="Hyperlink"/>
            <w:rFonts w:ascii="Times New Roman" w:hAnsi="Times New Roman" w:cs="Times New Roman"/>
            <w:sz w:val="20"/>
            <w:szCs w:val="20"/>
          </w:rPr>
          <w:t>https://dof.gov.in/sites/default/files/2021-02/Final_Book.pdf</w:t>
        </w:r>
      </w:hyperlink>
    </w:p>
    <w:p w14:paraId="72ABA95D"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000000" w:themeColor="text1"/>
          <w:sz w:val="20"/>
          <w:szCs w:val="20"/>
        </w:rPr>
      </w:pPr>
      <w:r w:rsidRPr="003E28FC">
        <w:rPr>
          <w:rFonts w:ascii="Times New Roman" w:hAnsi="Times New Roman" w:cs="Times New Roman"/>
          <w:color w:val="000000" w:themeColor="text1"/>
          <w:sz w:val="20"/>
          <w:szCs w:val="20"/>
        </w:rPr>
        <w:t xml:space="preserve">Lan, H.Y., </w:t>
      </w:r>
      <w:proofErr w:type="spellStart"/>
      <w:r w:rsidRPr="003E28FC">
        <w:rPr>
          <w:rFonts w:ascii="Times New Roman" w:hAnsi="Times New Roman" w:cs="Times New Roman"/>
          <w:color w:val="000000" w:themeColor="text1"/>
          <w:sz w:val="20"/>
          <w:szCs w:val="20"/>
        </w:rPr>
        <w:t>Afero</w:t>
      </w:r>
      <w:proofErr w:type="spellEnd"/>
      <w:r w:rsidRPr="003E28FC">
        <w:rPr>
          <w:rFonts w:ascii="Times New Roman" w:hAnsi="Times New Roman" w:cs="Times New Roman"/>
          <w:color w:val="000000" w:themeColor="text1"/>
          <w:sz w:val="20"/>
          <w:szCs w:val="20"/>
        </w:rPr>
        <w:t xml:space="preserve">, F., Huang, C.T., Chen, B.Y., Huang, P.L. and Hou, Y.L. (2022). Investment Feasibility Analysis of Large Submersible Cage Culture in Taiwan: A Case Study of </w:t>
      </w:r>
      <w:proofErr w:type="spellStart"/>
      <w:r w:rsidRPr="003E28FC">
        <w:rPr>
          <w:rFonts w:ascii="Times New Roman" w:hAnsi="Times New Roman" w:cs="Times New Roman"/>
          <w:color w:val="000000" w:themeColor="text1"/>
          <w:sz w:val="20"/>
          <w:szCs w:val="20"/>
        </w:rPr>
        <w:t>Snubnose</w:t>
      </w:r>
      <w:proofErr w:type="spellEnd"/>
      <w:r w:rsidRPr="003E28FC">
        <w:rPr>
          <w:rFonts w:ascii="Times New Roman" w:hAnsi="Times New Roman" w:cs="Times New Roman"/>
          <w:color w:val="000000" w:themeColor="text1"/>
          <w:sz w:val="20"/>
          <w:szCs w:val="20"/>
        </w:rPr>
        <w:t xml:space="preserve"> Pompano (</w:t>
      </w:r>
      <w:r w:rsidRPr="003E28FC">
        <w:rPr>
          <w:rFonts w:ascii="Times New Roman" w:hAnsi="Times New Roman" w:cs="Times New Roman"/>
          <w:i/>
          <w:color w:val="000000" w:themeColor="text1"/>
          <w:sz w:val="20"/>
          <w:szCs w:val="20"/>
        </w:rPr>
        <w:t xml:space="preserve">Trachinotus </w:t>
      </w:r>
      <w:proofErr w:type="spellStart"/>
      <w:r w:rsidRPr="003E28FC">
        <w:rPr>
          <w:rFonts w:ascii="Times New Roman" w:hAnsi="Times New Roman" w:cs="Times New Roman"/>
          <w:i/>
          <w:color w:val="000000" w:themeColor="text1"/>
          <w:sz w:val="20"/>
          <w:szCs w:val="20"/>
        </w:rPr>
        <w:t>anak</w:t>
      </w:r>
      <w:proofErr w:type="spellEnd"/>
      <w:r w:rsidRPr="003E28FC">
        <w:rPr>
          <w:rFonts w:ascii="Times New Roman" w:hAnsi="Times New Roman" w:cs="Times New Roman"/>
          <w:color w:val="000000" w:themeColor="text1"/>
          <w:sz w:val="20"/>
          <w:szCs w:val="20"/>
        </w:rPr>
        <w:t>) and Cobia (</w:t>
      </w:r>
      <w:r w:rsidRPr="003E28FC">
        <w:rPr>
          <w:rFonts w:ascii="Times New Roman" w:hAnsi="Times New Roman" w:cs="Times New Roman"/>
          <w:i/>
          <w:color w:val="000000" w:themeColor="text1"/>
          <w:sz w:val="20"/>
          <w:szCs w:val="20"/>
        </w:rPr>
        <w:t>Rachycentron canadum</w:t>
      </w:r>
      <w:r w:rsidRPr="003E28FC">
        <w:rPr>
          <w:rFonts w:ascii="Times New Roman" w:hAnsi="Times New Roman" w:cs="Times New Roman"/>
          <w:color w:val="000000" w:themeColor="text1"/>
          <w:sz w:val="20"/>
          <w:szCs w:val="20"/>
        </w:rPr>
        <w:t>). </w:t>
      </w:r>
      <w:r w:rsidRPr="003E28FC">
        <w:rPr>
          <w:rFonts w:ascii="Times New Roman" w:hAnsi="Times New Roman" w:cs="Times New Roman"/>
          <w:i/>
          <w:iCs/>
          <w:color w:val="000000" w:themeColor="text1"/>
          <w:sz w:val="20"/>
          <w:szCs w:val="20"/>
        </w:rPr>
        <w:t>Fishes</w:t>
      </w:r>
      <w:r w:rsidRPr="003E28FC">
        <w:rPr>
          <w:rFonts w:ascii="Times New Roman" w:hAnsi="Times New Roman" w:cs="Times New Roman"/>
          <w:color w:val="000000" w:themeColor="text1"/>
          <w:sz w:val="20"/>
          <w:szCs w:val="20"/>
        </w:rPr>
        <w:t>, </w:t>
      </w:r>
      <w:r w:rsidRPr="003E28FC">
        <w:rPr>
          <w:rFonts w:ascii="Times New Roman" w:hAnsi="Times New Roman" w:cs="Times New Roman"/>
          <w:i/>
          <w:iCs/>
          <w:color w:val="000000" w:themeColor="text1"/>
          <w:sz w:val="20"/>
          <w:szCs w:val="20"/>
        </w:rPr>
        <w:t>7</w:t>
      </w:r>
      <w:r w:rsidRPr="003E28FC">
        <w:rPr>
          <w:rFonts w:ascii="Times New Roman" w:hAnsi="Times New Roman" w:cs="Times New Roman"/>
          <w:color w:val="000000" w:themeColor="text1"/>
          <w:sz w:val="20"/>
          <w:szCs w:val="20"/>
        </w:rPr>
        <w:t>(4),</w:t>
      </w:r>
      <w:r w:rsidR="00156753" w:rsidRPr="003E28FC">
        <w:rPr>
          <w:rFonts w:ascii="Times New Roman" w:hAnsi="Times New Roman" w:cs="Times New Roman"/>
          <w:color w:val="000000" w:themeColor="text1"/>
          <w:sz w:val="20"/>
          <w:szCs w:val="20"/>
        </w:rPr>
        <w:t xml:space="preserve"> </w:t>
      </w:r>
      <w:r w:rsidRPr="003E28FC">
        <w:rPr>
          <w:rFonts w:ascii="Times New Roman" w:hAnsi="Times New Roman" w:cs="Times New Roman"/>
          <w:color w:val="000000" w:themeColor="text1"/>
          <w:sz w:val="20"/>
          <w:szCs w:val="20"/>
        </w:rPr>
        <w:t xml:space="preserve">151. </w:t>
      </w:r>
      <w:hyperlink r:id="rId33" w:history="1">
        <w:r w:rsidR="009B527B" w:rsidRPr="003E28FC">
          <w:rPr>
            <w:rStyle w:val="Hyperlink"/>
            <w:rFonts w:ascii="Times New Roman" w:hAnsi="Times New Roman" w:cs="Times New Roman"/>
            <w:sz w:val="20"/>
            <w:szCs w:val="20"/>
          </w:rPr>
          <w:t>https://doi.org/10.3390/fishes7040151</w:t>
        </w:r>
      </w:hyperlink>
      <w:r w:rsidR="009B527B" w:rsidRPr="003E28FC">
        <w:rPr>
          <w:rFonts w:ascii="Times New Roman" w:hAnsi="Times New Roman" w:cs="Times New Roman"/>
          <w:color w:val="000000" w:themeColor="text1"/>
          <w:sz w:val="20"/>
          <w:szCs w:val="20"/>
        </w:rPr>
        <w:t xml:space="preserve">. </w:t>
      </w:r>
    </w:p>
    <w:p w14:paraId="3E8D3A63" w14:textId="77777777" w:rsidR="00DD22CD" w:rsidRPr="003E28FC" w:rsidRDefault="00883C1D" w:rsidP="003E28FC">
      <w:pPr>
        <w:pStyle w:val="ListParagraph"/>
        <w:numPr>
          <w:ilvl w:val="0"/>
          <w:numId w:val="7"/>
        </w:numPr>
        <w:spacing w:line="360" w:lineRule="auto"/>
        <w:jc w:val="both"/>
        <w:rPr>
          <w:rFonts w:ascii="Times New Roman" w:hAnsi="Times New Roman" w:cs="Times New Roman"/>
          <w:color w:val="000000" w:themeColor="text1"/>
          <w:sz w:val="20"/>
          <w:szCs w:val="20"/>
        </w:rPr>
      </w:pPr>
      <w:r w:rsidRPr="003E28FC">
        <w:rPr>
          <w:rFonts w:ascii="Times New Roman" w:hAnsi="Times New Roman" w:cs="Times New Roman"/>
          <w:color w:val="000000" w:themeColor="text1"/>
          <w:sz w:val="20"/>
          <w:szCs w:val="20"/>
          <w:shd w:val="clear" w:color="auto" w:fill="FFFFFF"/>
        </w:rPr>
        <w:t xml:space="preserve">Kumari, S., Sharma, A. Choudhary, A.K., Ananthan, P.S., Ojha, S.N., and </w:t>
      </w:r>
      <w:proofErr w:type="spellStart"/>
      <w:r w:rsidR="00DD22CD" w:rsidRPr="003E28FC">
        <w:rPr>
          <w:rFonts w:ascii="Times New Roman" w:hAnsi="Times New Roman" w:cs="Times New Roman"/>
          <w:color w:val="000000" w:themeColor="text1"/>
          <w:sz w:val="20"/>
          <w:szCs w:val="20"/>
          <w:shd w:val="clear" w:color="auto" w:fill="FFFFFF"/>
        </w:rPr>
        <w:t>Landge</w:t>
      </w:r>
      <w:proofErr w:type="spellEnd"/>
      <w:r w:rsidR="00DD22CD" w:rsidRPr="003E28FC">
        <w:rPr>
          <w:rFonts w:ascii="Times New Roman" w:hAnsi="Times New Roman" w:cs="Times New Roman"/>
          <w:color w:val="000000" w:themeColor="text1"/>
          <w:sz w:val="20"/>
          <w:szCs w:val="20"/>
          <w:shd w:val="clear" w:color="auto" w:fill="FFFFFF"/>
        </w:rPr>
        <w:t>, A</w:t>
      </w:r>
      <w:r w:rsidRPr="003E28FC">
        <w:rPr>
          <w:rFonts w:ascii="Times New Roman" w:hAnsi="Times New Roman" w:cs="Times New Roman"/>
          <w:color w:val="000000" w:themeColor="text1"/>
          <w:sz w:val="20"/>
          <w:szCs w:val="20"/>
          <w:shd w:val="clear" w:color="auto" w:fill="FFFFFF"/>
        </w:rPr>
        <w:t>.</w:t>
      </w:r>
      <w:r w:rsidR="00DD22CD" w:rsidRPr="003E28FC">
        <w:rPr>
          <w:rFonts w:ascii="Times New Roman" w:hAnsi="Times New Roman" w:cs="Times New Roman"/>
          <w:color w:val="000000" w:themeColor="text1"/>
          <w:sz w:val="20"/>
          <w:szCs w:val="20"/>
          <w:shd w:val="clear" w:color="auto" w:fill="FFFFFF"/>
        </w:rPr>
        <w:t xml:space="preserve"> (2021). Assessment of cage culture practices in </w:t>
      </w:r>
      <w:proofErr w:type="spellStart"/>
      <w:r w:rsidR="00DD22CD" w:rsidRPr="003E28FC">
        <w:rPr>
          <w:rFonts w:ascii="Times New Roman" w:hAnsi="Times New Roman" w:cs="Times New Roman"/>
          <w:color w:val="000000" w:themeColor="text1"/>
          <w:sz w:val="20"/>
          <w:szCs w:val="20"/>
          <w:shd w:val="clear" w:color="auto" w:fill="FFFFFF"/>
        </w:rPr>
        <w:t>Chandil</w:t>
      </w:r>
      <w:proofErr w:type="spellEnd"/>
      <w:r w:rsidR="00DD22CD" w:rsidRPr="003E28FC">
        <w:rPr>
          <w:rFonts w:ascii="Times New Roman" w:hAnsi="Times New Roman" w:cs="Times New Roman"/>
          <w:color w:val="000000" w:themeColor="text1"/>
          <w:sz w:val="20"/>
          <w:szCs w:val="20"/>
          <w:shd w:val="clear" w:color="auto" w:fill="FFFFFF"/>
        </w:rPr>
        <w:t xml:space="preserve"> reservoir, Jharkhand. </w:t>
      </w:r>
      <w:r w:rsidR="00DD22CD" w:rsidRPr="003E28FC">
        <w:rPr>
          <w:rFonts w:ascii="Times New Roman" w:hAnsi="Times New Roman" w:cs="Times New Roman"/>
          <w:i/>
          <w:iCs/>
          <w:color w:val="000000" w:themeColor="text1"/>
          <w:sz w:val="20"/>
          <w:szCs w:val="20"/>
          <w:shd w:val="clear" w:color="auto" w:fill="FFFFFF"/>
        </w:rPr>
        <w:t>Asian Journal of Agricultural Extension, Economics &amp; Sociology</w:t>
      </w:r>
      <w:r w:rsidR="00DD22CD" w:rsidRPr="003E28FC">
        <w:rPr>
          <w:rFonts w:ascii="Times New Roman" w:hAnsi="Times New Roman" w:cs="Times New Roman"/>
          <w:color w:val="000000" w:themeColor="text1"/>
          <w:sz w:val="20"/>
          <w:szCs w:val="20"/>
          <w:shd w:val="clear" w:color="auto" w:fill="FFFFFF"/>
        </w:rPr>
        <w:t>, </w:t>
      </w:r>
      <w:r w:rsidR="00DD22CD" w:rsidRPr="003E28FC">
        <w:rPr>
          <w:rFonts w:ascii="Times New Roman" w:hAnsi="Times New Roman" w:cs="Times New Roman"/>
          <w:i/>
          <w:iCs/>
          <w:color w:val="000000" w:themeColor="text1"/>
          <w:sz w:val="20"/>
          <w:szCs w:val="20"/>
          <w:shd w:val="clear" w:color="auto" w:fill="FFFFFF"/>
        </w:rPr>
        <w:t>39</w:t>
      </w:r>
      <w:r w:rsidR="00DD22CD" w:rsidRPr="003E28FC">
        <w:rPr>
          <w:rFonts w:ascii="Times New Roman" w:hAnsi="Times New Roman" w:cs="Times New Roman"/>
          <w:color w:val="000000" w:themeColor="text1"/>
          <w:sz w:val="20"/>
          <w:szCs w:val="20"/>
          <w:shd w:val="clear" w:color="auto" w:fill="FFFFFF"/>
        </w:rPr>
        <w:t>(9),</w:t>
      </w:r>
      <w:r w:rsidR="00156753" w:rsidRPr="003E28FC">
        <w:rPr>
          <w:rFonts w:ascii="Times New Roman" w:hAnsi="Times New Roman" w:cs="Times New Roman"/>
          <w:color w:val="000000" w:themeColor="text1"/>
          <w:sz w:val="20"/>
          <w:szCs w:val="20"/>
          <w:shd w:val="clear" w:color="auto" w:fill="FFFFFF"/>
        </w:rPr>
        <w:t xml:space="preserve"> </w:t>
      </w:r>
      <w:r w:rsidR="00DD22CD" w:rsidRPr="003E28FC">
        <w:rPr>
          <w:rFonts w:ascii="Times New Roman" w:hAnsi="Times New Roman" w:cs="Times New Roman"/>
          <w:color w:val="000000" w:themeColor="text1"/>
          <w:sz w:val="20"/>
          <w:szCs w:val="20"/>
          <w:shd w:val="clear" w:color="auto" w:fill="FFFFFF"/>
        </w:rPr>
        <w:t>21-30.</w:t>
      </w:r>
      <w:r w:rsidRPr="003E28FC">
        <w:rPr>
          <w:rFonts w:ascii="Times New Roman" w:hAnsi="Times New Roman" w:cs="Times New Roman"/>
          <w:color w:val="000000" w:themeColor="text1"/>
          <w:sz w:val="20"/>
          <w:szCs w:val="20"/>
          <w:shd w:val="clear" w:color="auto" w:fill="FFFFFF"/>
        </w:rPr>
        <w:t xml:space="preserve"> 10.9734/AJAEES/2021/v39i930637. </w:t>
      </w:r>
    </w:p>
    <w:p w14:paraId="4B05CD7E"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000000" w:themeColor="text1"/>
          <w:sz w:val="20"/>
          <w:szCs w:val="20"/>
        </w:rPr>
      </w:pPr>
      <w:r w:rsidRPr="003E28FC">
        <w:rPr>
          <w:rFonts w:ascii="Times New Roman" w:hAnsi="Times New Roman" w:cs="Times New Roman"/>
          <w:color w:val="000000" w:themeColor="text1"/>
          <w:sz w:val="20"/>
          <w:szCs w:val="20"/>
          <w:shd w:val="clear" w:color="auto" w:fill="FFFFFF"/>
        </w:rPr>
        <w:t xml:space="preserve">Mane, A.M., Dube, K., Varghese, T., Chavan, B.R. and Kamble, M.T. (2019). Effects of stocking density on growth performance, survival and production of </w:t>
      </w:r>
      <w:proofErr w:type="spellStart"/>
      <w:r w:rsidRPr="003E28FC">
        <w:rPr>
          <w:rFonts w:ascii="Times New Roman" w:hAnsi="Times New Roman" w:cs="Times New Roman"/>
          <w:color w:val="000000" w:themeColor="text1"/>
          <w:sz w:val="20"/>
          <w:szCs w:val="20"/>
          <w:shd w:val="clear" w:color="auto" w:fill="FFFFFF"/>
        </w:rPr>
        <w:t>Catla</w:t>
      </w:r>
      <w:proofErr w:type="spellEnd"/>
      <w:r w:rsidRPr="003E28FC">
        <w:rPr>
          <w:rFonts w:ascii="Times New Roman" w:hAnsi="Times New Roman" w:cs="Times New Roman"/>
          <w:color w:val="000000" w:themeColor="text1"/>
          <w:sz w:val="20"/>
          <w:szCs w:val="20"/>
          <w:shd w:val="clear" w:color="auto" w:fill="FFFFFF"/>
        </w:rPr>
        <w:t xml:space="preserve"> </w:t>
      </w:r>
      <w:proofErr w:type="spellStart"/>
      <w:r w:rsidRPr="003E28FC">
        <w:rPr>
          <w:rFonts w:ascii="Times New Roman" w:hAnsi="Times New Roman" w:cs="Times New Roman"/>
          <w:color w:val="000000" w:themeColor="text1"/>
          <w:sz w:val="20"/>
          <w:szCs w:val="20"/>
          <w:shd w:val="clear" w:color="auto" w:fill="FFFFFF"/>
        </w:rPr>
        <w:t>catla</w:t>
      </w:r>
      <w:proofErr w:type="spellEnd"/>
      <w:r w:rsidRPr="003E28FC">
        <w:rPr>
          <w:rFonts w:ascii="Times New Roman" w:hAnsi="Times New Roman" w:cs="Times New Roman"/>
          <w:color w:val="000000" w:themeColor="text1"/>
          <w:sz w:val="20"/>
          <w:szCs w:val="20"/>
          <w:shd w:val="clear" w:color="auto" w:fill="FFFFFF"/>
        </w:rPr>
        <w:t xml:space="preserve"> and </w:t>
      </w:r>
      <w:proofErr w:type="spellStart"/>
      <w:r w:rsidRPr="003E28FC">
        <w:rPr>
          <w:rFonts w:ascii="Times New Roman" w:hAnsi="Times New Roman" w:cs="Times New Roman"/>
          <w:color w:val="000000" w:themeColor="text1"/>
          <w:sz w:val="20"/>
          <w:szCs w:val="20"/>
          <w:shd w:val="clear" w:color="auto" w:fill="FFFFFF"/>
        </w:rPr>
        <w:t>Labeo</w:t>
      </w:r>
      <w:proofErr w:type="spellEnd"/>
      <w:r w:rsidRPr="003E28FC">
        <w:rPr>
          <w:rFonts w:ascii="Times New Roman" w:hAnsi="Times New Roman" w:cs="Times New Roman"/>
          <w:color w:val="000000" w:themeColor="text1"/>
          <w:sz w:val="20"/>
          <w:szCs w:val="20"/>
          <w:shd w:val="clear" w:color="auto" w:fill="FFFFFF"/>
        </w:rPr>
        <w:t xml:space="preserve"> </w:t>
      </w:r>
      <w:proofErr w:type="spellStart"/>
      <w:r w:rsidRPr="003E28FC">
        <w:rPr>
          <w:rFonts w:ascii="Times New Roman" w:hAnsi="Times New Roman" w:cs="Times New Roman"/>
          <w:color w:val="000000" w:themeColor="text1"/>
          <w:sz w:val="20"/>
          <w:szCs w:val="20"/>
          <w:shd w:val="clear" w:color="auto" w:fill="FFFFFF"/>
        </w:rPr>
        <w:t>rohita</w:t>
      </w:r>
      <w:proofErr w:type="spellEnd"/>
      <w:r w:rsidRPr="003E28FC">
        <w:rPr>
          <w:rFonts w:ascii="Times New Roman" w:hAnsi="Times New Roman" w:cs="Times New Roman"/>
          <w:color w:val="000000" w:themeColor="text1"/>
          <w:sz w:val="20"/>
          <w:szCs w:val="20"/>
          <w:shd w:val="clear" w:color="auto" w:fill="FFFFFF"/>
        </w:rPr>
        <w:t xml:space="preserve"> during nursery rearing in cages. </w:t>
      </w:r>
      <w:r w:rsidRPr="003E28FC">
        <w:rPr>
          <w:rFonts w:ascii="Times New Roman" w:hAnsi="Times New Roman" w:cs="Times New Roman"/>
          <w:i/>
          <w:iCs/>
          <w:color w:val="000000" w:themeColor="text1"/>
          <w:sz w:val="20"/>
          <w:szCs w:val="20"/>
          <w:shd w:val="clear" w:color="auto" w:fill="FFFFFF"/>
        </w:rPr>
        <w:t>Proceedings of the National Academy of Sciences, India Section B: Biological Sciences</w:t>
      </w:r>
      <w:r w:rsidRPr="003E28FC">
        <w:rPr>
          <w:rFonts w:ascii="Times New Roman" w:hAnsi="Times New Roman" w:cs="Times New Roman"/>
          <w:color w:val="000000" w:themeColor="text1"/>
          <w:sz w:val="20"/>
          <w:szCs w:val="20"/>
          <w:shd w:val="clear" w:color="auto" w:fill="FFFFFF"/>
        </w:rPr>
        <w:t>, </w:t>
      </w:r>
      <w:r w:rsidRPr="003E28FC">
        <w:rPr>
          <w:rFonts w:ascii="Times New Roman" w:hAnsi="Times New Roman" w:cs="Times New Roman"/>
          <w:i/>
          <w:iCs/>
          <w:color w:val="000000" w:themeColor="text1"/>
          <w:sz w:val="20"/>
          <w:szCs w:val="20"/>
          <w:shd w:val="clear" w:color="auto" w:fill="FFFFFF"/>
        </w:rPr>
        <w:t>89</w:t>
      </w:r>
      <w:r w:rsidRPr="003E28FC">
        <w:rPr>
          <w:rFonts w:ascii="Times New Roman" w:hAnsi="Times New Roman" w:cs="Times New Roman"/>
          <w:color w:val="000000" w:themeColor="text1"/>
          <w:sz w:val="20"/>
          <w:szCs w:val="20"/>
          <w:shd w:val="clear" w:color="auto" w:fill="FFFFFF"/>
        </w:rPr>
        <w:t>(1), 275-281.</w:t>
      </w:r>
      <w:r w:rsidR="00CE034C" w:rsidRPr="00CE034C">
        <w:t xml:space="preserve"> </w:t>
      </w:r>
      <w:hyperlink r:id="rId34" w:history="1">
        <w:r w:rsidR="00CE034C" w:rsidRPr="003E28FC">
          <w:rPr>
            <w:rStyle w:val="Hyperlink"/>
            <w:rFonts w:ascii="Times New Roman" w:hAnsi="Times New Roman" w:cs="Times New Roman"/>
            <w:sz w:val="20"/>
            <w:szCs w:val="20"/>
            <w:shd w:val="clear" w:color="auto" w:fill="FFFFFF"/>
          </w:rPr>
          <w:t>https://doi.org/10.1007/s40011-017-0940-2</w:t>
        </w:r>
      </w:hyperlink>
      <w:r w:rsidR="00CE034C" w:rsidRPr="003E28FC">
        <w:rPr>
          <w:rFonts w:ascii="Times New Roman" w:hAnsi="Times New Roman" w:cs="Times New Roman"/>
          <w:color w:val="000000" w:themeColor="text1"/>
          <w:sz w:val="20"/>
          <w:szCs w:val="20"/>
          <w:shd w:val="clear" w:color="auto" w:fill="FFFFFF"/>
        </w:rPr>
        <w:t xml:space="preserve">. </w:t>
      </w:r>
    </w:p>
    <w:p w14:paraId="38A93955"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000000" w:themeColor="text1"/>
          <w:sz w:val="20"/>
          <w:szCs w:val="20"/>
        </w:rPr>
      </w:pPr>
      <w:r w:rsidRPr="003E28FC">
        <w:rPr>
          <w:rFonts w:ascii="Times New Roman" w:hAnsi="Times New Roman" w:cs="Times New Roman"/>
          <w:color w:val="000000" w:themeColor="text1"/>
          <w:sz w:val="20"/>
          <w:szCs w:val="20"/>
        </w:rPr>
        <w:lastRenderedPageBreak/>
        <w:t xml:space="preserve">Musa, S., Aura, C.M. and </w:t>
      </w:r>
      <w:proofErr w:type="spellStart"/>
      <w:r w:rsidRPr="003E28FC">
        <w:rPr>
          <w:rFonts w:ascii="Times New Roman" w:hAnsi="Times New Roman" w:cs="Times New Roman"/>
          <w:color w:val="000000" w:themeColor="text1"/>
          <w:sz w:val="20"/>
          <w:szCs w:val="20"/>
        </w:rPr>
        <w:t>Okechi</w:t>
      </w:r>
      <w:proofErr w:type="spellEnd"/>
      <w:r w:rsidRPr="003E28FC">
        <w:rPr>
          <w:rFonts w:ascii="Times New Roman" w:hAnsi="Times New Roman" w:cs="Times New Roman"/>
          <w:color w:val="000000" w:themeColor="text1"/>
          <w:sz w:val="20"/>
          <w:szCs w:val="20"/>
        </w:rPr>
        <w:t>, J.K. (2022). Economic analysis of tilapia cage culture in Lake Victoria using different cage volumes. </w:t>
      </w:r>
      <w:r w:rsidRPr="003E28FC">
        <w:rPr>
          <w:rFonts w:ascii="Times New Roman" w:hAnsi="Times New Roman" w:cs="Times New Roman"/>
          <w:i/>
          <w:iCs/>
          <w:color w:val="000000" w:themeColor="text1"/>
          <w:sz w:val="20"/>
          <w:szCs w:val="20"/>
        </w:rPr>
        <w:t>Journal of Applied Aquaculture</w:t>
      </w:r>
      <w:r w:rsidRPr="003E28FC">
        <w:rPr>
          <w:rFonts w:ascii="Times New Roman" w:hAnsi="Times New Roman" w:cs="Times New Roman"/>
          <w:color w:val="000000" w:themeColor="text1"/>
          <w:sz w:val="20"/>
          <w:szCs w:val="20"/>
        </w:rPr>
        <w:t>, </w:t>
      </w:r>
      <w:r w:rsidRPr="003E28FC">
        <w:rPr>
          <w:rFonts w:ascii="Times New Roman" w:hAnsi="Times New Roman" w:cs="Times New Roman"/>
          <w:i/>
          <w:iCs/>
          <w:color w:val="000000" w:themeColor="text1"/>
          <w:sz w:val="20"/>
          <w:szCs w:val="20"/>
        </w:rPr>
        <w:t>34</w:t>
      </w:r>
      <w:r w:rsidRPr="003E28FC">
        <w:rPr>
          <w:rFonts w:ascii="Times New Roman" w:hAnsi="Times New Roman" w:cs="Times New Roman"/>
          <w:color w:val="000000" w:themeColor="text1"/>
          <w:sz w:val="20"/>
          <w:szCs w:val="20"/>
        </w:rPr>
        <w:t>(3), 674-692.</w:t>
      </w:r>
      <w:r w:rsidR="00E470C8" w:rsidRPr="00E470C8">
        <w:t xml:space="preserve"> </w:t>
      </w:r>
      <w:hyperlink r:id="rId35" w:history="1">
        <w:r w:rsidR="00E470C8" w:rsidRPr="003E28FC">
          <w:rPr>
            <w:rStyle w:val="Hyperlink"/>
            <w:rFonts w:ascii="Times New Roman" w:hAnsi="Times New Roman" w:cs="Times New Roman"/>
            <w:sz w:val="20"/>
            <w:szCs w:val="20"/>
          </w:rPr>
          <w:t>https://doi.org/10.1080/10454438.2021.1884632</w:t>
        </w:r>
      </w:hyperlink>
      <w:r w:rsidR="00E470C8" w:rsidRPr="003E28FC">
        <w:rPr>
          <w:rFonts w:ascii="Times New Roman" w:hAnsi="Times New Roman" w:cs="Times New Roman"/>
          <w:color w:val="000000" w:themeColor="text1"/>
          <w:sz w:val="20"/>
          <w:szCs w:val="20"/>
        </w:rPr>
        <w:t xml:space="preserve">. </w:t>
      </w:r>
    </w:p>
    <w:p w14:paraId="4F09548F"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sz w:val="20"/>
          <w:szCs w:val="20"/>
        </w:rPr>
      </w:pPr>
      <w:proofErr w:type="spellStart"/>
      <w:r w:rsidRPr="003E28FC">
        <w:rPr>
          <w:rFonts w:ascii="Times New Roman" w:hAnsi="Times New Roman" w:cs="Times New Roman"/>
          <w:color w:val="000000" w:themeColor="text1"/>
          <w:sz w:val="20"/>
          <w:szCs w:val="20"/>
        </w:rPr>
        <w:t>Narayanakumar</w:t>
      </w:r>
      <w:proofErr w:type="spellEnd"/>
      <w:r w:rsidRPr="003E28FC">
        <w:rPr>
          <w:rFonts w:ascii="Times New Roman" w:hAnsi="Times New Roman" w:cs="Times New Roman"/>
          <w:color w:val="000000" w:themeColor="text1"/>
          <w:sz w:val="20"/>
          <w:szCs w:val="20"/>
        </w:rPr>
        <w:t xml:space="preserve">, R. (2009). Economic analysis of cage culture of sea bass. Central Marine Fisheries Research Institute, Kochi. </w:t>
      </w:r>
      <w:hyperlink r:id="rId36" w:history="1">
        <w:r w:rsidRPr="003E28FC">
          <w:rPr>
            <w:rStyle w:val="Hyperlink"/>
            <w:rFonts w:ascii="Times New Roman" w:hAnsi="Times New Roman" w:cs="Times New Roman"/>
            <w:sz w:val="20"/>
            <w:szCs w:val="20"/>
          </w:rPr>
          <w:t>http://</w:t>
        </w:r>
      </w:hyperlink>
      <w:hyperlink r:id="rId37" w:history="1">
        <w:r w:rsidRPr="003E28FC">
          <w:rPr>
            <w:rStyle w:val="Hyperlink"/>
            <w:rFonts w:ascii="Times New Roman" w:hAnsi="Times New Roman" w:cs="Times New Roman"/>
            <w:sz w:val="20"/>
            <w:szCs w:val="20"/>
          </w:rPr>
          <w:t>eprints.cmfri.org.in/id/eprint/6096</w:t>
        </w:r>
      </w:hyperlink>
      <w:r w:rsidRPr="003E28FC">
        <w:rPr>
          <w:rFonts w:ascii="Times New Roman" w:hAnsi="Times New Roman" w:cs="Times New Roman"/>
          <w:sz w:val="20"/>
          <w:szCs w:val="20"/>
        </w:rPr>
        <w:t xml:space="preserve">. </w:t>
      </w:r>
    </w:p>
    <w:p w14:paraId="33FDD442"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000000" w:themeColor="text1"/>
          <w:sz w:val="20"/>
          <w:szCs w:val="20"/>
        </w:rPr>
      </w:pPr>
      <w:r w:rsidRPr="003E28FC">
        <w:rPr>
          <w:rFonts w:ascii="Times New Roman" w:hAnsi="Times New Roman" w:cs="Times New Roman"/>
          <w:color w:val="000000" w:themeColor="text1"/>
          <w:sz w:val="20"/>
          <w:szCs w:val="20"/>
        </w:rPr>
        <w:t>Natarajan, A. and Joseph, I. (2020). Adoption of small scale coastal cage fish farming in the southwest coast of India: opportunities and challenges. </w:t>
      </w:r>
      <w:r w:rsidRPr="003E28FC">
        <w:rPr>
          <w:rFonts w:ascii="Times New Roman" w:hAnsi="Times New Roman" w:cs="Times New Roman"/>
          <w:i/>
          <w:iCs/>
          <w:color w:val="000000" w:themeColor="text1"/>
          <w:sz w:val="20"/>
          <w:szCs w:val="20"/>
        </w:rPr>
        <w:t>Israeli Journal of Aquaculture-</w:t>
      </w:r>
      <w:proofErr w:type="spellStart"/>
      <w:r w:rsidRPr="003E28FC">
        <w:rPr>
          <w:rFonts w:ascii="Times New Roman" w:hAnsi="Times New Roman" w:cs="Times New Roman"/>
          <w:i/>
          <w:iCs/>
          <w:color w:val="000000" w:themeColor="text1"/>
          <w:sz w:val="20"/>
          <w:szCs w:val="20"/>
        </w:rPr>
        <w:t>Bamidgeh</w:t>
      </w:r>
      <w:proofErr w:type="spellEnd"/>
      <w:r w:rsidRPr="003E28FC">
        <w:rPr>
          <w:rFonts w:ascii="Times New Roman" w:hAnsi="Times New Roman" w:cs="Times New Roman"/>
          <w:color w:val="000000" w:themeColor="text1"/>
          <w:sz w:val="20"/>
          <w:szCs w:val="20"/>
        </w:rPr>
        <w:t>, </w:t>
      </w:r>
      <w:r w:rsidRPr="003E28FC">
        <w:rPr>
          <w:rFonts w:ascii="Times New Roman" w:hAnsi="Times New Roman" w:cs="Times New Roman"/>
          <w:i/>
          <w:iCs/>
          <w:color w:val="000000" w:themeColor="text1"/>
          <w:sz w:val="20"/>
          <w:szCs w:val="20"/>
        </w:rPr>
        <w:t>72</w:t>
      </w:r>
      <w:r w:rsidRPr="003E28FC">
        <w:rPr>
          <w:rFonts w:ascii="Times New Roman" w:hAnsi="Times New Roman" w:cs="Times New Roman"/>
          <w:color w:val="000000" w:themeColor="text1"/>
          <w:sz w:val="20"/>
          <w:szCs w:val="20"/>
        </w:rPr>
        <w:t>,</w:t>
      </w:r>
      <w:r w:rsidR="00156753" w:rsidRPr="003E28FC">
        <w:rPr>
          <w:rFonts w:ascii="Times New Roman" w:hAnsi="Times New Roman" w:cs="Times New Roman"/>
          <w:color w:val="000000" w:themeColor="text1"/>
          <w:sz w:val="20"/>
          <w:szCs w:val="20"/>
        </w:rPr>
        <w:t xml:space="preserve"> </w:t>
      </w:r>
      <w:r w:rsidRPr="003E28FC">
        <w:rPr>
          <w:rFonts w:ascii="Times New Roman" w:hAnsi="Times New Roman" w:cs="Times New Roman"/>
          <w:color w:val="000000" w:themeColor="text1"/>
          <w:sz w:val="20"/>
          <w:szCs w:val="20"/>
        </w:rPr>
        <w:t>1-9.</w:t>
      </w:r>
      <w:r w:rsidR="00FA2309" w:rsidRPr="003E28FC">
        <w:rPr>
          <w:rFonts w:ascii="Times New Roman" w:hAnsi="Times New Roman" w:cs="Times New Roman"/>
          <w:color w:val="000000" w:themeColor="text1"/>
          <w:sz w:val="20"/>
          <w:szCs w:val="20"/>
        </w:rPr>
        <w:t xml:space="preserve"> </w:t>
      </w:r>
      <w:hyperlink r:id="rId38" w:history="1">
        <w:r w:rsidR="00FA2309" w:rsidRPr="003E28FC">
          <w:rPr>
            <w:rStyle w:val="Hyperlink"/>
            <w:rFonts w:ascii="Times New Roman" w:hAnsi="Times New Roman" w:cs="Times New Roman"/>
            <w:sz w:val="20"/>
            <w:szCs w:val="20"/>
          </w:rPr>
          <w:t>https://eprints.cmfri.org.in/14280/</w:t>
        </w:r>
      </w:hyperlink>
      <w:r w:rsidR="00FA2309" w:rsidRPr="003E28FC">
        <w:rPr>
          <w:rFonts w:ascii="Times New Roman" w:hAnsi="Times New Roman" w:cs="Times New Roman"/>
          <w:color w:val="000000" w:themeColor="text1"/>
          <w:sz w:val="20"/>
          <w:szCs w:val="20"/>
        </w:rPr>
        <w:t xml:space="preserve">. </w:t>
      </w:r>
    </w:p>
    <w:p w14:paraId="2BC4A771"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sz w:val="20"/>
          <w:szCs w:val="20"/>
        </w:rPr>
      </w:pPr>
      <w:r w:rsidRPr="003E28FC">
        <w:rPr>
          <w:rFonts w:ascii="Times New Roman" w:hAnsi="Times New Roman" w:cs="Times New Roman"/>
          <w:color w:val="000000" w:themeColor="text1"/>
          <w:sz w:val="20"/>
          <w:szCs w:val="20"/>
        </w:rPr>
        <w:t>NFDB (2016). National Fisheries Development Board. Guidelines for Cage Culture in Inland Open Water Bodies of India</w:t>
      </w:r>
      <w:r w:rsidRPr="003E28FC">
        <w:rPr>
          <w:rFonts w:ascii="Times New Roman" w:hAnsi="Times New Roman" w:cs="Times New Roman"/>
          <w:sz w:val="20"/>
          <w:szCs w:val="20"/>
        </w:rPr>
        <w:t xml:space="preserve">. </w:t>
      </w:r>
      <w:hyperlink r:id="rId39" w:history="1">
        <w:r w:rsidRPr="003E28FC">
          <w:rPr>
            <w:rStyle w:val="Hyperlink"/>
            <w:rFonts w:ascii="Times New Roman" w:hAnsi="Times New Roman" w:cs="Times New Roman"/>
            <w:sz w:val="20"/>
            <w:szCs w:val="20"/>
          </w:rPr>
          <w:t>https://nfdb.gov.in/</w:t>
        </w:r>
      </w:hyperlink>
      <w:r w:rsidRPr="003E28FC">
        <w:rPr>
          <w:rFonts w:ascii="Times New Roman" w:hAnsi="Times New Roman" w:cs="Times New Roman"/>
          <w:sz w:val="20"/>
          <w:szCs w:val="20"/>
        </w:rPr>
        <w:t xml:space="preserve">. </w:t>
      </w:r>
    </w:p>
    <w:p w14:paraId="32586E1F"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000000" w:themeColor="text1"/>
          <w:sz w:val="20"/>
          <w:szCs w:val="20"/>
        </w:rPr>
      </w:pPr>
      <w:r w:rsidRPr="003E28FC">
        <w:rPr>
          <w:rFonts w:ascii="Times New Roman" w:hAnsi="Times New Roman" w:cs="Times New Roman"/>
          <w:color w:val="000000" w:themeColor="text1"/>
          <w:sz w:val="20"/>
          <w:szCs w:val="20"/>
        </w:rPr>
        <w:t>NFDB (2023). National Fisheries Development Board, Hyderabad, India</w:t>
      </w:r>
      <w:r w:rsidRPr="003E28FC">
        <w:rPr>
          <w:rFonts w:ascii="Times New Roman" w:hAnsi="Times New Roman" w:cs="Times New Roman"/>
          <w:sz w:val="20"/>
          <w:szCs w:val="20"/>
        </w:rPr>
        <w:t xml:space="preserve">. </w:t>
      </w:r>
      <w:hyperlink r:id="rId40" w:history="1">
        <w:r w:rsidRPr="003E28FC">
          <w:rPr>
            <w:rStyle w:val="Hyperlink"/>
            <w:rFonts w:ascii="Times New Roman" w:hAnsi="Times New Roman" w:cs="Times New Roman"/>
            <w:sz w:val="20"/>
            <w:szCs w:val="20"/>
          </w:rPr>
          <w:t>https://nfdb.gov.in/</w:t>
        </w:r>
      </w:hyperlink>
      <w:r w:rsidRPr="003E28FC">
        <w:rPr>
          <w:rFonts w:ascii="Times New Roman" w:hAnsi="Times New Roman" w:cs="Times New Roman"/>
          <w:sz w:val="20"/>
          <w:szCs w:val="20"/>
        </w:rPr>
        <w:t xml:space="preserve">. </w:t>
      </w:r>
      <w:r w:rsidRPr="003E28FC">
        <w:rPr>
          <w:rFonts w:ascii="Times New Roman" w:hAnsi="Times New Roman" w:cs="Times New Roman"/>
          <w:color w:val="000000" w:themeColor="text1"/>
          <w:sz w:val="20"/>
          <w:szCs w:val="20"/>
        </w:rPr>
        <w:t>Assessed on 11-01-2023.</w:t>
      </w:r>
    </w:p>
    <w:p w14:paraId="05856D76"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000000" w:themeColor="text1"/>
          <w:sz w:val="20"/>
          <w:szCs w:val="20"/>
        </w:rPr>
      </w:pPr>
      <w:r w:rsidRPr="003E28FC">
        <w:rPr>
          <w:rFonts w:ascii="Times New Roman" w:hAnsi="Times New Roman" w:cs="Times New Roman"/>
          <w:color w:val="000000" w:themeColor="text1"/>
          <w:sz w:val="20"/>
          <w:szCs w:val="20"/>
          <w:shd w:val="clear" w:color="auto" w:fill="FFFFFF"/>
        </w:rPr>
        <w:t>Obiero, K., Brian Mboya, J., Okoth Ouko, K. and Okech, D. (2022). Economic feasibility of fish cage culture in Lake Victoria, Kenya. </w:t>
      </w:r>
      <w:r w:rsidRPr="003E28FC">
        <w:rPr>
          <w:rFonts w:ascii="Times New Roman" w:hAnsi="Times New Roman" w:cs="Times New Roman"/>
          <w:i/>
          <w:iCs/>
          <w:color w:val="000000" w:themeColor="text1"/>
          <w:sz w:val="20"/>
          <w:szCs w:val="20"/>
          <w:shd w:val="clear" w:color="auto" w:fill="FFFFFF"/>
        </w:rPr>
        <w:t>Aquaculture, Fish and Fisheries</w:t>
      </w:r>
      <w:r w:rsidR="00156753" w:rsidRPr="003E28FC">
        <w:rPr>
          <w:rFonts w:ascii="Times New Roman" w:hAnsi="Times New Roman" w:cs="Times New Roman"/>
          <w:color w:val="000000" w:themeColor="text1"/>
          <w:sz w:val="20"/>
          <w:szCs w:val="20"/>
          <w:shd w:val="clear" w:color="auto" w:fill="FFFFFF"/>
        </w:rPr>
        <w:t>,</w:t>
      </w:r>
      <w:r w:rsidRPr="003E28FC">
        <w:rPr>
          <w:rFonts w:ascii="Times New Roman" w:hAnsi="Times New Roman" w:cs="Times New Roman"/>
          <w:color w:val="000000" w:themeColor="text1"/>
          <w:sz w:val="20"/>
          <w:szCs w:val="20"/>
        </w:rPr>
        <w:t xml:space="preserve"> 484–492.</w:t>
      </w:r>
      <w:r w:rsidR="00FA2309" w:rsidRPr="003E28FC">
        <w:rPr>
          <w:rFonts w:ascii="Times New Roman" w:hAnsi="Times New Roman" w:cs="Times New Roman"/>
          <w:color w:val="000000" w:themeColor="text1"/>
          <w:sz w:val="20"/>
          <w:szCs w:val="20"/>
        </w:rPr>
        <w:t xml:space="preserve"> </w:t>
      </w:r>
      <w:hyperlink r:id="rId41" w:history="1">
        <w:r w:rsidR="00FA2309" w:rsidRPr="003E28FC">
          <w:rPr>
            <w:rStyle w:val="Hyperlink"/>
            <w:rFonts w:ascii="Times New Roman" w:hAnsi="Times New Roman" w:cs="Times New Roman"/>
            <w:sz w:val="20"/>
            <w:szCs w:val="20"/>
          </w:rPr>
          <w:t>https://doi.org/10.1002/aff2.75</w:t>
        </w:r>
      </w:hyperlink>
      <w:r w:rsidR="00FA2309" w:rsidRPr="003E28FC">
        <w:rPr>
          <w:rFonts w:ascii="Times New Roman" w:hAnsi="Times New Roman" w:cs="Times New Roman"/>
          <w:color w:val="000000" w:themeColor="text1"/>
          <w:sz w:val="20"/>
          <w:szCs w:val="20"/>
        </w:rPr>
        <w:t xml:space="preserve">. </w:t>
      </w:r>
    </w:p>
    <w:p w14:paraId="6AC5054E"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sz w:val="20"/>
          <w:szCs w:val="20"/>
        </w:rPr>
      </w:pPr>
      <w:r w:rsidRPr="003E28FC">
        <w:rPr>
          <w:rFonts w:ascii="Times New Roman" w:hAnsi="Times New Roman" w:cs="Times New Roman"/>
          <w:color w:val="000000" w:themeColor="text1"/>
          <w:sz w:val="20"/>
          <w:szCs w:val="20"/>
        </w:rPr>
        <w:t xml:space="preserve">Tacon, A.G. and </w:t>
      </w:r>
      <w:proofErr w:type="spellStart"/>
      <w:r w:rsidRPr="003E28FC">
        <w:rPr>
          <w:rFonts w:ascii="Times New Roman" w:hAnsi="Times New Roman" w:cs="Times New Roman"/>
          <w:color w:val="000000" w:themeColor="text1"/>
          <w:sz w:val="20"/>
          <w:szCs w:val="20"/>
        </w:rPr>
        <w:t>Halwart</w:t>
      </w:r>
      <w:proofErr w:type="spellEnd"/>
      <w:r w:rsidRPr="003E28FC">
        <w:rPr>
          <w:rFonts w:ascii="Times New Roman" w:hAnsi="Times New Roman" w:cs="Times New Roman"/>
          <w:color w:val="000000" w:themeColor="text1"/>
          <w:sz w:val="20"/>
          <w:szCs w:val="20"/>
        </w:rPr>
        <w:t>, M. (2007). Cage aquaculture: a global overview. </w:t>
      </w:r>
      <w:r w:rsidRPr="003E28FC">
        <w:rPr>
          <w:rFonts w:ascii="Times New Roman" w:hAnsi="Times New Roman" w:cs="Times New Roman"/>
          <w:i/>
          <w:iCs/>
          <w:color w:val="000000" w:themeColor="text1"/>
          <w:sz w:val="20"/>
          <w:szCs w:val="20"/>
        </w:rPr>
        <w:t>FAO Fisheries Technical Paper</w:t>
      </w:r>
      <w:r w:rsidRPr="003E28FC">
        <w:rPr>
          <w:rFonts w:ascii="Times New Roman" w:hAnsi="Times New Roman" w:cs="Times New Roman"/>
          <w:color w:val="000000" w:themeColor="text1"/>
          <w:sz w:val="20"/>
          <w:szCs w:val="20"/>
        </w:rPr>
        <w:t>, </w:t>
      </w:r>
      <w:r w:rsidRPr="003E28FC">
        <w:rPr>
          <w:rFonts w:ascii="Times New Roman" w:hAnsi="Times New Roman" w:cs="Times New Roman"/>
          <w:i/>
          <w:iCs/>
          <w:color w:val="000000" w:themeColor="text1"/>
          <w:sz w:val="20"/>
          <w:szCs w:val="20"/>
        </w:rPr>
        <w:t>498</w:t>
      </w:r>
      <w:r w:rsidRPr="003E28FC">
        <w:rPr>
          <w:rFonts w:ascii="Times New Roman" w:hAnsi="Times New Roman" w:cs="Times New Roman"/>
          <w:color w:val="000000" w:themeColor="text1"/>
          <w:sz w:val="20"/>
          <w:szCs w:val="20"/>
        </w:rPr>
        <w:t>, 3</w:t>
      </w:r>
      <w:r w:rsidRPr="003E28FC">
        <w:rPr>
          <w:rFonts w:ascii="Times New Roman" w:hAnsi="Times New Roman" w:cs="Times New Roman"/>
          <w:sz w:val="20"/>
          <w:szCs w:val="20"/>
        </w:rPr>
        <w:t xml:space="preserve">. </w:t>
      </w:r>
      <w:hyperlink r:id="rId42" w:history="1">
        <w:r w:rsidRPr="003E28FC">
          <w:rPr>
            <w:rStyle w:val="Hyperlink"/>
            <w:rFonts w:ascii="Times New Roman" w:hAnsi="Times New Roman" w:cs="Times New Roman"/>
            <w:sz w:val="20"/>
            <w:szCs w:val="20"/>
          </w:rPr>
          <w:t>https://</w:t>
        </w:r>
      </w:hyperlink>
      <w:hyperlink r:id="rId43" w:history="1">
        <w:r w:rsidRPr="003E28FC">
          <w:rPr>
            <w:rStyle w:val="Hyperlink"/>
            <w:rFonts w:ascii="Times New Roman" w:hAnsi="Times New Roman" w:cs="Times New Roman"/>
            <w:sz w:val="20"/>
            <w:szCs w:val="20"/>
          </w:rPr>
          <w:t>www.fao.org/3/a1290e/a1290e00.pdf</w:t>
        </w:r>
      </w:hyperlink>
      <w:r w:rsidRPr="003E28FC">
        <w:rPr>
          <w:rFonts w:ascii="Times New Roman" w:hAnsi="Times New Roman" w:cs="Times New Roman"/>
          <w:sz w:val="20"/>
          <w:szCs w:val="20"/>
        </w:rPr>
        <w:t xml:space="preserve">. </w:t>
      </w:r>
    </w:p>
    <w:p w14:paraId="23697F71"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222222"/>
          <w:sz w:val="20"/>
          <w:szCs w:val="20"/>
          <w:shd w:val="clear" w:color="auto" w:fill="FFFFFF"/>
        </w:rPr>
      </w:pPr>
      <w:r w:rsidRPr="003E28FC">
        <w:rPr>
          <w:rFonts w:ascii="Times New Roman" w:hAnsi="Times New Roman" w:cs="Times New Roman"/>
          <w:color w:val="000000" w:themeColor="text1"/>
          <w:sz w:val="20"/>
          <w:szCs w:val="20"/>
          <w:shd w:val="clear" w:color="auto" w:fill="FFFFFF"/>
        </w:rPr>
        <w:t xml:space="preserve">Tourism, J.K. (2023). Jammu and Kashmir. Manasbal Lake. </w:t>
      </w:r>
      <w:hyperlink r:id="rId44" w:history="1">
        <w:r w:rsidRPr="003E28FC">
          <w:rPr>
            <w:rStyle w:val="Hyperlink"/>
            <w:rFonts w:ascii="Times New Roman" w:hAnsi="Times New Roman" w:cs="Times New Roman"/>
            <w:sz w:val="20"/>
            <w:szCs w:val="20"/>
            <w:shd w:val="clear" w:color="auto" w:fill="FFFFFF"/>
          </w:rPr>
          <w:t>http://kashmir-tourism.com/jammu-kashmir-lakes-mansabal-lake.htm</w:t>
        </w:r>
      </w:hyperlink>
      <w:r w:rsidRPr="003E28FC">
        <w:rPr>
          <w:rFonts w:ascii="Times New Roman" w:hAnsi="Times New Roman" w:cs="Times New Roman"/>
          <w:color w:val="222222"/>
          <w:sz w:val="20"/>
          <w:szCs w:val="20"/>
          <w:shd w:val="clear" w:color="auto" w:fill="FFFFFF"/>
        </w:rPr>
        <w:t xml:space="preserve">. </w:t>
      </w:r>
      <w:r w:rsidR="00156753" w:rsidRPr="003E28FC">
        <w:rPr>
          <w:rFonts w:ascii="Times New Roman" w:hAnsi="Times New Roman" w:cs="Times New Roman"/>
          <w:color w:val="000000" w:themeColor="text1"/>
          <w:sz w:val="20"/>
          <w:szCs w:val="20"/>
          <w:shd w:val="clear" w:color="auto" w:fill="FFFFFF"/>
        </w:rPr>
        <w:t>Acc</w:t>
      </w:r>
      <w:r w:rsidRPr="003E28FC">
        <w:rPr>
          <w:rFonts w:ascii="Times New Roman" w:hAnsi="Times New Roman" w:cs="Times New Roman"/>
          <w:color w:val="000000" w:themeColor="text1"/>
          <w:sz w:val="20"/>
          <w:szCs w:val="20"/>
          <w:shd w:val="clear" w:color="auto" w:fill="FFFFFF"/>
        </w:rPr>
        <w:t xml:space="preserve">essed on 25-01-2023. </w:t>
      </w:r>
    </w:p>
    <w:p w14:paraId="214AE081"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000000" w:themeColor="text1"/>
          <w:sz w:val="20"/>
          <w:szCs w:val="20"/>
          <w:shd w:val="clear" w:color="auto" w:fill="FFFFFF"/>
        </w:rPr>
      </w:pPr>
      <w:r w:rsidRPr="003E28FC">
        <w:rPr>
          <w:rFonts w:ascii="Times New Roman" w:hAnsi="Times New Roman" w:cs="Times New Roman"/>
          <w:color w:val="000000" w:themeColor="text1"/>
          <w:sz w:val="20"/>
          <w:szCs w:val="20"/>
          <w:shd w:val="clear" w:color="auto" w:fill="FFFFFF"/>
        </w:rPr>
        <w:t>Upadhyay, A., Swain, H.S., Das, B.K., Ramteke, M.H., Kumar, V., Krishna, G., Mohanty, B.P., Chadha, N.K. and Das, A.K. (2022). Stocking density matters in open water cage culture: Influence on growth, digestive enzymes, haemato-</w:t>
      </w:r>
      <w:proofErr w:type="spellStart"/>
      <w:r w:rsidRPr="003E28FC">
        <w:rPr>
          <w:rFonts w:ascii="Times New Roman" w:hAnsi="Times New Roman" w:cs="Times New Roman"/>
          <w:color w:val="000000" w:themeColor="text1"/>
          <w:sz w:val="20"/>
          <w:szCs w:val="20"/>
          <w:shd w:val="clear" w:color="auto" w:fill="FFFFFF"/>
        </w:rPr>
        <w:t>immuno</w:t>
      </w:r>
      <w:proofErr w:type="spellEnd"/>
      <w:r w:rsidRPr="003E28FC">
        <w:rPr>
          <w:rFonts w:ascii="Times New Roman" w:hAnsi="Times New Roman" w:cs="Times New Roman"/>
          <w:color w:val="000000" w:themeColor="text1"/>
          <w:sz w:val="20"/>
          <w:szCs w:val="20"/>
          <w:shd w:val="clear" w:color="auto" w:fill="FFFFFF"/>
        </w:rPr>
        <w:t xml:space="preserve"> and stress responses of </w:t>
      </w:r>
      <w:r w:rsidRPr="003E28FC">
        <w:rPr>
          <w:rFonts w:ascii="Times New Roman" w:hAnsi="Times New Roman" w:cs="Times New Roman"/>
          <w:i/>
          <w:color w:val="000000" w:themeColor="text1"/>
          <w:sz w:val="20"/>
          <w:szCs w:val="20"/>
          <w:shd w:val="clear" w:color="auto" w:fill="FFFFFF"/>
        </w:rPr>
        <w:t xml:space="preserve">Puntius </w:t>
      </w:r>
      <w:proofErr w:type="spellStart"/>
      <w:r w:rsidRPr="003E28FC">
        <w:rPr>
          <w:rFonts w:ascii="Times New Roman" w:hAnsi="Times New Roman" w:cs="Times New Roman"/>
          <w:i/>
          <w:color w:val="000000" w:themeColor="text1"/>
          <w:sz w:val="20"/>
          <w:szCs w:val="20"/>
          <w:shd w:val="clear" w:color="auto" w:fill="FFFFFF"/>
        </w:rPr>
        <w:t>sarana</w:t>
      </w:r>
      <w:proofErr w:type="spellEnd"/>
      <w:r w:rsidRPr="003E28FC">
        <w:rPr>
          <w:rFonts w:ascii="Times New Roman" w:hAnsi="Times New Roman" w:cs="Times New Roman"/>
          <w:color w:val="000000" w:themeColor="text1"/>
          <w:sz w:val="20"/>
          <w:szCs w:val="20"/>
          <w:shd w:val="clear" w:color="auto" w:fill="FFFFFF"/>
        </w:rPr>
        <w:t xml:space="preserve"> (Ham, 1822). </w:t>
      </w:r>
      <w:r w:rsidRPr="003E28FC">
        <w:rPr>
          <w:rFonts w:ascii="Times New Roman" w:hAnsi="Times New Roman" w:cs="Times New Roman"/>
          <w:i/>
          <w:iCs/>
          <w:color w:val="000000" w:themeColor="text1"/>
          <w:sz w:val="20"/>
          <w:szCs w:val="20"/>
          <w:shd w:val="clear" w:color="auto" w:fill="FFFFFF"/>
        </w:rPr>
        <w:t>Aquaculture</w:t>
      </w:r>
      <w:r w:rsidRPr="003E28FC">
        <w:rPr>
          <w:rFonts w:ascii="Times New Roman" w:hAnsi="Times New Roman" w:cs="Times New Roman"/>
          <w:color w:val="000000" w:themeColor="text1"/>
          <w:sz w:val="20"/>
          <w:szCs w:val="20"/>
          <w:shd w:val="clear" w:color="auto" w:fill="FFFFFF"/>
        </w:rPr>
        <w:t>, </w:t>
      </w:r>
      <w:r w:rsidRPr="003E28FC">
        <w:rPr>
          <w:rFonts w:ascii="Times New Roman" w:hAnsi="Times New Roman" w:cs="Times New Roman"/>
          <w:i/>
          <w:iCs/>
          <w:color w:val="000000" w:themeColor="text1"/>
          <w:sz w:val="20"/>
          <w:szCs w:val="20"/>
          <w:shd w:val="clear" w:color="auto" w:fill="FFFFFF"/>
        </w:rPr>
        <w:t>547</w:t>
      </w:r>
      <w:r w:rsidRPr="003E28FC">
        <w:rPr>
          <w:rFonts w:ascii="Times New Roman" w:hAnsi="Times New Roman" w:cs="Times New Roman"/>
          <w:color w:val="000000" w:themeColor="text1"/>
          <w:sz w:val="20"/>
          <w:szCs w:val="20"/>
          <w:shd w:val="clear" w:color="auto" w:fill="FFFFFF"/>
        </w:rPr>
        <w:t xml:space="preserve">, </w:t>
      </w:r>
      <w:r w:rsidR="00B938CE" w:rsidRPr="003E28FC">
        <w:rPr>
          <w:rFonts w:ascii="Times New Roman" w:hAnsi="Times New Roman" w:cs="Times New Roman"/>
          <w:color w:val="000000" w:themeColor="text1"/>
          <w:sz w:val="20"/>
          <w:szCs w:val="20"/>
          <w:shd w:val="clear" w:color="auto" w:fill="FFFFFF"/>
        </w:rPr>
        <w:t>1-14</w:t>
      </w:r>
      <w:r w:rsidRPr="003E28FC">
        <w:rPr>
          <w:rFonts w:ascii="Times New Roman" w:hAnsi="Times New Roman" w:cs="Times New Roman"/>
          <w:color w:val="000000" w:themeColor="text1"/>
          <w:sz w:val="20"/>
          <w:szCs w:val="20"/>
          <w:shd w:val="clear" w:color="auto" w:fill="FFFFFF"/>
        </w:rPr>
        <w:t>.</w:t>
      </w:r>
      <w:r w:rsidR="00B438DA" w:rsidRPr="003E28FC">
        <w:rPr>
          <w:rFonts w:ascii="Times New Roman" w:hAnsi="Times New Roman" w:cs="Times New Roman"/>
          <w:color w:val="000000" w:themeColor="text1"/>
          <w:sz w:val="20"/>
          <w:szCs w:val="20"/>
          <w:shd w:val="clear" w:color="auto" w:fill="FFFFFF"/>
        </w:rPr>
        <w:t xml:space="preserve"> </w:t>
      </w:r>
      <w:hyperlink r:id="rId45" w:history="1">
        <w:r w:rsidR="00B438DA" w:rsidRPr="003E28FC">
          <w:rPr>
            <w:rStyle w:val="Hyperlink"/>
            <w:rFonts w:ascii="Times New Roman" w:hAnsi="Times New Roman" w:cs="Times New Roman"/>
            <w:sz w:val="20"/>
            <w:szCs w:val="20"/>
            <w:shd w:val="clear" w:color="auto" w:fill="FFFFFF"/>
          </w:rPr>
          <w:t>http://krishi.icar.gov.in/jspui/handle/123456789/73043</w:t>
        </w:r>
      </w:hyperlink>
      <w:r w:rsidR="00B438DA" w:rsidRPr="003E28FC">
        <w:rPr>
          <w:rFonts w:ascii="Times New Roman" w:hAnsi="Times New Roman" w:cs="Times New Roman"/>
          <w:color w:val="000000" w:themeColor="text1"/>
          <w:sz w:val="20"/>
          <w:szCs w:val="20"/>
          <w:shd w:val="clear" w:color="auto" w:fill="FFFFFF"/>
        </w:rPr>
        <w:t xml:space="preserve">. </w:t>
      </w:r>
    </w:p>
    <w:p w14:paraId="50936F28"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sz w:val="20"/>
          <w:szCs w:val="20"/>
        </w:rPr>
      </w:pPr>
      <w:r w:rsidRPr="003E28FC">
        <w:rPr>
          <w:rFonts w:ascii="Times New Roman" w:hAnsi="Times New Roman" w:cs="Times New Roman"/>
          <w:color w:val="000000" w:themeColor="text1"/>
          <w:sz w:val="20"/>
          <w:szCs w:val="20"/>
        </w:rPr>
        <w:t>Venkatachalam, S., Kandasamy, K., Krishnamoorthy, I., &amp; Narayanasamy, R. (2018). Survival and growth of fish (</w:t>
      </w:r>
      <w:r w:rsidRPr="003E28FC">
        <w:rPr>
          <w:rFonts w:ascii="Times New Roman" w:hAnsi="Times New Roman" w:cs="Times New Roman"/>
          <w:i/>
          <w:color w:val="000000" w:themeColor="text1"/>
          <w:sz w:val="20"/>
          <w:szCs w:val="20"/>
        </w:rPr>
        <w:t>Lates calcarifer</w:t>
      </w:r>
      <w:r w:rsidRPr="003E28FC">
        <w:rPr>
          <w:rFonts w:ascii="Times New Roman" w:hAnsi="Times New Roman" w:cs="Times New Roman"/>
          <w:color w:val="000000" w:themeColor="text1"/>
          <w:sz w:val="20"/>
          <w:szCs w:val="20"/>
        </w:rPr>
        <w:t>) under integrated mangrove-aquaculture and open-aquaculture systems. </w:t>
      </w:r>
      <w:r w:rsidR="0024238A" w:rsidRPr="003E28FC">
        <w:rPr>
          <w:rFonts w:ascii="Times New Roman" w:hAnsi="Times New Roman" w:cs="Times New Roman"/>
          <w:i/>
          <w:iCs/>
          <w:color w:val="000000" w:themeColor="text1"/>
          <w:sz w:val="20"/>
          <w:szCs w:val="20"/>
        </w:rPr>
        <w:t>Aquaculture R</w:t>
      </w:r>
      <w:r w:rsidRPr="003E28FC">
        <w:rPr>
          <w:rFonts w:ascii="Times New Roman" w:hAnsi="Times New Roman" w:cs="Times New Roman"/>
          <w:i/>
          <w:iCs/>
          <w:color w:val="000000" w:themeColor="text1"/>
          <w:sz w:val="20"/>
          <w:szCs w:val="20"/>
        </w:rPr>
        <w:t>eports</w:t>
      </w:r>
      <w:r w:rsidRPr="003E28FC">
        <w:rPr>
          <w:rFonts w:ascii="Times New Roman" w:hAnsi="Times New Roman" w:cs="Times New Roman"/>
          <w:color w:val="000000" w:themeColor="text1"/>
          <w:sz w:val="20"/>
          <w:szCs w:val="20"/>
        </w:rPr>
        <w:t>, </w:t>
      </w:r>
      <w:r w:rsidRPr="003E28FC">
        <w:rPr>
          <w:rFonts w:ascii="Times New Roman" w:hAnsi="Times New Roman" w:cs="Times New Roman"/>
          <w:i/>
          <w:iCs/>
          <w:color w:val="000000" w:themeColor="text1"/>
          <w:sz w:val="20"/>
          <w:szCs w:val="20"/>
        </w:rPr>
        <w:t>9</w:t>
      </w:r>
      <w:r w:rsidRPr="003E28FC">
        <w:rPr>
          <w:rFonts w:ascii="Times New Roman" w:hAnsi="Times New Roman" w:cs="Times New Roman"/>
          <w:color w:val="000000" w:themeColor="text1"/>
          <w:sz w:val="20"/>
          <w:szCs w:val="20"/>
        </w:rPr>
        <w:t>, 18-24.</w:t>
      </w:r>
      <w:r w:rsidRPr="003E28FC">
        <w:rPr>
          <w:color w:val="000000" w:themeColor="text1"/>
        </w:rPr>
        <w:t xml:space="preserve"> </w:t>
      </w:r>
      <w:hyperlink r:id="rId46" w:history="1">
        <w:r w:rsidRPr="003E28FC">
          <w:rPr>
            <w:rStyle w:val="Hyperlink"/>
            <w:rFonts w:ascii="Times New Roman" w:hAnsi="Times New Roman" w:cs="Times New Roman"/>
            <w:sz w:val="20"/>
            <w:szCs w:val="20"/>
          </w:rPr>
          <w:t>https://doi.org/10.1016/j.aqrep.2017.11.004</w:t>
        </w:r>
      </w:hyperlink>
      <w:r w:rsidRPr="003E28FC">
        <w:rPr>
          <w:rFonts w:ascii="Times New Roman" w:hAnsi="Times New Roman" w:cs="Times New Roman"/>
          <w:sz w:val="20"/>
          <w:szCs w:val="20"/>
        </w:rPr>
        <w:t xml:space="preserve">. </w:t>
      </w:r>
    </w:p>
    <w:p w14:paraId="431C3782" w14:textId="77777777" w:rsidR="002D30CC" w:rsidRPr="003E28FC" w:rsidRDefault="002D30CC" w:rsidP="003E28FC">
      <w:pPr>
        <w:pStyle w:val="ListParagraph"/>
        <w:numPr>
          <w:ilvl w:val="0"/>
          <w:numId w:val="7"/>
        </w:numPr>
        <w:spacing w:line="360" w:lineRule="auto"/>
        <w:jc w:val="both"/>
        <w:rPr>
          <w:rFonts w:ascii="Times New Roman" w:hAnsi="Times New Roman" w:cs="Times New Roman"/>
          <w:sz w:val="20"/>
          <w:szCs w:val="20"/>
        </w:rPr>
      </w:pPr>
      <w:r w:rsidRPr="003E28FC">
        <w:rPr>
          <w:rFonts w:ascii="Times New Roman" w:hAnsi="Times New Roman" w:cs="Times New Roman"/>
          <w:sz w:val="20"/>
          <w:szCs w:val="20"/>
        </w:rPr>
        <w:t>Wang, W., Liu, C., Cui, Q., Xiang, C., Li, S., Huang, J., ... &amp; Wan, Y. (2024). Spatial and temporal variation of microbial populations and microbial metabolic potential in a tropical marine cage-culture sediment system. </w:t>
      </w:r>
      <w:r w:rsidRPr="003E28FC">
        <w:rPr>
          <w:rFonts w:ascii="Times New Roman" w:hAnsi="Times New Roman" w:cs="Times New Roman"/>
          <w:i/>
          <w:iCs/>
          <w:sz w:val="20"/>
          <w:szCs w:val="20"/>
        </w:rPr>
        <w:t>Ecological Indicators</w:t>
      </w:r>
      <w:r w:rsidRPr="003E28FC">
        <w:rPr>
          <w:rFonts w:ascii="Times New Roman" w:hAnsi="Times New Roman" w:cs="Times New Roman"/>
          <w:sz w:val="20"/>
          <w:szCs w:val="20"/>
        </w:rPr>
        <w:t>, </w:t>
      </w:r>
      <w:r w:rsidRPr="003E28FC">
        <w:rPr>
          <w:rFonts w:ascii="Times New Roman" w:hAnsi="Times New Roman" w:cs="Times New Roman"/>
          <w:i/>
          <w:iCs/>
          <w:sz w:val="20"/>
          <w:szCs w:val="20"/>
        </w:rPr>
        <w:t>158</w:t>
      </w:r>
      <w:r w:rsidRPr="003E28FC">
        <w:rPr>
          <w:rFonts w:ascii="Times New Roman" w:hAnsi="Times New Roman" w:cs="Times New Roman"/>
          <w:sz w:val="20"/>
          <w:szCs w:val="20"/>
        </w:rPr>
        <w:t>, 1</w:t>
      </w:r>
      <w:r w:rsidR="00A950CC" w:rsidRPr="003E28FC">
        <w:rPr>
          <w:rFonts w:ascii="Times New Roman" w:hAnsi="Times New Roman" w:cs="Times New Roman"/>
          <w:sz w:val="20"/>
          <w:szCs w:val="20"/>
        </w:rPr>
        <w:t>-16</w:t>
      </w:r>
      <w:r w:rsidRPr="003E28FC">
        <w:rPr>
          <w:rFonts w:ascii="Times New Roman" w:hAnsi="Times New Roman" w:cs="Times New Roman"/>
          <w:sz w:val="20"/>
          <w:szCs w:val="20"/>
        </w:rPr>
        <w:t>.</w:t>
      </w:r>
      <w:r w:rsidRPr="002D30CC">
        <w:t xml:space="preserve"> </w:t>
      </w:r>
      <w:hyperlink r:id="rId47" w:history="1">
        <w:r w:rsidRPr="003E28FC">
          <w:rPr>
            <w:rStyle w:val="Hyperlink"/>
            <w:rFonts w:ascii="Times New Roman" w:hAnsi="Times New Roman" w:cs="Times New Roman"/>
            <w:sz w:val="20"/>
            <w:szCs w:val="20"/>
          </w:rPr>
          <w:t>https://doi.org/10.1016/j.ecolind.2023.111402</w:t>
        </w:r>
      </w:hyperlink>
      <w:r w:rsidRPr="003E28FC">
        <w:rPr>
          <w:rFonts w:ascii="Times New Roman" w:hAnsi="Times New Roman" w:cs="Times New Roman"/>
          <w:sz w:val="20"/>
          <w:szCs w:val="20"/>
        </w:rPr>
        <w:t xml:space="preserve">. </w:t>
      </w:r>
    </w:p>
    <w:p w14:paraId="2C8A583C"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sz w:val="20"/>
          <w:szCs w:val="20"/>
        </w:rPr>
      </w:pPr>
      <w:r w:rsidRPr="003E28FC">
        <w:rPr>
          <w:rFonts w:ascii="Times New Roman" w:hAnsi="Times New Roman" w:cs="Times New Roman"/>
          <w:color w:val="000000" w:themeColor="text1"/>
          <w:sz w:val="20"/>
          <w:szCs w:val="20"/>
        </w:rPr>
        <w:t xml:space="preserve">Zaman, M. F. U., Li, R., &amp; Cho, S. H. (2022). Evaluation of meat meal as a replacer for fish meal in diet on growth performance, feed utilization, chemical composition, </w:t>
      </w:r>
      <w:proofErr w:type="spellStart"/>
      <w:r w:rsidRPr="003E28FC">
        <w:rPr>
          <w:rFonts w:ascii="Times New Roman" w:hAnsi="Times New Roman" w:cs="Times New Roman"/>
          <w:color w:val="000000" w:themeColor="text1"/>
          <w:sz w:val="20"/>
          <w:szCs w:val="20"/>
        </w:rPr>
        <w:t>hematology</w:t>
      </w:r>
      <w:proofErr w:type="spellEnd"/>
      <w:r w:rsidRPr="003E28FC">
        <w:rPr>
          <w:rFonts w:ascii="Times New Roman" w:hAnsi="Times New Roman" w:cs="Times New Roman"/>
          <w:color w:val="000000" w:themeColor="text1"/>
          <w:sz w:val="20"/>
          <w:szCs w:val="20"/>
        </w:rPr>
        <w:t>, and innate immune responses of olive flounder (</w:t>
      </w:r>
      <w:proofErr w:type="spellStart"/>
      <w:r w:rsidRPr="003E28FC">
        <w:rPr>
          <w:rFonts w:ascii="Times New Roman" w:hAnsi="Times New Roman" w:cs="Times New Roman"/>
          <w:color w:val="000000" w:themeColor="text1"/>
          <w:sz w:val="20"/>
          <w:szCs w:val="20"/>
        </w:rPr>
        <w:t>Paralichthys</w:t>
      </w:r>
      <w:proofErr w:type="spellEnd"/>
      <w:r w:rsidRPr="003E28FC">
        <w:rPr>
          <w:rFonts w:ascii="Times New Roman" w:hAnsi="Times New Roman" w:cs="Times New Roman"/>
          <w:color w:val="000000" w:themeColor="text1"/>
          <w:sz w:val="20"/>
          <w:szCs w:val="20"/>
        </w:rPr>
        <w:t xml:space="preserve"> olivaceus). </w:t>
      </w:r>
      <w:r w:rsidRPr="003E28FC">
        <w:rPr>
          <w:rFonts w:ascii="Times New Roman" w:hAnsi="Times New Roman" w:cs="Times New Roman"/>
          <w:i/>
          <w:iCs/>
          <w:color w:val="000000" w:themeColor="text1"/>
          <w:sz w:val="20"/>
          <w:szCs w:val="20"/>
        </w:rPr>
        <w:t>Fishes</w:t>
      </w:r>
      <w:r w:rsidRPr="003E28FC">
        <w:rPr>
          <w:rFonts w:ascii="Times New Roman" w:hAnsi="Times New Roman" w:cs="Times New Roman"/>
          <w:color w:val="000000" w:themeColor="text1"/>
          <w:sz w:val="20"/>
          <w:szCs w:val="20"/>
        </w:rPr>
        <w:t>, </w:t>
      </w:r>
      <w:r w:rsidRPr="003E28FC">
        <w:rPr>
          <w:rFonts w:ascii="Times New Roman" w:hAnsi="Times New Roman" w:cs="Times New Roman"/>
          <w:i/>
          <w:iCs/>
          <w:color w:val="000000" w:themeColor="text1"/>
          <w:sz w:val="20"/>
          <w:szCs w:val="20"/>
        </w:rPr>
        <w:t>7</w:t>
      </w:r>
      <w:r w:rsidRPr="003E28FC">
        <w:rPr>
          <w:rFonts w:ascii="Times New Roman" w:hAnsi="Times New Roman" w:cs="Times New Roman"/>
          <w:color w:val="000000" w:themeColor="text1"/>
          <w:sz w:val="20"/>
          <w:szCs w:val="20"/>
        </w:rPr>
        <w:t xml:space="preserve">(6), 343. </w:t>
      </w:r>
      <w:hyperlink r:id="rId48" w:history="1">
        <w:r w:rsidRPr="003E28FC">
          <w:rPr>
            <w:rStyle w:val="Hyperlink"/>
            <w:rFonts w:ascii="Times New Roman" w:hAnsi="Times New Roman" w:cs="Times New Roman"/>
            <w:sz w:val="20"/>
            <w:szCs w:val="20"/>
          </w:rPr>
          <w:t>https://doi.org/10.3390/fishes7060343</w:t>
        </w:r>
      </w:hyperlink>
      <w:r w:rsidRPr="003E28FC">
        <w:rPr>
          <w:rFonts w:ascii="Times New Roman" w:hAnsi="Times New Roman" w:cs="Times New Roman"/>
          <w:sz w:val="20"/>
          <w:szCs w:val="20"/>
        </w:rPr>
        <w:t xml:space="preserve">. </w:t>
      </w:r>
    </w:p>
    <w:sectPr w:rsidR="00DD22CD" w:rsidRPr="003E28FC">
      <w:headerReference w:type="even" r:id="rId49"/>
      <w:headerReference w:type="default" r:id="rId50"/>
      <w:footerReference w:type="even" r:id="rId51"/>
      <w:footerReference w:type="default" r:id="rId52"/>
      <w:headerReference w:type="first" r:id="rId53"/>
      <w:footerReference w:type="first" r:id="rId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76111" w14:textId="77777777" w:rsidR="003C7A7D" w:rsidRDefault="003C7A7D" w:rsidP="007A3594">
      <w:pPr>
        <w:spacing w:after="0" w:line="240" w:lineRule="auto"/>
      </w:pPr>
      <w:r>
        <w:separator/>
      </w:r>
    </w:p>
  </w:endnote>
  <w:endnote w:type="continuationSeparator" w:id="0">
    <w:p w14:paraId="07C13A8E" w14:textId="77777777" w:rsidR="003C7A7D" w:rsidRDefault="003C7A7D" w:rsidP="007A3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9194E" w14:textId="77777777" w:rsidR="007A3594" w:rsidRDefault="007A35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0E974" w14:textId="77777777" w:rsidR="007A3594" w:rsidRDefault="007A35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3AD2F" w14:textId="77777777" w:rsidR="007A3594" w:rsidRDefault="007A3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A4DCF" w14:textId="77777777" w:rsidR="003C7A7D" w:rsidRDefault="003C7A7D" w:rsidP="007A3594">
      <w:pPr>
        <w:spacing w:after="0" w:line="240" w:lineRule="auto"/>
      </w:pPr>
      <w:r>
        <w:separator/>
      </w:r>
    </w:p>
  </w:footnote>
  <w:footnote w:type="continuationSeparator" w:id="0">
    <w:p w14:paraId="7B75B6AE" w14:textId="77777777" w:rsidR="003C7A7D" w:rsidRDefault="003C7A7D" w:rsidP="007A35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40E1A" w14:textId="64E5184B" w:rsidR="007A3594" w:rsidRDefault="007A3594">
    <w:pPr>
      <w:pStyle w:val="Header"/>
    </w:pPr>
    <w:r>
      <w:rPr>
        <w:noProof/>
      </w:rPr>
      <w:pict w14:anchorId="4C9E02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773985"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65D4D" w14:textId="038F3FB9" w:rsidR="007A3594" w:rsidRDefault="007A3594">
    <w:pPr>
      <w:pStyle w:val="Header"/>
    </w:pPr>
    <w:r>
      <w:rPr>
        <w:noProof/>
      </w:rPr>
      <w:pict w14:anchorId="20E16F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773986"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4AA87" w14:textId="5116F0EC" w:rsidR="007A3594" w:rsidRDefault="007A3594">
    <w:pPr>
      <w:pStyle w:val="Header"/>
    </w:pPr>
    <w:r>
      <w:rPr>
        <w:noProof/>
      </w:rPr>
      <w:pict w14:anchorId="66AB34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773984"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C3C3B"/>
    <w:multiLevelType w:val="hybridMultilevel"/>
    <w:tmpl w:val="BA36596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0DE376A"/>
    <w:multiLevelType w:val="hybridMultilevel"/>
    <w:tmpl w:val="22A2E316"/>
    <w:lvl w:ilvl="0" w:tplc="4009000F">
      <w:start w:val="1"/>
      <w:numFmt w:val="decimal"/>
      <w:lvlText w:val="%1."/>
      <w:lvlJc w:val="left"/>
      <w:pPr>
        <w:ind w:left="709" w:hanging="360"/>
      </w:pPr>
    </w:lvl>
    <w:lvl w:ilvl="1" w:tplc="40090019" w:tentative="1">
      <w:start w:val="1"/>
      <w:numFmt w:val="lowerLetter"/>
      <w:lvlText w:val="%2."/>
      <w:lvlJc w:val="left"/>
      <w:pPr>
        <w:ind w:left="1429" w:hanging="360"/>
      </w:pPr>
    </w:lvl>
    <w:lvl w:ilvl="2" w:tplc="4009001B" w:tentative="1">
      <w:start w:val="1"/>
      <w:numFmt w:val="lowerRoman"/>
      <w:lvlText w:val="%3."/>
      <w:lvlJc w:val="right"/>
      <w:pPr>
        <w:ind w:left="2149" w:hanging="180"/>
      </w:pPr>
    </w:lvl>
    <w:lvl w:ilvl="3" w:tplc="4009000F" w:tentative="1">
      <w:start w:val="1"/>
      <w:numFmt w:val="decimal"/>
      <w:lvlText w:val="%4."/>
      <w:lvlJc w:val="left"/>
      <w:pPr>
        <w:ind w:left="2869" w:hanging="360"/>
      </w:pPr>
    </w:lvl>
    <w:lvl w:ilvl="4" w:tplc="40090019" w:tentative="1">
      <w:start w:val="1"/>
      <w:numFmt w:val="lowerLetter"/>
      <w:lvlText w:val="%5."/>
      <w:lvlJc w:val="left"/>
      <w:pPr>
        <w:ind w:left="3589" w:hanging="360"/>
      </w:pPr>
    </w:lvl>
    <w:lvl w:ilvl="5" w:tplc="4009001B" w:tentative="1">
      <w:start w:val="1"/>
      <w:numFmt w:val="lowerRoman"/>
      <w:lvlText w:val="%6."/>
      <w:lvlJc w:val="right"/>
      <w:pPr>
        <w:ind w:left="4309" w:hanging="180"/>
      </w:pPr>
    </w:lvl>
    <w:lvl w:ilvl="6" w:tplc="4009000F" w:tentative="1">
      <w:start w:val="1"/>
      <w:numFmt w:val="decimal"/>
      <w:lvlText w:val="%7."/>
      <w:lvlJc w:val="left"/>
      <w:pPr>
        <w:ind w:left="5029" w:hanging="360"/>
      </w:pPr>
    </w:lvl>
    <w:lvl w:ilvl="7" w:tplc="40090019" w:tentative="1">
      <w:start w:val="1"/>
      <w:numFmt w:val="lowerLetter"/>
      <w:lvlText w:val="%8."/>
      <w:lvlJc w:val="left"/>
      <w:pPr>
        <w:ind w:left="5749" w:hanging="360"/>
      </w:pPr>
    </w:lvl>
    <w:lvl w:ilvl="8" w:tplc="4009001B" w:tentative="1">
      <w:start w:val="1"/>
      <w:numFmt w:val="lowerRoman"/>
      <w:lvlText w:val="%9."/>
      <w:lvlJc w:val="right"/>
      <w:pPr>
        <w:ind w:left="6469" w:hanging="180"/>
      </w:pPr>
    </w:lvl>
  </w:abstractNum>
  <w:abstractNum w:abstractNumId="2" w15:restartNumberingAfterBreak="0">
    <w:nsid w:val="149830D4"/>
    <w:multiLevelType w:val="hybridMultilevel"/>
    <w:tmpl w:val="65CA76E2"/>
    <w:lvl w:ilvl="0" w:tplc="3772A054">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08D54C2"/>
    <w:multiLevelType w:val="hybridMultilevel"/>
    <w:tmpl w:val="DE20FE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685684F"/>
    <w:multiLevelType w:val="hybridMultilevel"/>
    <w:tmpl w:val="1DBE6E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7690FE3"/>
    <w:multiLevelType w:val="hybridMultilevel"/>
    <w:tmpl w:val="4A6CA5CA"/>
    <w:lvl w:ilvl="0" w:tplc="CC5468FC">
      <w:start w:val="1"/>
      <w:numFmt w:val="bullet"/>
      <w:lvlText w:val="•"/>
      <w:lvlJc w:val="left"/>
      <w:pPr>
        <w:tabs>
          <w:tab w:val="num" w:pos="720"/>
        </w:tabs>
        <w:ind w:left="720" w:hanging="360"/>
      </w:pPr>
      <w:rPr>
        <w:rFonts w:ascii="Arial" w:hAnsi="Arial" w:hint="default"/>
      </w:rPr>
    </w:lvl>
    <w:lvl w:ilvl="1" w:tplc="286AD7FE" w:tentative="1">
      <w:start w:val="1"/>
      <w:numFmt w:val="bullet"/>
      <w:lvlText w:val="•"/>
      <w:lvlJc w:val="left"/>
      <w:pPr>
        <w:tabs>
          <w:tab w:val="num" w:pos="1440"/>
        </w:tabs>
        <w:ind w:left="1440" w:hanging="360"/>
      </w:pPr>
      <w:rPr>
        <w:rFonts w:ascii="Arial" w:hAnsi="Arial" w:hint="default"/>
      </w:rPr>
    </w:lvl>
    <w:lvl w:ilvl="2" w:tplc="D4683EAE" w:tentative="1">
      <w:start w:val="1"/>
      <w:numFmt w:val="bullet"/>
      <w:lvlText w:val="•"/>
      <w:lvlJc w:val="left"/>
      <w:pPr>
        <w:tabs>
          <w:tab w:val="num" w:pos="2160"/>
        </w:tabs>
        <w:ind w:left="2160" w:hanging="360"/>
      </w:pPr>
      <w:rPr>
        <w:rFonts w:ascii="Arial" w:hAnsi="Arial" w:hint="default"/>
      </w:rPr>
    </w:lvl>
    <w:lvl w:ilvl="3" w:tplc="2AAC8AB0" w:tentative="1">
      <w:start w:val="1"/>
      <w:numFmt w:val="bullet"/>
      <w:lvlText w:val="•"/>
      <w:lvlJc w:val="left"/>
      <w:pPr>
        <w:tabs>
          <w:tab w:val="num" w:pos="2880"/>
        </w:tabs>
        <w:ind w:left="2880" w:hanging="360"/>
      </w:pPr>
      <w:rPr>
        <w:rFonts w:ascii="Arial" w:hAnsi="Arial" w:hint="default"/>
      </w:rPr>
    </w:lvl>
    <w:lvl w:ilvl="4" w:tplc="16E83666" w:tentative="1">
      <w:start w:val="1"/>
      <w:numFmt w:val="bullet"/>
      <w:lvlText w:val="•"/>
      <w:lvlJc w:val="left"/>
      <w:pPr>
        <w:tabs>
          <w:tab w:val="num" w:pos="3600"/>
        </w:tabs>
        <w:ind w:left="3600" w:hanging="360"/>
      </w:pPr>
      <w:rPr>
        <w:rFonts w:ascii="Arial" w:hAnsi="Arial" w:hint="default"/>
      </w:rPr>
    </w:lvl>
    <w:lvl w:ilvl="5" w:tplc="3698EEEA" w:tentative="1">
      <w:start w:val="1"/>
      <w:numFmt w:val="bullet"/>
      <w:lvlText w:val="•"/>
      <w:lvlJc w:val="left"/>
      <w:pPr>
        <w:tabs>
          <w:tab w:val="num" w:pos="4320"/>
        </w:tabs>
        <w:ind w:left="4320" w:hanging="360"/>
      </w:pPr>
      <w:rPr>
        <w:rFonts w:ascii="Arial" w:hAnsi="Arial" w:hint="default"/>
      </w:rPr>
    </w:lvl>
    <w:lvl w:ilvl="6" w:tplc="317492F0" w:tentative="1">
      <w:start w:val="1"/>
      <w:numFmt w:val="bullet"/>
      <w:lvlText w:val="•"/>
      <w:lvlJc w:val="left"/>
      <w:pPr>
        <w:tabs>
          <w:tab w:val="num" w:pos="5040"/>
        </w:tabs>
        <w:ind w:left="5040" w:hanging="360"/>
      </w:pPr>
      <w:rPr>
        <w:rFonts w:ascii="Arial" w:hAnsi="Arial" w:hint="default"/>
      </w:rPr>
    </w:lvl>
    <w:lvl w:ilvl="7" w:tplc="A5926ABE" w:tentative="1">
      <w:start w:val="1"/>
      <w:numFmt w:val="bullet"/>
      <w:lvlText w:val="•"/>
      <w:lvlJc w:val="left"/>
      <w:pPr>
        <w:tabs>
          <w:tab w:val="num" w:pos="5760"/>
        </w:tabs>
        <w:ind w:left="5760" w:hanging="360"/>
      </w:pPr>
      <w:rPr>
        <w:rFonts w:ascii="Arial" w:hAnsi="Arial" w:hint="default"/>
      </w:rPr>
    </w:lvl>
    <w:lvl w:ilvl="8" w:tplc="9A36765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BD02588"/>
    <w:multiLevelType w:val="hybridMultilevel"/>
    <w:tmpl w:val="A802E0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68002169">
    <w:abstractNumId w:val="3"/>
  </w:num>
  <w:num w:numId="2" w16cid:durableId="1562866370">
    <w:abstractNumId w:val="0"/>
  </w:num>
  <w:num w:numId="3" w16cid:durableId="1989674171">
    <w:abstractNumId w:val="5"/>
  </w:num>
  <w:num w:numId="4" w16cid:durableId="1946304780">
    <w:abstractNumId w:val="6"/>
  </w:num>
  <w:num w:numId="5" w16cid:durableId="462846511">
    <w:abstractNumId w:val="2"/>
  </w:num>
  <w:num w:numId="6" w16cid:durableId="896746706">
    <w:abstractNumId w:val="4"/>
  </w:num>
  <w:num w:numId="7" w16cid:durableId="1206215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06A"/>
    <w:rsid w:val="00006A7A"/>
    <w:rsid w:val="00035BAA"/>
    <w:rsid w:val="00074163"/>
    <w:rsid w:val="00125BC6"/>
    <w:rsid w:val="00156753"/>
    <w:rsid w:val="0016311F"/>
    <w:rsid w:val="001666D3"/>
    <w:rsid w:val="001929B3"/>
    <w:rsid w:val="001F58F3"/>
    <w:rsid w:val="0024238A"/>
    <w:rsid w:val="00244AEA"/>
    <w:rsid w:val="002460FE"/>
    <w:rsid w:val="00254C95"/>
    <w:rsid w:val="002B37E3"/>
    <w:rsid w:val="002D30CC"/>
    <w:rsid w:val="002E2709"/>
    <w:rsid w:val="002F5390"/>
    <w:rsid w:val="003316B1"/>
    <w:rsid w:val="00371DCB"/>
    <w:rsid w:val="003A1D0C"/>
    <w:rsid w:val="003B15E2"/>
    <w:rsid w:val="003C7A7D"/>
    <w:rsid w:val="003E28FC"/>
    <w:rsid w:val="003F6318"/>
    <w:rsid w:val="00407E96"/>
    <w:rsid w:val="00425C8E"/>
    <w:rsid w:val="004400F7"/>
    <w:rsid w:val="0046710F"/>
    <w:rsid w:val="004934D0"/>
    <w:rsid w:val="004A6F28"/>
    <w:rsid w:val="004F268C"/>
    <w:rsid w:val="004F41AD"/>
    <w:rsid w:val="005022C0"/>
    <w:rsid w:val="00537EA7"/>
    <w:rsid w:val="00566AEA"/>
    <w:rsid w:val="00574CC6"/>
    <w:rsid w:val="00586382"/>
    <w:rsid w:val="005E4F46"/>
    <w:rsid w:val="00616E74"/>
    <w:rsid w:val="00693587"/>
    <w:rsid w:val="006D3BE2"/>
    <w:rsid w:val="007054AE"/>
    <w:rsid w:val="00733C87"/>
    <w:rsid w:val="00734E90"/>
    <w:rsid w:val="00777335"/>
    <w:rsid w:val="007A3594"/>
    <w:rsid w:val="007B6C9B"/>
    <w:rsid w:val="007D3D52"/>
    <w:rsid w:val="007F3382"/>
    <w:rsid w:val="008350D9"/>
    <w:rsid w:val="0083620C"/>
    <w:rsid w:val="00853B70"/>
    <w:rsid w:val="00857F10"/>
    <w:rsid w:val="00870CFB"/>
    <w:rsid w:val="00873136"/>
    <w:rsid w:val="00883C1D"/>
    <w:rsid w:val="008A584A"/>
    <w:rsid w:val="008A6FCD"/>
    <w:rsid w:val="008A7AE7"/>
    <w:rsid w:val="008D606A"/>
    <w:rsid w:val="008F54B3"/>
    <w:rsid w:val="009404E1"/>
    <w:rsid w:val="00993297"/>
    <w:rsid w:val="009B36EE"/>
    <w:rsid w:val="009B527B"/>
    <w:rsid w:val="009D581F"/>
    <w:rsid w:val="009E2DB3"/>
    <w:rsid w:val="009E59BB"/>
    <w:rsid w:val="00A137BA"/>
    <w:rsid w:val="00A30141"/>
    <w:rsid w:val="00A34DA8"/>
    <w:rsid w:val="00A86EEA"/>
    <w:rsid w:val="00A950CC"/>
    <w:rsid w:val="00AB3C25"/>
    <w:rsid w:val="00AD1306"/>
    <w:rsid w:val="00B430F7"/>
    <w:rsid w:val="00B438DA"/>
    <w:rsid w:val="00B51060"/>
    <w:rsid w:val="00B51858"/>
    <w:rsid w:val="00B72581"/>
    <w:rsid w:val="00B938CE"/>
    <w:rsid w:val="00BB6DB7"/>
    <w:rsid w:val="00C17092"/>
    <w:rsid w:val="00C22C1B"/>
    <w:rsid w:val="00C36AA0"/>
    <w:rsid w:val="00C677D0"/>
    <w:rsid w:val="00C73CB4"/>
    <w:rsid w:val="00C87543"/>
    <w:rsid w:val="00CC7787"/>
    <w:rsid w:val="00CE034C"/>
    <w:rsid w:val="00D73B82"/>
    <w:rsid w:val="00D86320"/>
    <w:rsid w:val="00DA3BF3"/>
    <w:rsid w:val="00DC0F19"/>
    <w:rsid w:val="00DD22CD"/>
    <w:rsid w:val="00E470C8"/>
    <w:rsid w:val="00EC33FA"/>
    <w:rsid w:val="00EE4832"/>
    <w:rsid w:val="00F011E1"/>
    <w:rsid w:val="00F244EB"/>
    <w:rsid w:val="00F646B2"/>
    <w:rsid w:val="00F94A5D"/>
    <w:rsid w:val="00FA2309"/>
    <w:rsid w:val="00FD558B"/>
    <w:rsid w:val="00FF048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F3A08"/>
  <w15:chartTrackingRefBased/>
  <w15:docId w15:val="{FC6E8E7A-9623-4E6C-A676-DDE31B488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B51060"/>
    <w:rPr>
      <w:color w:val="605E5C"/>
      <w:shd w:val="clear" w:color="auto" w:fill="E1DFDD"/>
    </w:rPr>
  </w:style>
  <w:style w:type="paragraph" w:styleId="Header">
    <w:name w:val="header"/>
    <w:basedOn w:val="Normal"/>
    <w:link w:val="HeaderChar"/>
    <w:uiPriority w:val="99"/>
    <w:unhideWhenUsed/>
    <w:rsid w:val="007A35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594"/>
  </w:style>
  <w:style w:type="paragraph" w:styleId="Footer">
    <w:name w:val="footer"/>
    <w:basedOn w:val="Normal"/>
    <w:link w:val="FooterChar"/>
    <w:uiPriority w:val="99"/>
    <w:unhideWhenUsed/>
    <w:rsid w:val="007A35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210374">
      <w:bodyDiv w:val="1"/>
      <w:marLeft w:val="0"/>
      <w:marRight w:val="0"/>
      <w:marTop w:val="0"/>
      <w:marBottom w:val="0"/>
      <w:divBdr>
        <w:top w:val="none" w:sz="0" w:space="0" w:color="auto"/>
        <w:left w:val="none" w:sz="0" w:space="0" w:color="auto"/>
        <w:bottom w:val="none" w:sz="0" w:space="0" w:color="auto"/>
        <w:right w:val="none" w:sz="0" w:space="0" w:color="auto"/>
      </w:divBdr>
    </w:div>
    <w:div w:id="488208814">
      <w:bodyDiv w:val="1"/>
      <w:marLeft w:val="0"/>
      <w:marRight w:val="0"/>
      <w:marTop w:val="0"/>
      <w:marBottom w:val="0"/>
      <w:divBdr>
        <w:top w:val="none" w:sz="0" w:space="0" w:color="auto"/>
        <w:left w:val="none" w:sz="0" w:space="0" w:color="auto"/>
        <w:bottom w:val="none" w:sz="0" w:space="0" w:color="auto"/>
        <w:right w:val="none" w:sz="0" w:space="0" w:color="auto"/>
      </w:divBdr>
    </w:div>
    <w:div w:id="571157646">
      <w:bodyDiv w:val="1"/>
      <w:marLeft w:val="0"/>
      <w:marRight w:val="0"/>
      <w:marTop w:val="0"/>
      <w:marBottom w:val="0"/>
      <w:divBdr>
        <w:top w:val="none" w:sz="0" w:space="0" w:color="auto"/>
        <w:left w:val="none" w:sz="0" w:space="0" w:color="auto"/>
        <w:bottom w:val="none" w:sz="0" w:space="0" w:color="auto"/>
        <w:right w:val="none" w:sz="0" w:space="0" w:color="auto"/>
      </w:divBdr>
    </w:div>
    <w:div w:id="599141940">
      <w:bodyDiv w:val="1"/>
      <w:marLeft w:val="0"/>
      <w:marRight w:val="0"/>
      <w:marTop w:val="0"/>
      <w:marBottom w:val="0"/>
      <w:divBdr>
        <w:top w:val="none" w:sz="0" w:space="0" w:color="auto"/>
        <w:left w:val="none" w:sz="0" w:space="0" w:color="auto"/>
        <w:bottom w:val="none" w:sz="0" w:space="0" w:color="auto"/>
        <w:right w:val="none" w:sz="0" w:space="0" w:color="auto"/>
      </w:divBdr>
    </w:div>
    <w:div w:id="682778174">
      <w:bodyDiv w:val="1"/>
      <w:marLeft w:val="0"/>
      <w:marRight w:val="0"/>
      <w:marTop w:val="0"/>
      <w:marBottom w:val="0"/>
      <w:divBdr>
        <w:top w:val="none" w:sz="0" w:space="0" w:color="auto"/>
        <w:left w:val="none" w:sz="0" w:space="0" w:color="auto"/>
        <w:bottom w:val="none" w:sz="0" w:space="0" w:color="auto"/>
        <w:right w:val="none" w:sz="0" w:space="0" w:color="auto"/>
      </w:divBdr>
    </w:div>
    <w:div w:id="1370642417">
      <w:bodyDiv w:val="1"/>
      <w:marLeft w:val="0"/>
      <w:marRight w:val="0"/>
      <w:marTop w:val="0"/>
      <w:marBottom w:val="0"/>
      <w:divBdr>
        <w:top w:val="none" w:sz="0" w:space="0" w:color="auto"/>
        <w:left w:val="none" w:sz="0" w:space="0" w:color="auto"/>
        <w:bottom w:val="none" w:sz="0" w:space="0" w:color="auto"/>
        <w:right w:val="none" w:sz="0" w:space="0" w:color="auto"/>
      </w:divBdr>
    </w:div>
    <w:div w:id="1669095996">
      <w:bodyDiv w:val="1"/>
      <w:marLeft w:val="0"/>
      <w:marRight w:val="0"/>
      <w:marTop w:val="0"/>
      <w:marBottom w:val="0"/>
      <w:divBdr>
        <w:top w:val="none" w:sz="0" w:space="0" w:color="auto"/>
        <w:left w:val="none" w:sz="0" w:space="0" w:color="auto"/>
        <w:bottom w:val="none" w:sz="0" w:space="0" w:color="auto"/>
        <w:right w:val="none" w:sz="0" w:space="0" w:color="auto"/>
      </w:divBdr>
    </w:div>
    <w:div w:id="1901208862">
      <w:bodyDiv w:val="1"/>
      <w:marLeft w:val="0"/>
      <w:marRight w:val="0"/>
      <w:marTop w:val="0"/>
      <w:marBottom w:val="0"/>
      <w:divBdr>
        <w:top w:val="none" w:sz="0" w:space="0" w:color="auto"/>
        <w:left w:val="none" w:sz="0" w:space="0" w:color="auto"/>
        <w:bottom w:val="none" w:sz="0" w:space="0" w:color="auto"/>
        <w:right w:val="none" w:sz="0" w:space="0" w:color="auto"/>
      </w:divBdr>
    </w:div>
    <w:div w:id="200608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ifri.res.in/" TargetMode="External"/><Relationship Id="rId18" Type="http://schemas.openxmlformats.org/officeDocument/2006/relationships/hyperlink" Target="http://eprints.cmfri.org.in/id/eprint/13646%20assessed%20on%2013-01-2023" TargetMode="External"/><Relationship Id="rId26" Type="http://schemas.openxmlformats.org/officeDocument/2006/relationships/hyperlink" Target="https://www.fao.org/3/cc0461en/cc0461en.pdf" TargetMode="External"/><Relationship Id="rId39" Type="http://schemas.openxmlformats.org/officeDocument/2006/relationships/hyperlink" Target="https://nfdb.gov.in/" TargetMode="External"/><Relationship Id="rId21" Type="http://schemas.openxmlformats.org/officeDocument/2006/relationships/hyperlink" Target="https://dof.gov.in/" TargetMode="External"/><Relationship Id="rId34" Type="http://schemas.openxmlformats.org/officeDocument/2006/relationships/hyperlink" Target="https://doi.org/10.1007/s40011-017-0940-2" TargetMode="External"/><Relationship Id="rId42" Type="http://schemas.openxmlformats.org/officeDocument/2006/relationships/hyperlink" Target="https://www.fao.org/3/a1290e/a1290e00.pdf" TargetMode="External"/><Relationship Id="rId47" Type="http://schemas.openxmlformats.org/officeDocument/2006/relationships/hyperlink" Target="https://doi.org/10.1016/j.ecolind.2023.111402"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hyperlink" Target="http://eprints.cmfri.org.in/14274/1/CMFRI%20SP%20No.134_2020_Economic%20viability%20of%20cage%20fish%20farming%20in%20India.pdf" TargetMode="External"/><Relationship Id="rId12" Type="http://schemas.openxmlformats.org/officeDocument/2006/relationships/hyperlink" Target="http://www.cifri.res.in/AR/Annual%20Report%202017-18.pdf" TargetMode="External"/><Relationship Id="rId17" Type="http://schemas.openxmlformats.org/officeDocument/2006/relationships/hyperlink" Target="http://eprints.cmfri.org.in/id/eprint/13646%20assessed%20on%2013-01-2023" TargetMode="External"/><Relationship Id="rId25" Type="http://schemas.openxmlformats.org/officeDocument/2006/relationships/hyperlink" Target="https://doi.org/10.4060/ca9229en" TargetMode="External"/><Relationship Id="rId33" Type="http://schemas.openxmlformats.org/officeDocument/2006/relationships/hyperlink" Target="https://doi.org/10.3390/fishes7040151" TargetMode="External"/><Relationship Id="rId38" Type="http://schemas.openxmlformats.org/officeDocument/2006/relationships/hyperlink" Target="https://eprints.cmfri.org.in/14280/" TargetMode="External"/><Relationship Id="rId46" Type="http://schemas.openxmlformats.org/officeDocument/2006/relationships/hyperlink" Target="https://doi.org/10.1016/j.aqrep.2017.11.004" TargetMode="External"/><Relationship Id="rId2" Type="http://schemas.openxmlformats.org/officeDocument/2006/relationships/styles" Target="styles.xml"/><Relationship Id="rId16" Type="http://schemas.openxmlformats.org/officeDocument/2006/relationships/hyperlink" Target="http://eprints.cmfri.org.in/id/eprint/13646%20assessed%20on%2013-01-2023" TargetMode="External"/><Relationship Id="rId20" Type="http://schemas.openxmlformats.org/officeDocument/2006/relationships/hyperlink" Target="https://dof.gov.in/" TargetMode="External"/><Relationship Id="rId29" Type="http://schemas.openxmlformats.org/officeDocument/2006/relationships/hyperlink" Target="https://www.fao.org/inland-fisheries/resources/publications/en/" TargetMode="External"/><Relationship Id="rId41" Type="http://schemas.openxmlformats.org/officeDocument/2006/relationships/hyperlink" Target="https://doi.org/10.1002/aff2.75" TargetMode="External"/><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fri.res.in/AR/Annual%20Report%202017-18.pdf" TargetMode="External"/><Relationship Id="rId24" Type="http://schemas.openxmlformats.org/officeDocument/2006/relationships/hyperlink" Target="https://doi.org/10.1016/j.aqrep.2023.101518" TargetMode="External"/><Relationship Id="rId32" Type="http://schemas.openxmlformats.org/officeDocument/2006/relationships/hyperlink" Target="https://dof.gov.in/sites/default/files/2021-02/Final_Book.pdf" TargetMode="External"/><Relationship Id="rId37" Type="http://schemas.openxmlformats.org/officeDocument/2006/relationships/hyperlink" Target="http://eprints.cmfri.org.in/id/eprint/6096" TargetMode="External"/><Relationship Id="rId40" Type="http://schemas.openxmlformats.org/officeDocument/2006/relationships/hyperlink" Target="https://nfdb.gov.in/" TargetMode="External"/><Relationship Id="rId45" Type="http://schemas.openxmlformats.org/officeDocument/2006/relationships/hyperlink" Target="http://krishi.icar.gov.in/jspui/handle/123456789/73043" TargetMode="External"/><Relationship Id="rId53"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cifri.res.in/" TargetMode="External"/><Relationship Id="rId23" Type="http://schemas.openxmlformats.org/officeDocument/2006/relationships/hyperlink" Target="http://jkfisheries.in/" TargetMode="External"/><Relationship Id="rId28" Type="http://schemas.openxmlformats.org/officeDocument/2006/relationships/hyperlink" Target="https://www.fao.org/fishery/en/facp/ind?lang=en" TargetMode="External"/><Relationship Id="rId36" Type="http://schemas.openxmlformats.org/officeDocument/2006/relationships/hyperlink" Target="http://eprints.cmfri.org.in/id/eprint/6096" TargetMode="External"/><Relationship Id="rId49" Type="http://schemas.openxmlformats.org/officeDocument/2006/relationships/header" Target="header1.xml"/><Relationship Id="rId10" Type="http://schemas.openxmlformats.org/officeDocument/2006/relationships/hyperlink" Target="https://doi.org/10.1007/s10499-015-9951-2" TargetMode="External"/><Relationship Id="rId19" Type="http://schemas.openxmlformats.org/officeDocument/2006/relationships/hyperlink" Target="https://dahd.nic.in/annual-report" TargetMode="External"/><Relationship Id="rId31" Type="http://schemas.openxmlformats.org/officeDocument/2006/relationships/hyperlink" Target="http://dx.doi.org/10.18782/2582-2845.8597" TargetMode="External"/><Relationship Id="rId44" Type="http://schemas.openxmlformats.org/officeDocument/2006/relationships/hyperlink" Target="http://kashmir-tourism.com/jammu-kashmir-lakes-mansabal-lake.htm"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eprints.cmfri.org.in/10700/" TargetMode="External"/><Relationship Id="rId14" Type="http://schemas.openxmlformats.org/officeDocument/2006/relationships/hyperlink" Target="http://www.cifri.res.in/" TargetMode="External"/><Relationship Id="rId22" Type="http://schemas.openxmlformats.org/officeDocument/2006/relationships/hyperlink" Target="http://jkfisheries.in/" TargetMode="External"/><Relationship Id="rId27" Type="http://schemas.openxmlformats.org/officeDocument/2006/relationships/hyperlink" Target="https://www.fao.org/3/cc0461en/cc0461en.pdf" TargetMode="External"/><Relationship Id="rId30" Type="http://schemas.openxmlformats.org/officeDocument/2006/relationships/hyperlink" Target="https://connectjournals.com/03895.2021.24.927" TargetMode="External"/><Relationship Id="rId35" Type="http://schemas.openxmlformats.org/officeDocument/2006/relationships/hyperlink" Target="https://doi.org/10.1080/10454438.2021.1884632" TargetMode="External"/><Relationship Id="rId43" Type="http://schemas.openxmlformats.org/officeDocument/2006/relationships/hyperlink" Target="https://www.fao.org/3/a1290e/a1290e00.pdf" TargetMode="External"/><Relationship Id="rId48" Type="http://schemas.openxmlformats.org/officeDocument/2006/relationships/hyperlink" Target="https://doi.org/10.3390/fishes7060343" TargetMode="External"/><Relationship Id="rId56" Type="http://schemas.openxmlformats.org/officeDocument/2006/relationships/theme" Target="theme/theme1.xml"/><Relationship Id="rId8" Type="http://schemas.openxmlformats.org/officeDocument/2006/relationships/hyperlink" Target="http://eprints.cmfri.org.in/10700/" TargetMode="External"/><Relationship Id="rId51"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4445</Words>
  <Characters>25339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Editor-22</cp:lastModifiedBy>
  <cp:revision>9</cp:revision>
  <dcterms:created xsi:type="dcterms:W3CDTF">2025-03-30T03:52:00Z</dcterms:created>
  <dcterms:modified xsi:type="dcterms:W3CDTF">2025-04-19T12:28:00Z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zotero-version="6.0.20"&gt;&lt;session id="heiiZpjP"/&gt;&lt;style id="http://www.zotero.org/styles/american-sociological-association" locale="en-US" hasBibliography="1" bibliographyStyleHasBeenSet="0"/&gt;&lt;prefs&gt;&lt;pref name="fieldType" value="Fiel</vt:lpwstr>
  </property>
  <property fmtid="{D5CDD505-2E9C-101B-9397-08002B2CF9AE}" pid="3" name="ZOTERO_PREF_2">
    <vt:lpwstr>d"/&gt;&lt;pref name="automaticJournalAbbreviations" value="true"/&gt;&lt;/prefs&gt;&lt;/data&gt;</vt:lpwstr>
  </property>
</Properties>
</file>