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EA0" w:rsidRDefault="007C293A" w:rsidP="00264F8B">
      <w:pPr>
        <w:spacing w:line="360" w:lineRule="auto"/>
        <w:jc w:val="center"/>
        <w:rPr>
          <w:rFonts w:ascii="Times New Roman" w:hAnsi="Times New Roman" w:cs="Times New Roman"/>
          <w:b/>
          <w:sz w:val="24"/>
        </w:rPr>
      </w:pPr>
      <w:r w:rsidRPr="008C38E3">
        <w:rPr>
          <w:rFonts w:ascii="Times New Roman" w:hAnsi="Times New Roman" w:cs="Times New Roman"/>
          <w:b/>
          <w:sz w:val="24"/>
        </w:rPr>
        <w:t xml:space="preserve">Effects of replacing </w:t>
      </w:r>
      <w:r w:rsidRPr="008C38E3">
        <w:rPr>
          <w:rFonts w:ascii="Times New Roman" w:hAnsi="Times New Roman" w:cs="Times New Roman"/>
          <w:b/>
          <w:i/>
          <w:sz w:val="24"/>
        </w:rPr>
        <w:t>Spirulina</w:t>
      </w:r>
      <w:r w:rsidRPr="008C38E3">
        <w:rPr>
          <w:rFonts w:ascii="Times New Roman" w:hAnsi="Times New Roman" w:cs="Times New Roman"/>
          <w:b/>
          <w:sz w:val="24"/>
        </w:rPr>
        <w:t xml:space="preserve"> for fishmeal in a</w:t>
      </w:r>
      <w:r>
        <w:rPr>
          <w:rFonts w:ascii="Times New Roman" w:hAnsi="Times New Roman" w:cs="Times New Roman"/>
          <w:b/>
          <w:sz w:val="24"/>
        </w:rPr>
        <w:t xml:space="preserve"> </w:t>
      </w:r>
      <w:r w:rsidRPr="008C38E3">
        <w:rPr>
          <w:rFonts w:ascii="Times New Roman" w:hAnsi="Times New Roman" w:cs="Times New Roman"/>
          <w:b/>
          <w:sz w:val="24"/>
        </w:rPr>
        <w:t xml:space="preserve">realistic diet for </w:t>
      </w:r>
      <w:r w:rsidRPr="008C38E3">
        <w:rPr>
          <w:rFonts w:ascii="Times New Roman" w:hAnsi="Times New Roman" w:cs="Times New Roman"/>
          <w:b/>
          <w:i/>
          <w:sz w:val="24"/>
        </w:rPr>
        <w:t>Litopenaeus</w:t>
      </w:r>
      <w:r>
        <w:rPr>
          <w:rFonts w:ascii="Times New Roman" w:hAnsi="Times New Roman" w:cs="Times New Roman"/>
          <w:b/>
          <w:i/>
          <w:sz w:val="24"/>
        </w:rPr>
        <w:t xml:space="preserve"> </w:t>
      </w:r>
      <w:r w:rsidRPr="008C38E3">
        <w:rPr>
          <w:rFonts w:ascii="Times New Roman" w:hAnsi="Times New Roman" w:cs="Times New Roman"/>
          <w:b/>
          <w:i/>
          <w:sz w:val="24"/>
        </w:rPr>
        <w:t>vannamei</w:t>
      </w:r>
      <w:r w:rsidRPr="00085F32">
        <w:rPr>
          <w:rFonts w:ascii="Times New Roman" w:hAnsi="Times New Roman" w:cs="Times New Roman"/>
          <w:b/>
          <w:sz w:val="24"/>
        </w:rPr>
        <w:t xml:space="preserve"> </w:t>
      </w:r>
      <w:r w:rsidRPr="008C38E3">
        <w:rPr>
          <w:rFonts w:ascii="Times New Roman" w:hAnsi="Times New Roman" w:cs="Times New Roman"/>
          <w:b/>
          <w:sz w:val="24"/>
        </w:rPr>
        <w:t xml:space="preserve">on </w:t>
      </w:r>
      <w:r>
        <w:rPr>
          <w:rFonts w:ascii="Times New Roman" w:hAnsi="Times New Roman" w:cs="Times New Roman"/>
          <w:b/>
          <w:sz w:val="24"/>
        </w:rPr>
        <w:t xml:space="preserve">its </w:t>
      </w:r>
      <w:r w:rsidRPr="008C38E3">
        <w:rPr>
          <w:rFonts w:ascii="Times New Roman" w:hAnsi="Times New Roman" w:cs="Times New Roman"/>
          <w:b/>
          <w:sz w:val="24"/>
        </w:rPr>
        <w:t>development and feed utilization</w:t>
      </w:r>
    </w:p>
    <w:p w:rsidR="0051170C" w:rsidRDefault="0051170C" w:rsidP="00264F8B">
      <w:pPr>
        <w:spacing w:after="0" w:line="360" w:lineRule="auto"/>
        <w:rPr>
          <w:rFonts w:ascii="Times New Roman" w:hAnsi="Times New Roman" w:cs="Times New Roman"/>
          <w:sz w:val="24"/>
          <w:szCs w:val="24"/>
        </w:rPr>
      </w:pPr>
    </w:p>
    <w:p w:rsidR="00370C5D" w:rsidRPr="00264F8B" w:rsidRDefault="00370C5D" w:rsidP="00264F8B">
      <w:pPr>
        <w:spacing w:after="0" w:line="360" w:lineRule="auto"/>
        <w:rPr>
          <w:rFonts w:ascii="Times New Roman" w:hAnsi="Times New Roman" w:cs="Times New Roman"/>
          <w:sz w:val="24"/>
          <w:szCs w:val="24"/>
        </w:rPr>
      </w:pPr>
    </w:p>
    <w:p w:rsidR="0066164C" w:rsidRPr="008639B7" w:rsidRDefault="007C293A" w:rsidP="00264F8B">
      <w:pPr>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rsidR="008639B7" w:rsidRPr="008639B7" w:rsidRDefault="008639B7" w:rsidP="008639B7">
      <w:pPr>
        <w:spacing w:line="360" w:lineRule="auto"/>
        <w:jc w:val="both"/>
        <w:rPr>
          <w:rFonts w:ascii="Times New Roman" w:hAnsi="Times New Roman" w:cs="Times New Roman"/>
          <w:sz w:val="24"/>
          <w:szCs w:val="24"/>
        </w:rPr>
      </w:pPr>
      <w:r w:rsidRPr="008639B7">
        <w:rPr>
          <w:rFonts w:ascii="Times New Roman" w:hAnsi="Times New Roman" w:cs="Times New Roman"/>
          <w:sz w:val="24"/>
          <w:szCs w:val="24"/>
        </w:rPr>
        <w:t xml:space="preserve">The purpose of this study was to assess the impact of substituting marine Cyanobacteria species </w:t>
      </w:r>
      <w:r w:rsidRPr="005B3064">
        <w:rPr>
          <w:rFonts w:ascii="Times New Roman" w:hAnsi="Times New Roman" w:cs="Times New Roman"/>
          <w:i/>
          <w:sz w:val="24"/>
          <w:szCs w:val="24"/>
        </w:rPr>
        <w:t>Spirulina</w:t>
      </w:r>
      <w:r w:rsidR="00085F32">
        <w:rPr>
          <w:rFonts w:ascii="Times New Roman" w:hAnsi="Times New Roman" w:cs="Times New Roman"/>
          <w:i/>
          <w:sz w:val="24"/>
          <w:szCs w:val="24"/>
        </w:rPr>
        <w:t xml:space="preserve"> </w:t>
      </w:r>
      <w:r w:rsidRPr="008639B7">
        <w:rPr>
          <w:rFonts w:ascii="Times New Roman" w:hAnsi="Times New Roman" w:cs="Times New Roman"/>
          <w:sz w:val="24"/>
          <w:szCs w:val="24"/>
        </w:rPr>
        <w:t xml:space="preserve">sp BDUT005 for fish feed on Pacific white shrimp </w:t>
      </w:r>
      <w:r w:rsidRPr="005B3064">
        <w:rPr>
          <w:rFonts w:ascii="Times New Roman" w:hAnsi="Times New Roman" w:cs="Times New Roman"/>
          <w:i/>
          <w:sz w:val="24"/>
          <w:szCs w:val="24"/>
        </w:rPr>
        <w:t>Litopenaeus</w:t>
      </w:r>
      <w:r w:rsidR="00085F32">
        <w:rPr>
          <w:rFonts w:ascii="Times New Roman" w:hAnsi="Times New Roman" w:cs="Times New Roman"/>
          <w:i/>
          <w:sz w:val="24"/>
          <w:szCs w:val="24"/>
        </w:rPr>
        <w:t xml:space="preserve"> </w:t>
      </w:r>
      <w:r w:rsidRPr="005B3064">
        <w:rPr>
          <w:rFonts w:ascii="Times New Roman" w:hAnsi="Times New Roman" w:cs="Times New Roman"/>
          <w:i/>
          <w:sz w:val="24"/>
          <w:szCs w:val="24"/>
        </w:rPr>
        <w:t>vannamei</w:t>
      </w:r>
      <w:r w:rsidRPr="008639B7">
        <w:rPr>
          <w:rFonts w:ascii="Times New Roman" w:hAnsi="Times New Roman" w:cs="Times New Roman"/>
          <w:sz w:val="24"/>
          <w:szCs w:val="24"/>
        </w:rPr>
        <w:t xml:space="preserve"> post larvae for a period of ninety days. Four levels of spirulina were utilized (5 and 10</w:t>
      </w:r>
      <w:r w:rsidR="00FF6EA0">
        <w:rPr>
          <w:rFonts w:ascii="Times New Roman" w:hAnsi="Times New Roman" w:cs="Times New Roman"/>
          <w:sz w:val="24"/>
          <w:szCs w:val="24"/>
        </w:rPr>
        <w:t>%</w:t>
      </w:r>
      <w:r w:rsidRPr="008639B7">
        <w:rPr>
          <w:rFonts w:ascii="Times New Roman" w:hAnsi="Times New Roman" w:cs="Times New Roman"/>
          <w:sz w:val="24"/>
          <w:szCs w:val="24"/>
        </w:rPr>
        <w:t>). The experiment was conducted in 12 tanks with 100 L of water. There were three duplicates of each treatment, and each tank held thirty larvae weighing 0.03 g. The shrimp were fed the experimental diets, which contained around 40% protein, twice a day at an initial weight of 14% of body weight. At the end of the trial, the dosage was gradually reduced to 5%.</w:t>
      </w:r>
      <w:r w:rsidR="00085F32">
        <w:rPr>
          <w:rFonts w:ascii="Times New Roman" w:hAnsi="Times New Roman" w:cs="Times New Roman"/>
          <w:sz w:val="24"/>
          <w:szCs w:val="24"/>
        </w:rPr>
        <w:t xml:space="preserve"> </w:t>
      </w:r>
      <w:r w:rsidRPr="008639B7">
        <w:rPr>
          <w:rFonts w:ascii="Times New Roman" w:hAnsi="Times New Roman" w:cs="Times New Roman"/>
          <w:sz w:val="24"/>
          <w:szCs w:val="24"/>
        </w:rPr>
        <w:t xml:space="preserve">Shrimp growth performance was measured every two weeks. Under these experimental conditions, it was discovered that the treatment in which 10% </w:t>
      </w:r>
      <w:r w:rsidRPr="005B3064">
        <w:rPr>
          <w:rFonts w:ascii="Times New Roman" w:hAnsi="Times New Roman" w:cs="Times New Roman"/>
          <w:i/>
          <w:sz w:val="24"/>
          <w:szCs w:val="24"/>
        </w:rPr>
        <w:t>Spirulina</w:t>
      </w:r>
      <w:r w:rsidR="00085F32">
        <w:rPr>
          <w:rFonts w:ascii="Times New Roman" w:hAnsi="Times New Roman" w:cs="Times New Roman"/>
          <w:i/>
          <w:sz w:val="24"/>
          <w:szCs w:val="24"/>
        </w:rPr>
        <w:t xml:space="preserve"> </w:t>
      </w:r>
      <w:r w:rsidRPr="008639B7">
        <w:rPr>
          <w:rFonts w:ascii="Times New Roman" w:hAnsi="Times New Roman" w:cs="Times New Roman"/>
          <w:sz w:val="24"/>
          <w:szCs w:val="24"/>
        </w:rPr>
        <w:t xml:space="preserve">sp BDUT005 was substituted for fish meal produced the greatest results in terms of growth performance and feed utilization. </w:t>
      </w:r>
    </w:p>
    <w:p w:rsidR="005B3064" w:rsidRDefault="008639B7" w:rsidP="008639B7">
      <w:pPr>
        <w:spacing w:line="360" w:lineRule="auto"/>
        <w:jc w:val="both"/>
        <w:rPr>
          <w:rFonts w:ascii="Times New Roman" w:hAnsi="Times New Roman" w:cs="Times New Roman"/>
          <w:sz w:val="24"/>
          <w:szCs w:val="24"/>
        </w:rPr>
      </w:pPr>
      <w:r w:rsidRPr="006254CE">
        <w:rPr>
          <w:rFonts w:ascii="Times New Roman" w:hAnsi="Times New Roman" w:cs="Times New Roman"/>
          <w:b/>
          <w:sz w:val="24"/>
          <w:szCs w:val="24"/>
        </w:rPr>
        <w:t>Keywords:</w:t>
      </w:r>
      <w:r w:rsidRPr="008639B7">
        <w:rPr>
          <w:rFonts w:ascii="Times New Roman" w:hAnsi="Times New Roman" w:cs="Times New Roman"/>
          <w:sz w:val="24"/>
          <w:szCs w:val="24"/>
        </w:rPr>
        <w:t xml:space="preserve"> feed utilization, growth performance, </w:t>
      </w:r>
      <w:r w:rsidR="007C293A" w:rsidRPr="005B3064">
        <w:rPr>
          <w:rFonts w:ascii="Times New Roman" w:hAnsi="Times New Roman" w:cs="Times New Roman"/>
          <w:i/>
          <w:sz w:val="24"/>
          <w:szCs w:val="24"/>
        </w:rPr>
        <w:t>Spirulina</w:t>
      </w:r>
      <w:r w:rsidR="007C293A">
        <w:rPr>
          <w:rFonts w:ascii="Times New Roman" w:hAnsi="Times New Roman" w:cs="Times New Roman"/>
          <w:i/>
          <w:sz w:val="24"/>
          <w:szCs w:val="24"/>
        </w:rPr>
        <w:t xml:space="preserve"> </w:t>
      </w:r>
      <w:r w:rsidR="007C293A" w:rsidRPr="008639B7">
        <w:rPr>
          <w:rFonts w:ascii="Times New Roman" w:hAnsi="Times New Roman" w:cs="Times New Roman"/>
          <w:sz w:val="24"/>
          <w:szCs w:val="24"/>
        </w:rPr>
        <w:t xml:space="preserve">sp BDUT005 </w:t>
      </w:r>
      <w:r w:rsidRPr="008639B7">
        <w:rPr>
          <w:rFonts w:ascii="Times New Roman" w:hAnsi="Times New Roman" w:cs="Times New Roman"/>
          <w:sz w:val="24"/>
          <w:szCs w:val="24"/>
        </w:rPr>
        <w:t xml:space="preserve">and </w:t>
      </w:r>
      <w:r w:rsidRPr="005B3064">
        <w:rPr>
          <w:rFonts w:ascii="Times New Roman" w:hAnsi="Times New Roman" w:cs="Times New Roman"/>
          <w:i/>
          <w:sz w:val="24"/>
          <w:szCs w:val="24"/>
        </w:rPr>
        <w:t>L</w:t>
      </w:r>
      <w:r w:rsidRPr="008639B7">
        <w:rPr>
          <w:rFonts w:ascii="Times New Roman" w:hAnsi="Times New Roman" w:cs="Times New Roman"/>
          <w:sz w:val="24"/>
          <w:szCs w:val="24"/>
        </w:rPr>
        <w:t xml:space="preserve">. </w:t>
      </w:r>
      <w:r w:rsidRPr="005B3064">
        <w:rPr>
          <w:rFonts w:ascii="Times New Roman" w:hAnsi="Times New Roman" w:cs="Times New Roman"/>
          <w:i/>
          <w:sz w:val="24"/>
          <w:szCs w:val="24"/>
        </w:rPr>
        <w:t>vannamei</w:t>
      </w:r>
    </w:p>
    <w:p w:rsidR="00AE2457" w:rsidRPr="006254CE" w:rsidRDefault="007C293A" w:rsidP="008639B7">
      <w:pPr>
        <w:spacing w:line="360" w:lineRule="auto"/>
        <w:jc w:val="both"/>
        <w:rPr>
          <w:rFonts w:ascii="Times New Roman" w:hAnsi="Times New Roman" w:cs="Times New Roman"/>
          <w:b/>
          <w:sz w:val="24"/>
          <w:szCs w:val="20"/>
        </w:rPr>
      </w:pPr>
      <w:r>
        <w:rPr>
          <w:rFonts w:ascii="Times New Roman" w:hAnsi="Times New Roman" w:cs="Times New Roman"/>
          <w:b/>
          <w:sz w:val="24"/>
          <w:szCs w:val="20"/>
        </w:rPr>
        <w:t xml:space="preserve"> INTRODUCTION</w:t>
      </w:r>
    </w:p>
    <w:p w:rsidR="0068766C" w:rsidRDefault="005B3064" w:rsidP="0068766C">
      <w:pPr>
        <w:autoSpaceDE w:val="0"/>
        <w:autoSpaceDN w:val="0"/>
        <w:adjustRightInd w:val="0"/>
        <w:spacing w:after="0" w:line="360" w:lineRule="auto"/>
        <w:jc w:val="both"/>
        <w:rPr>
          <w:rFonts w:ascii="Times New Roman" w:hAnsi="Times New Roman" w:cs="Times New Roman"/>
          <w:sz w:val="24"/>
          <w:szCs w:val="20"/>
        </w:rPr>
      </w:pPr>
      <w:r w:rsidRPr="005B3064">
        <w:rPr>
          <w:rFonts w:ascii="Times New Roman" w:hAnsi="Times New Roman" w:cs="Times New Roman"/>
          <w:sz w:val="24"/>
          <w:szCs w:val="20"/>
        </w:rPr>
        <w:t xml:space="preserve">On account of their high economic worth, quick growth </w:t>
      </w:r>
      <w:r w:rsidR="00FF6EA0" w:rsidRPr="005B3064">
        <w:rPr>
          <w:rFonts w:ascii="Times New Roman" w:hAnsi="Times New Roman" w:cs="Times New Roman"/>
          <w:sz w:val="24"/>
          <w:szCs w:val="20"/>
        </w:rPr>
        <w:t xml:space="preserve">rate, and ability to withstand a wide variety of temperatures and salinities, Pacific white shrimp, or </w:t>
      </w:r>
      <w:r w:rsidR="007C293A" w:rsidRPr="007C293A">
        <w:rPr>
          <w:rFonts w:ascii="Times New Roman" w:hAnsi="Times New Roman" w:cs="Times New Roman"/>
          <w:i/>
          <w:sz w:val="24"/>
        </w:rPr>
        <w:t xml:space="preserve"> </w:t>
      </w:r>
      <w:r w:rsidR="007C293A" w:rsidRPr="00FF6EA0">
        <w:rPr>
          <w:rFonts w:ascii="Times New Roman" w:hAnsi="Times New Roman" w:cs="Times New Roman"/>
          <w:i/>
          <w:sz w:val="24"/>
        </w:rPr>
        <w:t>Litopenaeus</w:t>
      </w:r>
      <w:r w:rsidR="007C293A">
        <w:rPr>
          <w:rFonts w:ascii="Times New Roman" w:hAnsi="Times New Roman" w:cs="Times New Roman"/>
          <w:i/>
          <w:sz w:val="24"/>
        </w:rPr>
        <w:t xml:space="preserve"> </w:t>
      </w:r>
      <w:r w:rsidR="007C293A" w:rsidRPr="00FF6EA0">
        <w:rPr>
          <w:rFonts w:ascii="Times New Roman" w:hAnsi="Times New Roman" w:cs="Times New Roman"/>
          <w:i/>
          <w:sz w:val="24"/>
        </w:rPr>
        <w:t>vannamei</w:t>
      </w:r>
      <w:r w:rsidR="00FF6EA0" w:rsidRPr="005B3064">
        <w:rPr>
          <w:rFonts w:ascii="Times New Roman" w:hAnsi="Times New Roman" w:cs="Times New Roman"/>
          <w:sz w:val="24"/>
          <w:szCs w:val="20"/>
        </w:rPr>
        <w:t>, is</w:t>
      </w:r>
      <w:r w:rsidRPr="005B3064">
        <w:rPr>
          <w:rFonts w:ascii="Times New Roman" w:hAnsi="Times New Roman" w:cs="Times New Roman"/>
          <w:sz w:val="24"/>
          <w:szCs w:val="20"/>
        </w:rPr>
        <w:t xml:space="preserve"> a significant aquaculture product</w:t>
      </w:r>
      <w:r w:rsidR="00BF4593">
        <w:rPr>
          <w:rFonts w:ascii="Times New Roman" w:hAnsi="Times New Roman" w:cs="Times New Roman"/>
          <w:sz w:val="24"/>
          <w:szCs w:val="20"/>
        </w:rPr>
        <w:t xml:space="preserve"> </w:t>
      </w:r>
      <w:r w:rsidR="0012737B">
        <w:rPr>
          <w:rFonts w:ascii="Times New Roman" w:hAnsi="Times New Roman" w:cs="Times New Roman"/>
          <w:sz w:val="24"/>
          <w:szCs w:val="20"/>
        </w:rPr>
        <w:fldChar w:fldCharType="begin" w:fldLock="1"/>
      </w:r>
      <w:r w:rsidR="00072E72">
        <w:rPr>
          <w:rFonts w:ascii="Times New Roman" w:hAnsi="Times New Roman" w:cs="Times New Roman"/>
          <w:sz w:val="24"/>
          <w:szCs w:val="20"/>
        </w:rPr>
        <w:instrText>ADDIN CSL_CITATION {"citationItems":[{"id":"ITEM-1","itemData":{"ISSN":"1355-557X","author":[{"dropping-particle":"","family":"Huang","given":"Zhaobin","non-dropping-particle":"","parse-names":false,"suffix":""},{"dropping-particle":"","family":"Li","given":"Xiaoyi","non-dropping-particle":"","parse-names":false,"suffix":""},{"dropping-particle":"","family":"Wang","given":"Liping","non-dropping-particle":"","parse-names":false,"suffix":""},{"dropping-particle":"","family":"Shao","given":"Zongze","non-dropping-particle":"","parse-names":false,"suffix":""}],"container-title":"Aquaculture Research","id":"ITEM-1","issue":"6","issued":{"date-parts":[["2016"]]},"page":"1737-1746","publisher":"Wiley Online Library","title":"Changes in the intestinal bacterial community during the growth of white shrimp, L itopenaeus vannamei","type":"article-journal","volume":"47"},"uris":["http://www.mendeley.com/documents/?uuid=99d4955c-1681-35d8-b6e2-ad2c4ab8e907"]}],"mendeley":{"formattedCitation":"[1]","plainTextFormattedCitation":"[1]","previouslyFormattedCitation":"[1]"},"properties":{"noteIndex":0},"schema":"https://github.com/citation-style-language/schema/raw/master/csl-citation.json"}</w:instrText>
      </w:r>
      <w:r w:rsidR="0012737B">
        <w:rPr>
          <w:rFonts w:ascii="Times New Roman" w:hAnsi="Times New Roman" w:cs="Times New Roman"/>
          <w:sz w:val="24"/>
          <w:szCs w:val="20"/>
        </w:rPr>
        <w:fldChar w:fldCharType="separate"/>
      </w:r>
      <w:r w:rsidR="00673B6C" w:rsidRPr="00673B6C">
        <w:rPr>
          <w:rFonts w:ascii="Times New Roman" w:hAnsi="Times New Roman" w:cs="Times New Roman"/>
          <w:noProof/>
          <w:sz w:val="24"/>
          <w:szCs w:val="20"/>
        </w:rPr>
        <w:t>[1]</w:t>
      </w:r>
      <w:r w:rsidR="0012737B">
        <w:rPr>
          <w:rFonts w:ascii="Times New Roman" w:hAnsi="Times New Roman" w:cs="Times New Roman"/>
          <w:sz w:val="24"/>
          <w:szCs w:val="20"/>
        </w:rPr>
        <w:fldChar w:fldCharType="end"/>
      </w:r>
      <w:r w:rsidR="006254CE">
        <w:rPr>
          <w:rFonts w:ascii="Times New Roman" w:hAnsi="Times New Roman" w:cs="Times New Roman"/>
          <w:sz w:val="24"/>
          <w:szCs w:val="20"/>
        </w:rPr>
        <w:t>.</w:t>
      </w:r>
      <w:r w:rsidRPr="005B3064">
        <w:rPr>
          <w:rFonts w:ascii="Times New Roman" w:hAnsi="Times New Roman" w:cs="Times New Roman"/>
          <w:sz w:val="24"/>
          <w:szCs w:val="20"/>
        </w:rPr>
        <w:t xml:space="preserve"> In 2020, the globe produced over 5.8 million tons of Pacific white shrimp, </w:t>
      </w:r>
      <w:r w:rsidRPr="00FF6EA0">
        <w:rPr>
          <w:rFonts w:ascii="Times New Roman" w:hAnsi="Times New Roman" w:cs="Times New Roman"/>
          <w:i/>
          <w:sz w:val="24"/>
          <w:szCs w:val="20"/>
        </w:rPr>
        <w:t>Litopenaeus</w:t>
      </w:r>
      <w:r w:rsidR="00E24D7F">
        <w:rPr>
          <w:rFonts w:ascii="Times New Roman" w:hAnsi="Times New Roman" w:cs="Times New Roman"/>
          <w:i/>
          <w:sz w:val="24"/>
          <w:szCs w:val="20"/>
        </w:rPr>
        <w:t xml:space="preserve"> </w:t>
      </w:r>
      <w:r w:rsidRPr="00FF6EA0">
        <w:rPr>
          <w:rFonts w:ascii="Times New Roman" w:hAnsi="Times New Roman" w:cs="Times New Roman"/>
          <w:i/>
          <w:sz w:val="24"/>
          <w:szCs w:val="20"/>
        </w:rPr>
        <w:t>vannamei</w:t>
      </w:r>
      <w:r w:rsidRPr="005B3064">
        <w:rPr>
          <w:rFonts w:ascii="Times New Roman" w:hAnsi="Times New Roman" w:cs="Times New Roman"/>
          <w:sz w:val="24"/>
          <w:szCs w:val="20"/>
        </w:rPr>
        <w:t>, the most common shrimp species. Typically, a comparatively large amount of fish meal (FM) is present in commercial shrimp feed. Because of the finite supply and rising cost of FM, it is critical to establish sustainable protein sources by lowering the amount of FM included in aquatic feeds, particularly shrimp feeds.</w:t>
      </w:r>
    </w:p>
    <w:p w:rsidR="005B3064" w:rsidRDefault="005B3064" w:rsidP="0068766C">
      <w:pPr>
        <w:autoSpaceDE w:val="0"/>
        <w:autoSpaceDN w:val="0"/>
        <w:adjustRightInd w:val="0"/>
        <w:spacing w:after="0" w:line="360" w:lineRule="auto"/>
        <w:jc w:val="both"/>
        <w:rPr>
          <w:rFonts w:ascii="Times New Roman" w:hAnsi="Times New Roman" w:cs="Times New Roman"/>
          <w:sz w:val="24"/>
          <w:szCs w:val="20"/>
        </w:rPr>
      </w:pPr>
    </w:p>
    <w:p w:rsidR="005B3064" w:rsidRPr="005B3064" w:rsidRDefault="005B3064" w:rsidP="005B3064">
      <w:pPr>
        <w:autoSpaceDE w:val="0"/>
        <w:autoSpaceDN w:val="0"/>
        <w:adjustRightInd w:val="0"/>
        <w:spacing w:after="0" w:line="360" w:lineRule="auto"/>
        <w:jc w:val="both"/>
        <w:rPr>
          <w:rFonts w:ascii="Times New Roman" w:hAnsi="Times New Roman" w:cs="Times New Roman"/>
          <w:sz w:val="24"/>
          <w:szCs w:val="20"/>
        </w:rPr>
      </w:pPr>
      <w:r w:rsidRPr="005B3064">
        <w:rPr>
          <w:rFonts w:ascii="Times New Roman" w:hAnsi="Times New Roman" w:cs="Times New Roman"/>
          <w:sz w:val="24"/>
          <w:szCs w:val="20"/>
        </w:rPr>
        <w:t>Fishmeal (FM) is the most widely utilized protein source in commer</w:t>
      </w:r>
      <w:r w:rsidR="00072E72">
        <w:rPr>
          <w:rFonts w:ascii="Times New Roman" w:hAnsi="Times New Roman" w:cs="Times New Roman"/>
          <w:sz w:val="24"/>
          <w:szCs w:val="20"/>
        </w:rPr>
        <w:t xml:space="preserve">cially produced feeds </w:t>
      </w:r>
      <w:r w:rsidR="0012737B">
        <w:rPr>
          <w:rFonts w:ascii="Times New Roman" w:hAnsi="Times New Roman" w:cs="Times New Roman"/>
          <w:sz w:val="24"/>
          <w:szCs w:val="20"/>
        </w:rPr>
        <w:fldChar w:fldCharType="begin" w:fldLock="1"/>
      </w:r>
      <w:r w:rsidR="00072E72">
        <w:rPr>
          <w:rFonts w:ascii="Times New Roman" w:hAnsi="Times New Roman" w:cs="Times New Roman"/>
          <w:sz w:val="24"/>
          <w:szCs w:val="20"/>
        </w:rPr>
        <w:instrText>ADDIN CSL_CITATION {"citationItems":[{"id":"ITEM-1","itemData":{"ISSN":"0027-8424","author":[{"dropping-particle":"","family":"Naylor","given":"Rosamond L","non-dropping-particle":"","parse-names":false,"suffix":""},{"dropping-particle":"","family":"Hardy","given":"Ronald W","non-dropping-particle":"","parse-names":false,"suffix":""},{"dropping-particle":"","family":"Bureau","given":"Dominique P","non-dropping-particle":"","parse-names":false,"suffix":""},{"dropping-particle":"","family":"Chiu","given":"Alice","non-dropping-particle":"","parse-names":false,"suffix":""},{"dropping-particle":"","family":"Elliott","given":"Matthew","non-dropping-particle":"","parse-names":false,"suffix":""},{"dropping-particle":"","family":"Farrell","given":"Anthony P","non-dropping-particle":"","parse-names":false,"suffix":""},{"dropping-particle":"","family":"Forster","given":"Ian","non-dropping-particle":"","parse-names":false,"suffix":""},{"dropping-particle":"","family":"Gatlin","given":"Delbert M","non-dropping-particle":"","parse-names":false,"suffix":""},{"dropping-particle":"","family":"Goldburg","given":"Rebecca J","non-dropping-particle":"","parse-names":false,"suffix":""},{"dropping-particle":"","family":"Hua","given":"Katheline","non-dropping-particle":"","parse-names":false,"suffix":""}],"container-title":"Proceedings of the National Academy of Sciences","id":"ITEM-1","issue":"36","issued":{"date-parts":[["2009"]]},"page":"15103-15110","publisher":"National Academy of Sciences","title":"Feeding aquaculture in an era of finite resources","type":"article-journal","volume":"106"},"uris":["http://www.mendeley.com/documents/?uuid=13ff4e6b-6e64-4165-821b-5257febd55fa"]}],"mendeley":{"formattedCitation":"[2]","plainTextFormattedCitation":"[2]","previouslyFormattedCitation":"[2]"},"properties":{"noteIndex":0},"schema":"https://github.com/citation-style-language/schema/raw/master/csl-citation.json"}</w:instrText>
      </w:r>
      <w:r w:rsidR="0012737B">
        <w:rPr>
          <w:rFonts w:ascii="Times New Roman" w:hAnsi="Times New Roman" w:cs="Times New Roman"/>
          <w:sz w:val="24"/>
          <w:szCs w:val="20"/>
        </w:rPr>
        <w:fldChar w:fldCharType="separate"/>
      </w:r>
      <w:r w:rsidR="00673B6C" w:rsidRPr="00673B6C">
        <w:rPr>
          <w:rFonts w:ascii="Times New Roman" w:hAnsi="Times New Roman" w:cs="Times New Roman"/>
          <w:noProof/>
          <w:sz w:val="24"/>
          <w:szCs w:val="20"/>
        </w:rPr>
        <w:t>[2]</w:t>
      </w:r>
      <w:r w:rsidR="0012737B">
        <w:rPr>
          <w:rFonts w:ascii="Times New Roman" w:hAnsi="Times New Roman" w:cs="Times New Roman"/>
          <w:sz w:val="24"/>
          <w:szCs w:val="20"/>
        </w:rPr>
        <w:fldChar w:fldCharType="end"/>
      </w:r>
      <w:r w:rsidRPr="005B3064">
        <w:rPr>
          <w:rFonts w:ascii="Times New Roman" w:hAnsi="Times New Roman" w:cs="Times New Roman"/>
          <w:sz w:val="24"/>
          <w:szCs w:val="20"/>
        </w:rPr>
        <w:t xml:space="preserve"> , and protein is the most costly nutrient in practical diets for shrimp production</w:t>
      </w:r>
      <w:r w:rsidR="00072E72">
        <w:rPr>
          <w:rFonts w:ascii="Times New Roman" w:hAnsi="Times New Roman" w:cs="Times New Roman"/>
          <w:sz w:val="24"/>
          <w:szCs w:val="20"/>
        </w:rPr>
        <w:t xml:space="preserve"> </w:t>
      </w:r>
      <w:r w:rsidR="0012737B">
        <w:rPr>
          <w:rFonts w:ascii="Times New Roman" w:hAnsi="Times New Roman" w:cs="Times New Roman"/>
          <w:sz w:val="24"/>
          <w:szCs w:val="20"/>
        </w:rPr>
        <w:fldChar w:fldCharType="begin" w:fldLock="1"/>
      </w:r>
      <w:r w:rsidR="00072E72">
        <w:rPr>
          <w:rFonts w:ascii="Times New Roman" w:hAnsi="Times New Roman" w:cs="Times New Roman"/>
          <w:sz w:val="24"/>
          <w:szCs w:val="20"/>
        </w:rPr>
        <w:instrText>ADDIN CSL_CITATION {"citationItems":[{"id":"ITEM-1","itemData":{"ISSN":"1562-2916","author":[{"dropping-particle":"","family":"Oujifard","given":"A","non-dropping-particle":"","parse-names":false,"suffix":""},{"dropping-particle":"","family":"Seyfabadi","given":"J","non-dropping-particle":"","parse-names":false,"suffix":""},{"dropping-particle":"","family":"Abedian Kenari","given":"A","non-dropping-particle":"","parse-names":false,"suffix":""},{"dropping-particle":"","family":"Rezaei","given":"M","non-dropping-particle":"","parse-names":false,"suffix":""}],"container-title":"Iranian Journal of Fisheries Sciences","id":"ITEM-1","issue":"1","issued":{"date-parts":[["2015"]]},"page":"188-200","publisher":"Agricultural Research, Education and Extension Organization","title":"Growth response and tail-muscle fatty acid quality of Pacific white shrimp, Litopenaeus vannamei (Boone) fed with diets containing different levels of rice protein concentrate","type":"article-journal","volume":"14"},"uris":["http://www.mendeley.com/documents/?uuid=0f217546-b9c9-33a0-9bd2-63a1bec0d362"]}],"mendeley":{"formattedCitation":"[3]","plainTextFormattedCitation":"[3]","previouslyFormattedCitation":"[3]"},"properties":{"noteIndex":0},"schema":"https://github.com/citation-style-language/schema/raw/master/csl-citation.json"}</w:instrText>
      </w:r>
      <w:r w:rsidR="0012737B">
        <w:rPr>
          <w:rFonts w:ascii="Times New Roman" w:hAnsi="Times New Roman" w:cs="Times New Roman"/>
          <w:sz w:val="24"/>
          <w:szCs w:val="20"/>
        </w:rPr>
        <w:fldChar w:fldCharType="separate"/>
      </w:r>
      <w:r w:rsidR="00673B6C" w:rsidRPr="00673B6C">
        <w:rPr>
          <w:rFonts w:ascii="Times New Roman" w:hAnsi="Times New Roman" w:cs="Times New Roman"/>
          <w:noProof/>
          <w:sz w:val="24"/>
          <w:szCs w:val="20"/>
        </w:rPr>
        <w:t>[3]</w:t>
      </w:r>
      <w:r w:rsidR="0012737B">
        <w:rPr>
          <w:rFonts w:ascii="Times New Roman" w:hAnsi="Times New Roman" w:cs="Times New Roman"/>
          <w:sz w:val="24"/>
          <w:szCs w:val="20"/>
        </w:rPr>
        <w:fldChar w:fldCharType="end"/>
      </w:r>
      <w:r w:rsidR="00072E72">
        <w:rPr>
          <w:rFonts w:ascii="Times New Roman" w:hAnsi="Times New Roman" w:cs="Times New Roman"/>
          <w:sz w:val="24"/>
          <w:szCs w:val="20"/>
        </w:rPr>
        <w:t xml:space="preserve"> </w:t>
      </w:r>
      <w:r w:rsidRPr="005B3064">
        <w:rPr>
          <w:rFonts w:ascii="Times New Roman" w:hAnsi="Times New Roman" w:cs="Times New Roman"/>
          <w:sz w:val="24"/>
          <w:szCs w:val="20"/>
        </w:rPr>
        <w:t>With 27.2% of the total fishmeal used in aqua</w:t>
      </w:r>
      <w:r w:rsidR="00072E72">
        <w:rPr>
          <w:rFonts w:ascii="Times New Roman" w:hAnsi="Times New Roman" w:cs="Times New Roman"/>
          <w:sz w:val="24"/>
          <w:szCs w:val="20"/>
        </w:rPr>
        <w:t xml:space="preserve"> </w:t>
      </w:r>
      <w:r w:rsidRPr="005B3064">
        <w:rPr>
          <w:rFonts w:ascii="Times New Roman" w:hAnsi="Times New Roman" w:cs="Times New Roman"/>
          <w:sz w:val="24"/>
          <w:szCs w:val="20"/>
        </w:rPr>
        <w:t xml:space="preserve">feeds in 2008, shrimp were the biggest consumers, followed by marine fish (18.8%) and salmon (13.7%) </w:t>
      </w:r>
      <w:r w:rsidR="0012737B">
        <w:rPr>
          <w:rFonts w:ascii="Times New Roman" w:hAnsi="Times New Roman" w:cs="Times New Roman"/>
          <w:sz w:val="24"/>
          <w:szCs w:val="20"/>
        </w:rPr>
        <w:fldChar w:fldCharType="begin" w:fldLock="1"/>
      </w:r>
      <w:r w:rsidR="00072E72">
        <w:rPr>
          <w:rFonts w:ascii="Times New Roman" w:hAnsi="Times New Roman" w:cs="Times New Roman"/>
          <w:sz w:val="24"/>
          <w:szCs w:val="20"/>
        </w:rPr>
        <w:instrText>ADDIN CSL_CITATION {"citationItems":[{"id":"ITEM-1","itemData":{"ISSN":"0893-8849","author":[{"dropping-particle":"","family":"Tacon","given":"Albert G J","non-dropping-particle":"","parse-names":false,"suffix":""}],"container-title":"Journal of the World Aquaculture Society","id":"ITEM-1","issue":"3","issued":{"date-parts":[["2017"]]},"page":"381-392","publisher":"Wiley Online Library","title":"Biosecure shrimp feeds and feeding practices: guidelines for future development","type":"article-journal","volume":"48"},"uris":["http://www.mendeley.com/documents/?uuid=6a2e6624-5a98-4935-a0f3-2f8988e9e5c2"]}],"mendeley":{"formattedCitation":"[4]","plainTextFormattedCitation":"[4]","previouslyFormattedCitation":"[4]"},"properties":{"noteIndex":0},"schema":"https://github.com/citation-style-language/schema/raw/master/csl-citation.json"}</w:instrText>
      </w:r>
      <w:r w:rsidR="0012737B">
        <w:rPr>
          <w:rFonts w:ascii="Times New Roman" w:hAnsi="Times New Roman" w:cs="Times New Roman"/>
          <w:sz w:val="24"/>
          <w:szCs w:val="20"/>
        </w:rPr>
        <w:fldChar w:fldCharType="separate"/>
      </w:r>
      <w:r w:rsidR="00673B6C" w:rsidRPr="00673B6C">
        <w:rPr>
          <w:rFonts w:ascii="Times New Roman" w:hAnsi="Times New Roman" w:cs="Times New Roman"/>
          <w:noProof/>
          <w:sz w:val="24"/>
          <w:szCs w:val="20"/>
        </w:rPr>
        <w:t>[4]</w:t>
      </w:r>
      <w:r w:rsidR="0012737B">
        <w:rPr>
          <w:rFonts w:ascii="Times New Roman" w:hAnsi="Times New Roman" w:cs="Times New Roman"/>
          <w:sz w:val="24"/>
          <w:szCs w:val="20"/>
        </w:rPr>
        <w:fldChar w:fldCharType="end"/>
      </w:r>
      <w:r w:rsidRPr="005B3064">
        <w:rPr>
          <w:rFonts w:ascii="Times New Roman" w:hAnsi="Times New Roman" w:cs="Times New Roman"/>
          <w:sz w:val="24"/>
          <w:szCs w:val="20"/>
        </w:rPr>
        <w:t>.</w:t>
      </w:r>
      <w:r w:rsidR="00072E72">
        <w:rPr>
          <w:rFonts w:ascii="Times New Roman" w:hAnsi="Times New Roman" w:cs="Times New Roman"/>
          <w:sz w:val="24"/>
          <w:szCs w:val="20"/>
        </w:rPr>
        <w:t xml:space="preserve"> </w:t>
      </w:r>
      <w:r w:rsidRPr="005B3064">
        <w:rPr>
          <w:rFonts w:ascii="Times New Roman" w:hAnsi="Times New Roman" w:cs="Times New Roman"/>
          <w:sz w:val="24"/>
          <w:szCs w:val="20"/>
        </w:rPr>
        <w:t xml:space="preserve">The demand for fishmeal and fish oil is still </w:t>
      </w:r>
      <w:r w:rsidRPr="005B3064">
        <w:rPr>
          <w:rFonts w:ascii="Times New Roman" w:hAnsi="Times New Roman" w:cs="Times New Roman"/>
          <w:sz w:val="24"/>
          <w:szCs w:val="20"/>
        </w:rPr>
        <w:lastRenderedPageBreak/>
        <w:t>increasing due to the steady increase in aquaculture production, even if the aquaculture production sector has been successful in lowering the usage of fishmeal and fish oil in aqua</w:t>
      </w:r>
      <w:r w:rsidR="00072E72">
        <w:rPr>
          <w:rFonts w:ascii="Times New Roman" w:hAnsi="Times New Roman" w:cs="Times New Roman"/>
          <w:sz w:val="24"/>
          <w:szCs w:val="20"/>
        </w:rPr>
        <w:t xml:space="preserve"> </w:t>
      </w:r>
      <w:r w:rsidRPr="005B3064">
        <w:rPr>
          <w:rFonts w:ascii="Times New Roman" w:hAnsi="Times New Roman" w:cs="Times New Roman"/>
          <w:sz w:val="24"/>
          <w:szCs w:val="20"/>
        </w:rPr>
        <w:t>feeds</w:t>
      </w:r>
      <w:r w:rsidR="0012737B">
        <w:rPr>
          <w:rFonts w:ascii="Times New Roman" w:hAnsi="Times New Roman" w:cs="Times New Roman"/>
          <w:sz w:val="24"/>
          <w:szCs w:val="20"/>
        </w:rPr>
        <w:fldChar w:fldCharType="begin" w:fldLock="1"/>
      </w:r>
      <w:r w:rsidR="00072E72">
        <w:rPr>
          <w:rFonts w:ascii="Times New Roman" w:hAnsi="Times New Roman" w:cs="Times New Roman"/>
          <w:sz w:val="24"/>
          <w:szCs w:val="20"/>
        </w:rPr>
        <w:instrText>ADDIN CSL_CITATION {"citationItems":[{"id":"ITEM-1","itemData":{"ISSN":"0027-8424","author":[{"dropping-particle":"","family":"Naylor","given":"Rosamond L","non-dropping-particle":"","parse-names":false,"suffix":""},{"dropping-particle":"","family":"Hardy","given":"Ronald W","non-dropping-particle":"","parse-names":false,"suffix":""},{"dropping-particle":"","family":"Bureau","given":"Dominique P","non-dropping-particle":"","parse-names":false,"suffix":""},{"dropping-particle":"","family":"Chiu","given":"Alice","non-dropping-particle":"","parse-names":false,"suffix":""},{"dropping-particle":"","family":"Elliott","given":"Matthew","non-dropping-particle":"","parse-names":false,"suffix":""},{"dropping-particle":"","family":"Farrell","given":"Anthony P","non-dropping-particle":"","parse-names":false,"suffix":""},{"dropping-particle":"","family":"Forster","given":"Ian","non-dropping-particle":"","parse-names":false,"suffix":""},{"dropping-particle":"","family":"Gatlin","given":"Delbert M","non-dropping-particle":"","parse-names":false,"suffix":""},{"dropping-particle":"","family":"Goldburg","given":"Rebecca J","non-dropping-particle":"","parse-names":false,"suffix":""},{"dropping-particle":"","family":"Hua","given":"Katheline","non-dropping-particle":"","parse-names":false,"suffix":""}],"container-title":"Proceedings of the National Academy of Sciences","id":"ITEM-1","issue":"36","issued":{"date-parts":[["2009"]]},"page":"15103-15110","publisher":"National Academy of Sciences","title":"Feeding aquaculture in an era of finite resources","type":"article-journal","volume":"106"},"uris":["http://www.mendeley.com/documents/?uuid=13ff4e6b-6e64-4165-821b-5257febd55fa"]}],"mendeley":{"formattedCitation":"[2]","plainTextFormattedCitation":"[2]","previouslyFormattedCitation":"[2]"},"properties":{"noteIndex":0},"schema":"https://github.com/citation-style-language/schema/raw/master/csl-citation.json"}</w:instrText>
      </w:r>
      <w:r w:rsidR="0012737B">
        <w:rPr>
          <w:rFonts w:ascii="Times New Roman" w:hAnsi="Times New Roman" w:cs="Times New Roman"/>
          <w:sz w:val="24"/>
          <w:szCs w:val="20"/>
        </w:rPr>
        <w:fldChar w:fldCharType="separate"/>
      </w:r>
      <w:r w:rsidR="00673B6C" w:rsidRPr="00673B6C">
        <w:rPr>
          <w:rFonts w:ascii="Times New Roman" w:hAnsi="Times New Roman" w:cs="Times New Roman"/>
          <w:noProof/>
          <w:sz w:val="24"/>
          <w:szCs w:val="20"/>
        </w:rPr>
        <w:t>[2]</w:t>
      </w:r>
      <w:r w:rsidR="0012737B">
        <w:rPr>
          <w:rFonts w:ascii="Times New Roman" w:hAnsi="Times New Roman" w:cs="Times New Roman"/>
          <w:sz w:val="24"/>
          <w:szCs w:val="20"/>
        </w:rPr>
        <w:fldChar w:fldCharType="end"/>
      </w:r>
      <w:r w:rsidRPr="005B3064">
        <w:rPr>
          <w:rFonts w:ascii="Times New Roman" w:hAnsi="Times New Roman" w:cs="Times New Roman"/>
          <w:sz w:val="24"/>
          <w:szCs w:val="20"/>
        </w:rPr>
        <w:t xml:space="preserve">. This situation raises worries about overfishing and  demand and pricing for these products </w:t>
      </w:r>
      <w:r w:rsidR="0012737B">
        <w:rPr>
          <w:rFonts w:ascii="Times New Roman" w:hAnsi="Times New Roman" w:cs="Times New Roman"/>
          <w:sz w:val="24"/>
          <w:szCs w:val="20"/>
        </w:rPr>
        <w:fldChar w:fldCharType="begin" w:fldLock="1"/>
      </w:r>
      <w:r w:rsidR="00072E72">
        <w:rPr>
          <w:rFonts w:ascii="Times New Roman" w:hAnsi="Times New Roman" w:cs="Times New Roman"/>
          <w:sz w:val="24"/>
          <w:szCs w:val="20"/>
        </w:rPr>
        <w:instrText>ADDIN CSL_CITATION {"citationItems":[{"id":"ITEM-1","itemData":{"ISSN":"0924-2244","author":[{"dropping-particle":"","family":"Olsen","given":"Ragnar L","non-dropping-particle":"","parse-names":false,"suffix":""},{"dropping-particle":"","family":"Hasan","given":"Mohammad R","non-dropping-particle":"","parse-names":false,"suffix":""}],"container-title":"Trends in Food Science &amp; Technology","id":"ITEM-1","issue":"2","issued":{"date-parts":[["2012"]]},"page":"120-128","publisher":"Elsevier","title":"A limited supply of fishmeal: Impact on future increases in global aquaculture production","type":"article-journal","volume":"27"},"uris":["http://www.mendeley.com/documents/?uuid=1ca87ded-d4e2-4991-bcb2-3e5ba2eaf6a6"]}],"mendeley":{"formattedCitation":"[5]","plainTextFormattedCitation":"[5]","previouslyFormattedCitation":"[5]"},"properties":{"noteIndex":0},"schema":"https://github.com/citation-style-language/schema/raw/master/csl-citation.json"}</w:instrText>
      </w:r>
      <w:r w:rsidR="0012737B">
        <w:rPr>
          <w:rFonts w:ascii="Times New Roman" w:hAnsi="Times New Roman" w:cs="Times New Roman"/>
          <w:sz w:val="24"/>
          <w:szCs w:val="20"/>
        </w:rPr>
        <w:fldChar w:fldCharType="separate"/>
      </w:r>
      <w:r w:rsidR="00673B6C" w:rsidRPr="00673B6C">
        <w:rPr>
          <w:rFonts w:ascii="Times New Roman" w:hAnsi="Times New Roman" w:cs="Times New Roman"/>
          <w:noProof/>
          <w:sz w:val="24"/>
          <w:szCs w:val="20"/>
        </w:rPr>
        <w:t>[5]</w:t>
      </w:r>
      <w:r w:rsidR="0012737B">
        <w:rPr>
          <w:rFonts w:ascii="Times New Roman" w:hAnsi="Times New Roman" w:cs="Times New Roman"/>
          <w:sz w:val="24"/>
          <w:szCs w:val="20"/>
        </w:rPr>
        <w:fldChar w:fldCharType="end"/>
      </w:r>
      <w:r w:rsidRPr="005B3064">
        <w:rPr>
          <w:rFonts w:ascii="Times New Roman" w:hAnsi="Times New Roman" w:cs="Times New Roman"/>
          <w:sz w:val="24"/>
          <w:szCs w:val="20"/>
        </w:rPr>
        <w:t>. A significant portion of nutritional research has been devoted to find substitute protein sources in order to support the aquafeed sector</w:t>
      </w:r>
      <w:r w:rsidR="00072E72">
        <w:rPr>
          <w:rFonts w:ascii="Times New Roman" w:hAnsi="Times New Roman" w:cs="Times New Roman"/>
          <w:sz w:val="24"/>
          <w:szCs w:val="20"/>
        </w:rPr>
        <w:t xml:space="preserve"> </w:t>
      </w:r>
      <w:r w:rsidR="00072E72">
        <w:rPr>
          <w:rFonts w:ascii="Times New Roman" w:hAnsi="Times New Roman" w:cs="Times New Roman"/>
          <w:sz w:val="24"/>
          <w:szCs w:val="20"/>
        </w:rPr>
        <w:fldChar w:fldCharType="begin" w:fldLock="1"/>
      </w:r>
      <w:r w:rsidR="00A0786F">
        <w:rPr>
          <w:rFonts w:ascii="Times New Roman" w:hAnsi="Times New Roman" w:cs="Times New Roman"/>
          <w:sz w:val="24"/>
          <w:szCs w:val="20"/>
        </w:rPr>
        <w:instrText>ADDIN CSL_CITATION {"citationItems":[{"id":"ITEM-1","itemData":{"ISBN":"0309216192","author":[{"dropping-particle":"","family":"Council","given":"National Research","non-dropping-particle":"","parse-names":false,"suffix":""},{"dropping-particle":"","family":"Earth","given":"Division on","non-dropping-particle":"","parse-names":false,"suffix":""},{"dropping-particle":"","family":"Studies","given":"Life","non-dropping-particle":"","parse-names":false,"suffix":""},{"dropping-particle":"","family":"Fish","given":"Committee on the Nutrient Requirements of","non-dropping-particle":"","parse-names":false,"suffix":""},{"dropping-particle":"","family":"Shrimp","given":"","non-dropping-particle":"","parse-names":false,"suffix":""}],"id":"ITEM-1","issued":{"date-parts":[["2011"]]},"publisher":"National academies press","title":"Nutrient requirements of fish and shrimp","type":"book"},"uris":["http://www.mendeley.com/documents/?uuid=ab415119-805c-463b-b855-b3de12162ea3"]}],"mendeley":{"formattedCitation":"[6]","plainTextFormattedCitation":"[6]","previouslyFormattedCitation":"[6]"},"properties":{"noteIndex":0},"schema":"https://github.com/citation-style-language/schema/raw/master/csl-citation.json"}</w:instrText>
      </w:r>
      <w:r w:rsidR="00072E72">
        <w:rPr>
          <w:rFonts w:ascii="Times New Roman" w:hAnsi="Times New Roman" w:cs="Times New Roman"/>
          <w:sz w:val="24"/>
          <w:szCs w:val="20"/>
        </w:rPr>
        <w:fldChar w:fldCharType="separate"/>
      </w:r>
      <w:r w:rsidR="00072E72" w:rsidRPr="00072E72">
        <w:rPr>
          <w:rFonts w:ascii="Times New Roman" w:hAnsi="Times New Roman" w:cs="Times New Roman"/>
          <w:noProof/>
          <w:sz w:val="24"/>
          <w:szCs w:val="20"/>
        </w:rPr>
        <w:t>[6]</w:t>
      </w:r>
      <w:r w:rsidR="00072E72">
        <w:rPr>
          <w:rFonts w:ascii="Times New Roman" w:hAnsi="Times New Roman" w:cs="Times New Roman"/>
          <w:sz w:val="24"/>
          <w:szCs w:val="20"/>
        </w:rPr>
        <w:fldChar w:fldCharType="end"/>
      </w:r>
      <w:r w:rsidRPr="005B3064">
        <w:rPr>
          <w:rFonts w:ascii="Times New Roman" w:hAnsi="Times New Roman" w:cs="Times New Roman"/>
          <w:sz w:val="24"/>
          <w:szCs w:val="20"/>
        </w:rPr>
        <w:t xml:space="preserve"> .</w:t>
      </w:r>
    </w:p>
    <w:p w:rsidR="005B3064" w:rsidRPr="005B3064" w:rsidRDefault="005B3064" w:rsidP="005B3064">
      <w:pPr>
        <w:autoSpaceDE w:val="0"/>
        <w:autoSpaceDN w:val="0"/>
        <w:adjustRightInd w:val="0"/>
        <w:spacing w:after="0" w:line="360" w:lineRule="auto"/>
        <w:jc w:val="both"/>
        <w:rPr>
          <w:rFonts w:ascii="Times New Roman" w:hAnsi="Times New Roman" w:cs="Times New Roman"/>
          <w:sz w:val="24"/>
          <w:szCs w:val="20"/>
        </w:rPr>
      </w:pPr>
    </w:p>
    <w:p w:rsidR="00BB3AF0" w:rsidRDefault="005B3064" w:rsidP="00B02398">
      <w:pPr>
        <w:autoSpaceDE w:val="0"/>
        <w:autoSpaceDN w:val="0"/>
        <w:adjustRightInd w:val="0"/>
        <w:spacing w:after="0" w:line="360" w:lineRule="auto"/>
        <w:jc w:val="both"/>
        <w:rPr>
          <w:rFonts w:ascii="Times New Roman" w:hAnsi="Times New Roman" w:cs="Times New Roman"/>
          <w:sz w:val="24"/>
          <w:szCs w:val="20"/>
        </w:rPr>
      </w:pPr>
      <w:r w:rsidRPr="005B3064">
        <w:rPr>
          <w:rFonts w:ascii="Times New Roman" w:hAnsi="Times New Roman" w:cs="Times New Roman"/>
          <w:sz w:val="24"/>
          <w:szCs w:val="20"/>
        </w:rPr>
        <w:t>According to</w:t>
      </w:r>
      <w:r w:rsidR="00A0786F">
        <w:rPr>
          <w:rFonts w:ascii="Times New Roman" w:hAnsi="Times New Roman" w:cs="Times New Roman"/>
          <w:sz w:val="24"/>
          <w:szCs w:val="20"/>
        </w:rPr>
        <w:t xml:space="preserve"> </w:t>
      </w:r>
      <w:r w:rsidR="00A0786F">
        <w:rPr>
          <w:rFonts w:ascii="Times New Roman" w:hAnsi="Times New Roman" w:cs="Times New Roman"/>
          <w:sz w:val="24"/>
          <w:szCs w:val="20"/>
        </w:rPr>
        <w:fldChar w:fldCharType="begin" w:fldLock="1"/>
      </w:r>
      <w:r w:rsidR="00A0786F">
        <w:rPr>
          <w:rFonts w:ascii="Times New Roman" w:hAnsi="Times New Roman" w:cs="Times New Roman"/>
          <w:sz w:val="24"/>
          <w:szCs w:val="20"/>
        </w:rPr>
        <w:instrText>ADDIN CSL_CITATION {"citationItems":[{"id":"ITEM-1","itemData":{"ISSN":"1932-6203","author":[{"dropping-particle":"","family":"Becker","given":"Erin L","non-dropping-particle":"","parse-names":false,"suffix":""},{"dropping-particle":"","family":"Cordes","given":"Erik E","non-dropping-particle":"","parse-names":false,"suffix":""},{"dropping-particle":"","family":"Macko","given":"Stephen A","non-dropping-particle":"","parse-names":false,"suffix":""},{"dropping-particle":"","family":"Lee","given":"Raymond W","non-dropping-particle":"","parse-names":false,"suffix":""},{"dropping-particle":"","family":"Fisher","given":"Charles R","non-dropping-particle":"","parse-names":false,"suffix":""}],"container-title":"PloS one","id":"ITEM-1","issue":"12","issued":{"date-parts":[["2013"]]},"page":"e74459","publisher":"Public Library of Science San Francisco, USA","title":"Using stable isotope compositions of animal tissues to infer trophic interactions in Gulf of Mexico lower slope seep communities","type":"article-journal","volume":"8"},"uris":["http://www.mendeley.com/documents/?uuid=47252862-cbad-44d4-bf58-9011dfd442be"]}],"mendeley":{"formattedCitation":"[7]","plainTextFormattedCitation":"[7]","previouslyFormattedCitation":"[7]"},"properties":{"noteIndex":0},"schema":"https://github.com/citation-style-language/schema/raw/master/csl-citation.json"}</w:instrText>
      </w:r>
      <w:r w:rsidR="00A0786F">
        <w:rPr>
          <w:rFonts w:ascii="Times New Roman" w:hAnsi="Times New Roman" w:cs="Times New Roman"/>
          <w:sz w:val="24"/>
          <w:szCs w:val="20"/>
        </w:rPr>
        <w:fldChar w:fldCharType="separate"/>
      </w:r>
      <w:r w:rsidR="00A0786F" w:rsidRPr="00A0786F">
        <w:rPr>
          <w:rFonts w:ascii="Times New Roman" w:hAnsi="Times New Roman" w:cs="Times New Roman"/>
          <w:noProof/>
          <w:sz w:val="24"/>
          <w:szCs w:val="20"/>
        </w:rPr>
        <w:t>[7]</w:t>
      </w:r>
      <w:r w:rsidR="00A0786F">
        <w:rPr>
          <w:rFonts w:ascii="Times New Roman" w:hAnsi="Times New Roman" w:cs="Times New Roman"/>
          <w:sz w:val="24"/>
          <w:szCs w:val="20"/>
        </w:rPr>
        <w:fldChar w:fldCharType="end"/>
      </w:r>
      <w:r w:rsidR="00A0786F" w:rsidDel="00A0786F">
        <w:rPr>
          <w:rFonts w:ascii="Times New Roman" w:hAnsi="Times New Roman" w:cs="Times New Roman"/>
          <w:sz w:val="24"/>
          <w:szCs w:val="20"/>
        </w:rPr>
        <w:t xml:space="preserve"> </w:t>
      </w:r>
      <w:r w:rsidRPr="005B3064">
        <w:rPr>
          <w:rFonts w:ascii="Times New Roman" w:hAnsi="Times New Roman" w:cs="Times New Roman"/>
          <w:sz w:val="24"/>
          <w:szCs w:val="20"/>
        </w:rPr>
        <w:t>, micro</w:t>
      </w:r>
      <w:r w:rsidR="00AC3361">
        <w:rPr>
          <w:rFonts w:ascii="Times New Roman" w:hAnsi="Times New Roman" w:cs="Times New Roman"/>
          <w:sz w:val="24"/>
          <w:szCs w:val="20"/>
        </w:rPr>
        <w:t>-</w:t>
      </w:r>
      <w:r w:rsidRPr="005B3064">
        <w:rPr>
          <w:rFonts w:ascii="Times New Roman" w:hAnsi="Times New Roman" w:cs="Times New Roman"/>
          <w:sz w:val="24"/>
          <w:szCs w:val="20"/>
        </w:rPr>
        <w:t>algae have high protein concentrations and amino acid profiles that are similar to those of other reference food proteins. Spirulina platensis has gained interest as an animal food source because of its high protein content (60–70%), as well as its abundance of vitamins, minerals, important fatty acids (γ-linolenic acid, or GLA), and antioxidant pigments like carotenoids (</w:t>
      </w:r>
      <w:r w:rsidR="0012737B">
        <w:rPr>
          <w:rFonts w:ascii="Times New Roman" w:hAnsi="Times New Roman" w:cs="Times New Roman"/>
          <w:sz w:val="24"/>
          <w:szCs w:val="20"/>
        </w:rPr>
        <w:fldChar w:fldCharType="begin" w:fldLock="1"/>
      </w:r>
      <w:r w:rsidR="00A0786F">
        <w:rPr>
          <w:rFonts w:ascii="Times New Roman" w:hAnsi="Times New Roman" w:cs="Times New Roman"/>
          <w:sz w:val="24"/>
          <w:szCs w:val="20"/>
        </w:rPr>
        <w:instrText>ADDIN CSL_CITATION {"citationItems":[{"id":"ITEM-1","itemData":{"ISSN":"0921-8971","author":[{"dropping-particle":"","family":"Belay","given":"Amha","non-dropping-particle":"","parse-names":false,"suffix":""},{"dropping-particle":"","family":"Kato","given":"Toshimitsu","non-dropping-particle":"","parse-names":false,"suffix":""},{"dropping-particle":"","family":"Ota","given":"Yoshimichi","non-dropping-particle":"","parse-names":false,"suffix":""}],"container-title":"Journal of Applied Phycology","id":"ITEM-1","issued":{"date-parts":[["1996"]]},"page":"303-311","publisher":"Springer","title":"Spirulina (Arthrospira): potential application as an animal feed supplement","type":"article-journal","volume":"8"},"uris":["http://www.mendeley.com/documents/?uuid=57b35bb0-041f-49c7-9680-d6f587394e6a"]}],"mendeley":{"formattedCitation":"[8]","plainTextFormattedCitation":"[8]","previouslyFormattedCitation":"[8]"},"properties":{"noteIndex":0},"schema":"https://github.com/citation-style-language/schema/raw/master/csl-citation.json"}</w:instrText>
      </w:r>
      <w:r w:rsidR="0012737B">
        <w:rPr>
          <w:rFonts w:ascii="Times New Roman" w:hAnsi="Times New Roman" w:cs="Times New Roman"/>
          <w:sz w:val="24"/>
          <w:szCs w:val="20"/>
        </w:rPr>
        <w:fldChar w:fldCharType="separate"/>
      </w:r>
      <w:r w:rsidR="00072E72" w:rsidRPr="00072E72">
        <w:rPr>
          <w:rFonts w:ascii="Times New Roman" w:hAnsi="Times New Roman" w:cs="Times New Roman"/>
          <w:noProof/>
          <w:sz w:val="24"/>
          <w:szCs w:val="20"/>
        </w:rPr>
        <w:t>[8]</w:t>
      </w:r>
      <w:r w:rsidR="0012737B">
        <w:rPr>
          <w:rFonts w:ascii="Times New Roman" w:hAnsi="Times New Roman" w:cs="Times New Roman"/>
          <w:sz w:val="24"/>
          <w:szCs w:val="20"/>
        </w:rPr>
        <w:fldChar w:fldCharType="end"/>
      </w:r>
      <w:r w:rsidRPr="005B3064">
        <w:rPr>
          <w:rFonts w:ascii="Times New Roman" w:hAnsi="Times New Roman" w:cs="Times New Roman"/>
          <w:sz w:val="24"/>
          <w:szCs w:val="20"/>
        </w:rPr>
        <w:t xml:space="preserve">. </w:t>
      </w:r>
      <w:r w:rsidR="00B02398" w:rsidRPr="00B02398">
        <w:rPr>
          <w:rFonts w:ascii="Times New Roman" w:hAnsi="Times New Roman" w:cs="Times New Roman"/>
          <w:sz w:val="24"/>
          <w:szCs w:val="20"/>
        </w:rPr>
        <w:t>Spirulina has been used in studies as a supplement in fish and crustacean diets</w:t>
      </w:r>
      <w:r w:rsidR="00A0786F">
        <w:rPr>
          <w:rFonts w:ascii="Times New Roman" w:hAnsi="Times New Roman" w:cs="Times New Roman"/>
          <w:sz w:val="24"/>
          <w:szCs w:val="20"/>
        </w:rPr>
        <w:t xml:space="preserve"> </w:t>
      </w:r>
      <w:r w:rsidR="00A0786F">
        <w:rPr>
          <w:rFonts w:ascii="Times New Roman" w:hAnsi="Times New Roman" w:cs="Times New Roman"/>
          <w:sz w:val="24"/>
          <w:szCs w:val="20"/>
        </w:rPr>
        <w:fldChar w:fldCharType="begin" w:fldLock="1"/>
      </w:r>
      <w:r w:rsidR="00A0786F">
        <w:rPr>
          <w:rFonts w:ascii="Times New Roman" w:hAnsi="Times New Roman" w:cs="Times New Roman"/>
          <w:sz w:val="24"/>
          <w:szCs w:val="20"/>
        </w:rPr>
        <w:instrText>ADDIN CSL_CITATION {"citationItems":[{"id":"ITEM-1","itemData":{"ISSN":"0735-0147","author":[{"dropping-particle":"","family":"Cuzon","given":"Gérard","non-dropping-particle":"","parse-names":false,"suffix":""},{"dropping-particle":"Dos","family":"Santos","given":"Rossana","non-dropping-particle":"","parse-names":false,"suffix":""},{"dropping-particle":"","family":"Hew","given":"Meng","non-dropping-particle":"","parse-names":false,"suffix":""},{"dropping-particle":"","family":"Poullaouec","given":"Gilles","non-dropping-particle":"","parse-names":false,"suffix":""}],"container-title":"Journal of the World Mariculture Society","id":"ITEM-1","issue":"2","issued":{"date-parts":[["1981"]]},"page":"282-291","publisher":"Wiley Online Library","title":"Use of Spirulina in Shrimp (Penaeus japonicus) diet","type":"article-journal","volume":"12"},"uris":["http://www.mendeley.com/documents/?uuid=2ce6b9c6-3c11-4c97-8c55-984856d9672e"]}],"mendeley":{"formattedCitation":"[9]","manualFormatting":"[9","plainTextFormattedCitation":"[9]","previouslyFormattedCitation":"[9]"},"properties":{"noteIndex":0},"schema":"https://github.com/citation-style-language/schema/raw/master/csl-citation.json"}</w:instrText>
      </w:r>
      <w:r w:rsidR="00A0786F">
        <w:rPr>
          <w:rFonts w:ascii="Times New Roman" w:hAnsi="Times New Roman" w:cs="Times New Roman"/>
          <w:sz w:val="24"/>
          <w:szCs w:val="20"/>
        </w:rPr>
        <w:fldChar w:fldCharType="separate"/>
      </w:r>
      <w:r w:rsidR="00A0786F" w:rsidRPr="00A0786F">
        <w:rPr>
          <w:rFonts w:ascii="Times New Roman" w:hAnsi="Times New Roman" w:cs="Times New Roman"/>
          <w:noProof/>
          <w:sz w:val="24"/>
          <w:szCs w:val="20"/>
        </w:rPr>
        <w:t>[9</w:t>
      </w:r>
      <w:r w:rsidR="00A0786F">
        <w:rPr>
          <w:rFonts w:ascii="Times New Roman" w:hAnsi="Times New Roman" w:cs="Times New Roman"/>
          <w:sz w:val="24"/>
          <w:szCs w:val="20"/>
        </w:rPr>
        <w:fldChar w:fldCharType="end"/>
      </w:r>
      <w:r w:rsidR="00A0786F">
        <w:rPr>
          <w:rFonts w:ascii="Times New Roman" w:hAnsi="Times New Roman" w:cs="Times New Roman"/>
          <w:sz w:val="24"/>
          <w:szCs w:val="20"/>
        </w:rPr>
        <w:fldChar w:fldCharType="begin" w:fldLock="1"/>
      </w:r>
      <w:r w:rsidR="00A0786F">
        <w:rPr>
          <w:rFonts w:ascii="Times New Roman" w:hAnsi="Times New Roman" w:cs="Times New Roman"/>
          <w:sz w:val="24"/>
          <w:szCs w:val="20"/>
        </w:rPr>
        <w:instrText>ADDIN CSL_CITATION {"citationItems":[{"id":"ITEM-1","itemData":{"author":[{"dropping-particle":"","family":"Jaime-Ceballos","given":"B","non-dropping-particle":"","parse-names":false,"suffix":""},{"dropping-particle":"","family":"Fraga-Castro","given":"Iliana","non-dropping-particle":"","parse-names":false,"suffix":""},{"dropping-particle":"","family":"GALINDO-LÓPES","given":"J","non-dropping-particle":"","parse-names":false,"suffix":""},{"dropping-particle":"","family":"ALVAREZ-CAPOTE","given":"S","non-dropping-particle":"","parse-names":false,"suffix":""}],"container-title":"Revista de Investigaciones Marinas","id":"ITEM-1","issue":"1","issued":{"date-parts":[["2009"]]},"page":"71-78","publisher":"Centro de Investigaciones Marinas","title":"Effect of shrimp head meal inclusion level in Litopenaeus schmitti juveniles diet","type":"article-journal","volume":"30"},"uris":["http://www.mendeley.com/documents/?uuid=a411636e-9c88-41ea-b9f0-7a0c883a95c5"]}],"mendeley":{"formattedCitation":"[10]","manualFormatting":",10,","plainTextFormattedCitation":"[10]","previouslyFormattedCitation":"[10]"},"properties":{"noteIndex":0},"schema":"https://github.com/citation-style-language/schema/raw/master/csl-citation.json"}</w:instrText>
      </w:r>
      <w:r w:rsidR="00A0786F">
        <w:rPr>
          <w:rFonts w:ascii="Times New Roman" w:hAnsi="Times New Roman" w:cs="Times New Roman"/>
          <w:sz w:val="24"/>
          <w:szCs w:val="20"/>
        </w:rPr>
        <w:fldChar w:fldCharType="separate"/>
      </w:r>
      <w:r w:rsidR="00A0786F">
        <w:rPr>
          <w:rFonts w:ascii="Times New Roman" w:hAnsi="Times New Roman" w:cs="Times New Roman"/>
          <w:noProof/>
          <w:sz w:val="24"/>
          <w:szCs w:val="20"/>
        </w:rPr>
        <w:t>,</w:t>
      </w:r>
      <w:r w:rsidR="00A0786F" w:rsidRPr="00A0786F">
        <w:rPr>
          <w:rFonts w:ascii="Times New Roman" w:hAnsi="Times New Roman" w:cs="Times New Roman"/>
          <w:noProof/>
          <w:sz w:val="24"/>
          <w:szCs w:val="20"/>
        </w:rPr>
        <w:t>10</w:t>
      </w:r>
      <w:r w:rsidR="00A0786F">
        <w:rPr>
          <w:rFonts w:ascii="Times New Roman" w:hAnsi="Times New Roman" w:cs="Times New Roman"/>
          <w:noProof/>
          <w:sz w:val="24"/>
          <w:szCs w:val="20"/>
        </w:rPr>
        <w:t>,</w:t>
      </w:r>
      <w:r w:rsidR="00A0786F">
        <w:rPr>
          <w:rFonts w:ascii="Times New Roman" w:hAnsi="Times New Roman" w:cs="Times New Roman"/>
          <w:sz w:val="24"/>
          <w:szCs w:val="20"/>
        </w:rPr>
        <w:fldChar w:fldCharType="end"/>
      </w:r>
      <w:r w:rsidR="00A0786F">
        <w:rPr>
          <w:rFonts w:ascii="Times New Roman" w:hAnsi="Times New Roman" w:cs="Times New Roman"/>
          <w:sz w:val="24"/>
          <w:szCs w:val="20"/>
        </w:rPr>
        <w:fldChar w:fldCharType="begin" w:fldLock="1"/>
      </w:r>
      <w:r w:rsidR="00A0786F">
        <w:rPr>
          <w:rFonts w:ascii="Times New Roman" w:hAnsi="Times New Roman" w:cs="Times New Roman"/>
          <w:sz w:val="24"/>
          <w:szCs w:val="20"/>
        </w:rPr>
        <w:instrText>ADDIN CSL_CITATION {"citationItems":[{"id":"ITEM-1","itemData":{"ISSN":"1355-557X","author":[{"dropping-particle":"","family":"Silva‐Neto","given":"José Fernandes","non-dropping-particle":"","parse-names":false,"suffix":""},{"dropping-particle":"","family":"Nunes","given":"Alberto Jorge Pinto","non-dropping-particle":"","parse-names":false,"suffix":""},{"dropping-particle":"","family":"Sabry‐Neto","given":"Hassan","non-dropping-particle":"","parse-names":false,"suffix":""},{"dropping-particle":"","family":"Sá","given":"Marcelo Vinícius Carmo","non-dropping-particle":"","parse-names":false,"suffix":""}],"container-title":"Aquaculture Research","id":"ITEM-1","issue":"3","issued":{"date-parts":[["2012"]]},"page":"430-437","publisher":"Wiley Online Library","title":"Spirulina meal has acted as a strong feeding attractant for Litopenaeus vannamei at a very low dietary inclusion level","type":"article-journal","volume":"43"},"uris":["http://www.mendeley.com/documents/?uuid=7a2fee3f-ecf3-4151-aa83-b1be53072aee"]}],"mendeley":{"formattedCitation":"[11]","manualFormatting":"11]","plainTextFormattedCitation":"[11]","previouslyFormattedCitation":"[11]"},"properties":{"noteIndex":0},"schema":"https://github.com/citation-style-language/schema/raw/master/csl-citation.json"}</w:instrText>
      </w:r>
      <w:r w:rsidR="00A0786F">
        <w:rPr>
          <w:rFonts w:ascii="Times New Roman" w:hAnsi="Times New Roman" w:cs="Times New Roman"/>
          <w:sz w:val="24"/>
          <w:szCs w:val="20"/>
        </w:rPr>
        <w:fldChar w:fldCharType="separate"/>
      </w:r>
      <w:r w:rsidR="00A0786F" w:rsidRPr="00A0786F">
        <w:rPr>
          <w:rFonts w:ascii="Times New Roman" w:hAnsi="Times New Roman" w:cs="Times New Roman"/>
          <w:noProof/>
          <w:sz w:val="24"/>
          <w:szCs w:val="20"/>
        </w:rPr>
        <w:t>11]</w:t>
      </w:r>
      <w:r w:rsidR="00A0786F">
        <w:rPr>
          <w:rFonts w:ascii="Times New Roman" w:hAnsi="Times New Roman" w:cs="Times New Roman"/>
          <w:sz w:val="24"/>
          <w:szCs w:val="20"/>
        </w:rPr>
        <w:fldChar w:fldCharType="end"/>
      </w:r>
      <w:r w:rsidR="00B02398" w:rsidRPr="00B02398">
        <w:rPr>
          <w:rFonts w:ascii="Times New Roman" w:hAnsi="Times New Roman" w:cs="Times New Roman"/>
          <w:sz w:val="24"/>
          <w:szCs w:val="20"/>
        </w:rPr>
        <w:t xml:space="preserve"> and as a partial replacement for fishmeal in tilapia, carp, and sturgeon</w:t>
      </w:r>
      <w:r w:rsidR="00A0786F">
        <w:rPr>
          <w:rFonts w:ascii="Times New Roman" w:hAnsi="Times New Roman" w:cs="Times New Roman"/>
          <w:sz w:val="24"/>
          <w:szCs w:val="20"/>
        </w:rPr>
        <w:t xml:space="preserve"> </w:t>
      </w:r>
      <w:r w:rsidR="00A0786F">
        <w:rPr>
          <w:rFonts w:ascii="Times New Roman" w:hAnsi="Times New Roman" w:cs="Times New Roman"/>
          <w:sz w:val="24"/>
          <w:szCs w:val="20"/>
        </w:rPr>
        <w:fldChar w:fldCharType="begin" w:fldLock="1"/>
      </w:r>
      <w:r w:rsidR="00421537">
        <w:rPr>
          <w:rFonts w:ascii="Times New Roman" w:hAnsi="Times New Roman" w:cs="Times New Roman"/>
          <w:sz w:val="24"/>
          <w:szCs w:val="20"/>
        </w:rPr>
        <w:instrText>ADDIN CSL_CITATION {"citationItems":[{"id":"ITEM-1","itemData":{"author":[{"dropping-particle":"","family":"Nandeesha","given":"M C","non-dropping-particle":"","parse-names":false,"suffix":""},{"dropping-particle":"","family":"Sentilkumar","given":"V","non-dropping-particle":"","parse-names":false,"suffix":""},{"dropping-particle":"","family":"Antony Jesu Prabhu","given":"Philip","non-dropping-particle":"","parse-names":false,"suffix":""}],"container-title":"On-farm feeding and feed management in aquaculture. FAO Fisheries and Aquaculture Technical Paper","id":"ITEM-1","issued":{"date-parts":[["2013"]]},"page":"433-462","title":"Feed management of major carps in India, with special reference to practices adopted in Tamil Nadu","type":"article-journal","volume":"583"},"uris":["http://www.mendeley.com/documents/?uuid=fcda97cc-50fd-4b88-8a5c-41f1bea0fbe8"]}],"mendeley":{"formattedCitation":"[12]","manualFormatting":"[12,","plainTextFormattedCitation":"[12]","previouslyFormattedCitation":"[12]"},"properties":{"noteIndex":0},"schema":"https://github.com/citation-style-language/schema/raw/master/csl-citation.json"}</w:instrText>
      </w:r>
      <w:r w:rsidR="00A0786F">
        <w:rPr>
          <w:rFonts w:ascii="Times New Roman" w:hAnsi="Times New Roman" w:cs="Times New Roman"/>
          <w:sz w:val="24"/>
          <w:szCs w:val="20"/>
        </w:rPr>
        <w:fldChar w:fldCharType="separate"/>
      </w:r>
      <w:r w:rsidR="00A0786F" w:rsidRPr="00A0786F">
        <w:rPr>
          <w:rFonts w:ascii="Times New Roman" w:hAnsi="Times New Roman" w:cs="Times New Roman"/>
          <w:noProof/>
          <w:sz w:val="24"/>
          <w:szCs w:val="20"/>
        </w:rPr>
        <w:t>[12</w:t>
      </w:r>
      <w:r w:rsidR="00A0786F">
        <w:rPr>
          <w:rFonts w:ascii="Times New Roman" w:hAnsi="Times New Roman" w:cs="Times New Roman"/>
          <w:noProof/>
          <w:sz w:val="24"/>
          <w:szCs w:val="20"/>
        </w:rPr>
        <w:t>,</w:t>
      </w:r>
      <w:r w:rsidR="00A0786F">
        <w:rPr>
          <w:rFonts w:ascii="Times New Roman" w:hAnsi="Times New Roman" w:cs="Times New Roman"/>
          <w:sz w:val="24"/>
          <w:szCs w:val="20"/>
        </w:rPr>
        <w:fldChar w:fldCharType="end"/>
      </w:r>
      <w:r w:rsidR="00626378">
        <w:rPr>
          <w:rFonts w:ascii="Times New Roman" w:hAnsi="Times New Roman" w:cs="Times New Roman"/>
          <w:sz w:val="24"/>
          <w:szCs w:val="20"/>
        </w:rPr>
        <w:t xml:space="preserve">  </w:t>
      </w:r>
      <w:r w:rsidR="00A0786F">
        <w:rPr>
          <w:rFonts w:ascii="Times New Roman" w:hAnsi="Times New Roman" w:cs="Times New Roman"/>
          <w:sz w:val="24"/>
          <w:szCs w:val="20"/>
        </w:rPr>
        <w:fldChar w:fldCharType="begin" w:fldLock="1"/>
      </w:r>
      <w:r w:rsidR="00421537">
        <w:rPr>
          <w:rFonts w:ascii="Times New Roman" w:hAnsi="Times New Roman" w:cs="Times New Roman"/>
          <w:sz w:val="24"/>
          <w:szCs w:val="20"/>
        </w:rPr>
        <w:instrText>ADDIN CSL_CITATION {"citationItems":[{"id":"ITEM-1","itemData":{"ISSN":"0044-8486","author":[{"dropping-particle":"","family":"Hernández","given":"Crisantema","non-dropping-particle":"","parse-names":false,"suffix":""},{"dropping-particle":"","family":"Olvera-Novoa","given":"Miguel A","non-dropping-particle":"","parse-names":false,"suffix":""},{"dropping-particle":"","family":"Aguilar-Vejar","given":"Karla","non-dropping-particle":"","parse-names":false,"suffix":""},{"dropping-particle":"","family":"González-Rodríguez","given":"Blanca","non-dropping-particle":"","parse-names":false,"suffix":""},{"dropping-particle":"","family":"la Parra","given":"Isabel Abdo","non-dropping-particle":"de","parse-names":false,"suffix":""}],"container-title":"Aquaculture","id":"ITEM-1","issue":"3-4","issued":{"date-parts":[["2008"]]},"page":"244-250","publisher":"Elsevier","title":"Partial replacement of fish meal by porcine meat meal in practical diets for Pacific white shrimp (Litopenaeus vannamei)","type":"article-journal","volume":"277"},"uris":["http://www.mendeley.com/documents/?uuid=131897e1-0e0d-4bed-888e-a93c956f285d"]}],"mendeley":{"formattedCitation":"[13]","manualFormatting":"  13]","plainTextFormattedCitation":"[13]","previouslyFormattedCitation":"[13]"},"properties":{"noteIndex":0},"schema":"https://github.com/citation-style-language/schema/raw/master/csl-citation.json"}</w:instrText>
      </w:r>
      <w:r w:rsidR="00A0786F">
        <w:rPr>
          <w:rFonts w:ascii="Times New Roman" w:hAnsi="Times New Roman" w:cs="Times New Roman"/>
          <w:sz w:val="24"/>
          <w:szCs w:val="20"/>
        </w:rPr>
        <w:fldChar w:fldCharType="separate"/>
      </w:r>
      <w:r w:rsidR="00626378">
        <w:rPr>
          <w:rFonts w:ascii="Times New Roman" w:hAnsi="Times New Roman" w:cs="Times New Roman"/>
          <w:noProof/>
          <w:sz w:val="24"/>
          <w:szCs w:val="20"/>
        </w:rPr>
        <w:t xml:space="preserve">  </w:t>
      </w:r>
      <w:r w:rsidR="00A0786F" w:rsidRPr="00A0786F">
        <w:rPr>
          <w:rFonts w:ascii="Times New Roman" w:hAnsi="Times New Roman" w:cs="Times New Roman"/>
          <w:noProof/>
          <w:sz w:val="24"/>
          <w:szCs w:val="20"/>
        </w:rPr>
        <w:t>13]</w:t>
      </w:r>
      <w:r w:rsidR="00A0786F">
        <w:rPr>
          <w:rFonts w:ascii="Times New Roman" w:hAnsi="Times New Roman" w:cs="Times New Roman"/>
          <w:sz w:val="24"/>
          <w:szCs w:val="20"/>
        </w:rPr>
        <w:fldChar w:fldCharType="end"/>
      </w:r>
      <w:r w:rsidR="00A0786F" w:rsidDel="00A0786F">
        <w:rPr>
          <w:rFonts w:ascii="Times New Roman" w:hAnsi="Times New Roman" w:cs="Times New Roman"/>
          <w:sz w:val="24"/>
          <w:szCs w:val="20"/>
        </w:rPr>
        <w:t xml:space="preserve"> </w:t>
      </w:r>
      <w:r w:rsidR="00B02398" w:rsidRPr="00B02398">
        <w:rPr>
          <w:rFonts w:ascii="Times New Roman" w:hAnsi="Times New Roman" w:cs="Times New Roman"/>
          <w:sz w:val="24"/>
          <w:szCs w:val="20"/>
        </w:rPr>
        <w:t>. Tryptophan, methionine, and other amino acid quantities in spirulina protein are comparable to those in casein, and the protein's amino acid composition is balanced. Compared to another animal source, it is less expensive and can be utilized as a partial or full substitute for protein in aqua-feeds</w:t>
      </w:r>
      <w:r w:rsidR="0012737B">
        <w:rPr>
          <w:rFonts w:ascii="Times New Roman" w:hAnsi="Times New Roman" w:cs="Times New Roman"/>
          <w:sz w:val="24"/>
          <w:szCs w:val="20"/>
        </w:rPr>
        <w:fldChar w:fldCharType="begin" w:fldLock="1"/>
      </w:r>
      <w:r w:rsidR="00A0786F">
        <w:rPr>
          <w:rFonts w:ascii="Times New Roman" w:hAnsi="Times New Roman" w:cs="Times New Roman"/>
          <w:sz w:val="24"/>
          <w:szCs w:val="20"/>
        </w:rPr>
        <w:instrText>ADDIN CSL_CITATION {"citationItems":[{"id":"ITEM-1","itemData":{"ISSN":"0044-8486","author":[{"dropping-particle":"","family":"Habib","given":"Yusuf Jibril","non-dropping-particle":"","parse-names":false,"suffix":""},{"dropping-particle":"","family":"Wan","given":"Haifu","non-dropping-particle":"","parse-names":false,"suffix":""},{"dropping-particle":"","family":"Sun","given":"Yulong","non-dropping-particle":"","parse-names":false,"suffix":""},{"dropping-particle":"","family":"Shi","given":"Jialong","non-dropping-particle":"","parse-names":false,"suffix":""},{"dropping-particle":"","family":"Yao","given":"Chengjie","non-dropping-particle":"","parse-names":false,"suffix":""},{"dropping-particle":"","family":"Lin","given":"Jiaming","non-dropping-particle":"","parse-names":false,"suffix":""},{"dropping-particle":"","family":"Ge","given":"Hui","non-dropping-particle":"","parse-names":false,"suffix":""},{"dropping-particle":"","family":"Wang","given":"Yilei","non-dropping-particle":"","parse-names":false,"suffix":""},{"dropping-particle":"","family":"Zhang","given":"Ziping","non-dropping-particle":"","parse-names":false,"suffix":""}],"container-title":"Aquaculture","id":"ITEM-1","issued":{"date-parts":[["2021"]]},"page":"735996","publisher":"Elsevier","title":"Genome-wide identification of toll-like receptors in Pacific white shrimp (Litopenaeus vannamei) and expression analysis in response to Vibrio parahaemolyticus invasion","type":"article-journal","volume":"532"},"uris":["http://www.mendeley.com/documents/?uuid=b0875d5c-9796-45b2-984b-4dbab523b79e"]}],"mendeley":{"formattedCitation":"[14]","plainTextFormattedCitation":"[14]","previouslyFormattedCitation":"[14]"},"properties":{"noteIndex":0},"schema":"https://github.com/citation-style-language/schema/raw/master/csl-citation.json"}</w:instrText>
      </w:r>
      <w:r w:rsidR="0012737B">
        <w:rPr>
          <w:rFonts w:ascii="Times New Roman" w:hAnsi="Times New Roman" w:cs="Times New Roman"/>
          <w:sz w:val="24"/>
          <w:szCs w:val="20"/>
        </w:rPr>
        <w:fldChar w:fldCharType="separate"/>
      </w:r>
      <w:r w:rsidR="00072E72" w:rsidRPr="00072E72">
        <w:rPr>
          <w:rFonts w:ascii="Times New Roman" w:hAnsi="Times New Roman" w:cs="Times New Roman"/>
          <w:noProof/>
          <w:sz w:val="24"/>
          <w:szCs w:val="20"/>
        </w:rPr>
        <w:t>[14]</w:t>
      </w:r>
      <w:r w:rsidR="0012737B">
        <w:rPr>
          <w:rFonts w:ascii="Times New Roman" w:hAnsi="Times New Roman" w:cs="Times New Roman"/>
          <w:sz w:val="24"/>
          <w:szCs w:val="20"/>
        </w:rPr>
        <w:fldChar w:fldCharType="end"/>
      </w:r>
      <w:r w:rsidR="00BB3AF0">
        <w:rPr>
          <w:rFonts w:ascii="Times New Roman" w:hAnsi="Times New Roman" w:cs="Times New Roman"/>
          <w:sz w:val="24"/>
          <w:szCs w:val="20"/>
        </w:rPr>
        <w:t>.</w:t>
      </w:r>
    </w:p>
    <w:p w:rsidR="00B02398" w:rsidRDefault="00B02398" w:rsidP="00B02398">
      <w:pPr>
        <w:autoSpaceDE w:val="0"/>
        <w:autoSpaceDN w:val="0"/>
        <w:adjustRightInd w:val="0"/>
        <w:spacing w:after="0" w:line="360" w:lineRule="auto"/>
        <w:jc w:val="both"/>
        <w:rPr>
          <w:rFonts w:ascii="Times New Roman" w:hAnsi="Times New Roman" w:cs="Times New Roman"/>
          <w:sz w:val="24"/>
          <w:szCs w:val="20"/>
        </w:rPr>
      </w:pPr>
    </w:p>
    <w:p w:rsidR="005E3EAD" w:rsidRPr="00B02398" w:rsidRDefault="00B02398" w:rsidP="00E73551">
      <w:pPr>
        <w:pStyle w:val="Default"/>
        <w:spacing w:line="360" w:lineRule="auto"/>
        <w:jc w:val="both"/>
        <w:rPr>
          <w:sz w:val="28"/>
          <w:szCs w:val="20"/>
        </w:rPr>
      </w:pPr>
      <w:r w:rsidRPr="00B02398">
        <w:rPr>
          <w:color w:val="auto"/>
          <w:szCs w:val="20"/>
        </w:rPr>
        <w:t>The intention of this study was to assess how Pacific white shrimp larvae (</w:t>
      </w:r>
      <w:r w:rsidRPr="00B02398">
        <w:rPr>
          <w:i/>
          <w:color w:val="auto"/>
          <w:szCs w:val="20"/>
        </w:rPr>
        <w:t>Litopenaeus</w:t>
      </w:r>
      <w:r w:rsidR="00E85730">
        <w:rPr>
          <w:i/>
          <w:color w:val="auto"/>
          <w:szCs w:val="20"/>
        </w:rPr>
        <w:t xml:space="preserve"> </w:t>
      </w:r>
      <w:r w:rsidRPr="00B02398">
        <w:rPr>
          <w:i/>
          <w:color w:val="auto"/>
          <w:szCs w:val="20"/>
        </w:rPr>
        <w:t>vannamei</w:t>
      </w:r>
      <w:r w:rsidRPr="00B02398">
        <w:rPr>
          <w:color w:val="auto"/>
          <w:szCs w:val="20"/>
        </w:rPr>
        <w:t>) developed and used feed when fish meal</w:t>
      </w:r>
      <w:r>
        <w:rPr>
          <w:color w:val="auto"/>
          <w:szCs w:val="20"/>
        </w:rPr>
        <w:t xml:space="preserve"> was substituted with a marine cyanobacteria</w:t>
      </w:r>
      <w:r w:rsidRPr="00B02398">
        <w:rPr>
          <w:color w:val="auto"/>
          <w:szCs w:val="20"/>
        </w:rPr>
        <w:t xml:space="preserve"> species (</w:t>
      </w:r>
      <w:r w:rsidRPr="00B02398">
        <w:rPr>
          <w:i/>
          <w:color w:val="auto"/>
          <w:szCs w:val="20"/>
        </w:rPr>
        <w:t>Spirulina</w:t>
      </w:r>
      <w:r w:rsidR="00841809">
        <w:rPr>
          <w:i/>
          <w:color w:val="auto"/>
          <w:szCs w:val="20"/>
        </w:rPr>
        <w:t xml:space="preserve"> </w:t>
      </w:r>
      <w:r w:rsidRPr="00B02398">
        <w:rPr>
          <w:color w:val="auto"/>
          <w:szCs w:val="20"/>
        </w:rPr>
        <w:t>sp</w:t>
      </w:r>
      <w:r>
        <w:rPr>
          <w:color w:val="auto"/>
          <w:szCs w:val="20"/>
        </w:rPr>
        <w:t xml:space="preserve"> BDUT005</w:t>
      </w:r>
      <w:r w:rsidRPr="00B02398">
        <w:rPr>
          <w:color w:val="auto"/>
          <w:szCs w:val="20"/>
        </w:rPr>
        <w:t>).</w:t>
      </w:r>
    </w:p>
    <w:p w:rsidR="00B02398" w:rsidRDefault="00B02398" w:rsidP="00E73551">
      <w:pPr>
        <w:pStyle w:val="Default"/>
        <w:spacing w:line="360" w:lineRule="auto"/>
        <w:jc w:val="both"/>
        <w:rPr>
          <w:b/>
          <w:szCs w:val="20"/>
        </w:rPr>
      </w:pPr>
    </w:p>
    <w:p w:rsidR="005E3EAD" w:rsidRPr="00B02398" w:rsidRDefault="005E3EAD" w:rsidP="00E73551">
      <w:pPr>
        <w:pStyle w:val="Default"/>
        <w:spacing w:line="360" w:lineRule="auto"/>
        <w:jc w:val="both"/>
        <w:rPr>
          <w:b/>
          <w:szCs w:val="20"/>
        </w:rPr>
      </w:pPr>
      <w:r w:rsidRPr="00B02398">
        <w:rPr>
          <w:b/>
          <w:szCs w:val="20"/>
        </w:rPr>
        <w:t>Materials and Methods</w:t>
      </w:r>
    </w:p>
    <w:p w:rsidR="005E3EAD" w:rsidRPr="005E3EAD" w:rsidRDefault="00B02398" w:rsidP="005E3EAD">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B02398">
        <w:rPr>
          <w:rFonts w:ascii="Times New Roman" w:eastAsia="Times New Roman" w:hAnsi="Times New Roman" w:cs="Times New Roman"/>
          <w:sz w:val="24"/>
          <w:szCs w:val="24"/>
        </w:rPr>
        <w:t>larvae of the white leg shrimp (</w:t>
      </w:r>
      <w:r w:rsidRPr="00136960">
        <w:rPr>
          <w:rFonts w:ascii="Times New Roman" w:eastAsia="Times New Roman" w:hAnsi="Times New Roman" w:cs="Times New Roman"/>
          <w:i/>
          <w:sz w:val="24"/>
          <w:szCs w:val="24"/>
        </w:rPr>
        <w:t>L</w:t>
      </w:r>
      <w:r w:rsidRPr="00B02398">
        <w:rPr>
          <w:rFonts w:ascii="Times New Roman" w:eastAsia="Times New Roman" w:hAnsi="Times New Roman" w:cs="Times New Roman"/>
          <w:sz w:val="24"/>
          <w:szCs w:val="24"/>
        </w:rPr>
        <w:t xml:space="preserve">. </w:t>
      </w:r>
      <w:r w:rsidRPr="00B02398">
        <w:rPr>
          <w:rFonts w:ascii="Times New Roman" w:eastAsia="Times New Roman" w:hAnsi="Times New Roman" w:cs="Times New Roman"/>
          <w:i/>
          <w:sz w:val="24"/>
          <w:szCs w:val="24"/>
        </w:rPr>
        <w:t>vannamei</w:t>
      </w:r>
      <w:r w:rsidRPr="00B02398">
        <w:rPr>
          <w:rFonts w:ascii="Times New Roman" w:eastAsia="Times New Roman" w:hAnsi="Times New Roman" w:cs="Times New Roman"/>
          <w:sz w:val="24"/>
          <w:szCs w:val="24"/>
        </w:rPr>
        <w:t xml:space="preserve">) were acquired from a commercial shrimp hatchery located in Markkanam, Tamil Nadu. Double-layered, oxygenated polythene bags were used to transport the </w:t>
      </w:r>
      <w:r w:rsidR="00AC2714">
        <w:rPr>
          <w:rFonts w:ascii="Times New Roman" w:eastAsia="Times New Roman" w:hAnsi="Times New Roman" w:cs="Times New Roman"/>
          <w:sz w:val="24"/>
          <w:szCs w:val="24"/>
        </w:rPr>
        <w:t>shrimps</w:t>
      </w:r>
      <w:r w:rsidRPr="00B02398">
        <w:rPr>
          <w:rFonts w:ascii="Times New Roman" w:eastAsia="Times New Roman" w:hAnsi="Times New Roman" w:cs="Times New Roman"/>
          <w:sz w:val="24"/>
          <w:szCs w:val="24"/>
        </w:rPr>
        <w:t>. The shrimp were placed in the acclimation tanks with salt</w:t>
      </w:r>
      <w:r w:rsidR="00136960">
        <w:rPr>
          <w:rFonts w:ascii="Times New Roman" w:eastAsia="Times New Roman" w:hAnsi="Times New Roman" w:cs="Times New Roman"/>
          <w:sz w:val="24"/>
          <w:szCs w:val="24"/>
        </w:rPr>
        <w:t>-</w:t>
      </w:r>
      <w:r w:rsidRPr="00B02398">
        <w:rPr>
          <w:rFonts w:ascii="Times New Roman" w:eastAsia="Times New Roman" w:hAnsi="Times New Roman" w:cs="Times New Roman"/>
          <w:sz w:val="24"/>
          <w:szCs w:val="24"/>
        </w:rPr>
        <w:t>water (salinity, 30 ppt) as soon as they got to the lab. The shrimp were fed a commercial diet (Skretting: 38% crude protein, 8% crude fat, and 5.9</w:t>
      </w:r>
      <w:r w:rsidR="00626378">
        <w:rPr>
          <w:rFonts w:ascii="Times New Roman" w:eastAsia="Times New Roman" w:hAnsi="Times New Roman" w:cs="Times New Roman"/>
          <w:sz w:val="24"/>
          <w:szCs w:val="24"/>
        </w:rPr>
        <w:t>%</w:t>
      </w:r>
      <w:r w:rsidRPr="00B02398">
        <w:rPr>
          <w:rFonts w:ascii="Times New Roman" w:eastAsia="Times New Roman" w:hAnsi="Times New Roman" w:cs="Times New Roman"/>
          <w:sz w:val="24"/>
          <w:szCs w:val="24"/>
        </w:rPr>
        <w:t xml:space="preserve"> crude fiber with 3980 Kcal of</w:t>
      </w:r>
      <w:r w:rsidR="00626378">
        <w:rPr>
          <w:rFonts w:ascii="Times New Roman" w:eastAsia="Times New Roman" w:hAnsi="Times New Roman" w:cs="Times New Roman"/>
          <w:sz w:val="24"/>
          <w:szCs w:val="24"/>
        </w:rPr>
        <w:t xml:space="preserve"> digestiable components</w:t>
      </w:r>
      <w:r w:rsidRPr="00B02398">
        <w:rPr>
          <w:rFonts w:ascii="Times New Roman" w:eastAsia="Times New Roman" w:hAnsi="Times New Roman" w:cs="Times New Roman"/>
          <w:sz w:val="24"/>
          <w:szCs w:val="24"/>
        </w:rPr>
        <w:t xml:space="preserve"> energy) twice a day for two weeks prior to the</w:t>
      </w:r>
      <w:r w:rsidR="00626378">
        <w:rPr>
          <w:rFonts w:ascii="Times New Roman" w:eastAsia="Times New Roman" w:hAnsi="Times New Roman" w:cs="Times New Roman"/>
          <w:sz w:val="24"/>
          <w:szCs w:val="24"/>
        </w:rPr>
        <w:t xml:space="preserve"> start of the</w:t>
      </w:r>
      <w:r w:rsidRPr="00B02398">
        <w:rPr>
          <w:rFonts w:ascii="Times New Roman" w:eastAsia="Times New Roman" w:hAnsi="Times New Roman" w:cs="Times New Roman"/>
          <w:sz w:val="24"/>
          <w:szCs w:val="24"/>
        </w:rPr>
        <w:t xml:space="preserve"> </w:t>
      </w:r>
      <w:r w:rsidR="00626378">
        <w:rPr>
          <w:rFonts w:ascii="Times New Roman" w:eastAsia="Times New Roman" w:hAnsi="Times New Roman" w:cs="Times New Roman"/>
          <w:sz w:val="24"/>
          <w:szCs w:val="24"/>
        </w:rPr>
        <w:t xml:space="preserve">experiment </w:t>
      </w:r>
      <w:r w:rsidR="00AC2714">
        <w:rPr>
          <w:rFonts w:ascii="Times New Roman" w:eastAsia="Times New Roman" w:hAnsi="Times New Roman" w:cs="Times New Roman"/>
          <w:sz w:val="24"/>
          <w:szCs w:val="24"/>
        </w:rPr>
        <w:t>.</w:t>
      </w:r>
    </w:p>
    <w:p w:rsidR="00B02398" w:rsidRDefault="00B02398" w:rsidP="005E3EAD">
      <w:pPr>
        <w:widowControl w:val="0"/>
        <w:autoSpaceDE w:val="0"/>
        <w:autoSpaceDN w:val="0"/>
        <w:spacing w:after="0" w:line="360" w:lineRule="auto"/>
        <w:jc w:val="both"/>
        <w:rPr>
          <w:rFonts w:ascii="Times New Roman" w:eastAsia="Times New Roman" w:hAnsi="Times New Roman" w:cs="Times New Roman"/>
          <w:sz w:val="24"/>
          <w:szCs w:val="24"/>
        </w:rPr>
      </w:pPr>
      <w:r w:rsidRPr="00B02398">
        <w:rPr>
          <w:rFonts w:ascii="Times New Roman" w:eastAsia="Times New Roman" w:hAnsi="Times New Roman" w:cs="Times New Roman"/>
          <w:sz w:val="24"/>
          <w:szCs w:val="24"/>
        </w:rPr>
        <w:t xml:space="preserve">Twelve tanks holding 100 L of water were used for the experiment. There were three duplicates of each treatment, and each tank held thirty post-larvae weighing 0.03 g. After being filtered through a 50μm plankton net to keep unwanted materials and suspended particles out of the </w:t>
      </w:r>
      <w:r w:rsidRPr="00B02398">
        <w:rPr>
          <w:rFonts w:ascii="Times New Roman" w:eastAsia="Times New Roman" w:hAnsi="Times New Roman" w:cs="Times New Roman"/>
          <w:sz w:val="24"/>
          <w:szCs w:val="24"/>
        </w:rPr>
        <w:lastRenderedPageBreak/>
        <w:t>tanks, saltwater was added to the tanks and diluted with fresh water to create a salinity of 30 parts per thousand. Two air stone-hose diffuser systems were included with each tank, and they are connected to a 220 watt air blower. The experiment was conducted with 24-hour aeration. To prevent</w:t>
      </w:r>
      <w:r w:rsidR="00AC2714">
        <w:rPr>
          <w:rFonts w:ascii="Times New Roman" w:eastAsia="Times New Roman" w:hAnsi="Times New Roman" w:cs="Times New Roman"/>
          <w:sz w:val="24"/>
          <w:szCs w:val="24"/>
        </w:rPr>
        <w:t xml:space="preserve"> shrimp from escaping, plastic nets</w:t>
      </w:r>
      <w:r w:rsidRPr="00B02398">
        <w:rPr>
          <w:rFonts w:ascii="Times New Roman" w:eastAsia="Times New Roman" w:hAnsi="Times New Roman" w:cs="Times New Roman"/>
          <w:sz w:val="24"/>
          <w:szCs w:val="24"/>
        </w:rPr>
        <w:t xml:space="preserve"> were always placed over all of the tanks. </w:t>
      </w:r>
      <w:r w:rsidR="00AC2714">
        <w:rPr>
          <w:rFonts w:ascii="Times New Roman" w:eastAsia="Times New Roman" w:hAnsi="Times New Roman" w:cs="Times New Roman"/>
          <w:sz w:val="24"/>
          <w:szCs w:val="24"/>
        </w:rPr>
        <w:t>50%</w:t>
      </w:r>
      <w:r w:rsidRPr="00B02398">
        <w:rPr>
          <w:rFonts w:ascii="Times New Roman" w:eastAsia="Times New Roman" w:hAnsi="Times New Roman" w:cs="Times New Roman"/>
          <w:sz w:val="24"/>
          <w:szCs w:val="24"/>
        </w:rPr>
        <w:t>, water was swapped.</w:t>
      </w:r>
      <w:r w:rsidR="00AC2714">
        <w:rPr>
          <w:rFonts w:ascii="Times New Roman" w:eastAsia="Times New Roman" w:hAnsi="Times New Roman" w:cs="Times New Roman"/>
          <w:sz w:val="24"/>
          <w:szCs w:val="24"/>
        </w:rPr>
        <w:t xml:space="preserve"> Three days</w:t>
      </w:r>
      <w:r w:rsidRPr="00B02398">
        <w:rPr>
          <w:rFonts w:ascii="Times New Roman" w:eastAsia="Times New Roman" w:hAnsi="Times New Roman" w:cs="Times New Roman"/>
          <w:sz w:val="24"/>
          <w:szCs w:val="24"/>
        </w:rPr>
        <w:t xml:space="preserve"> later, shrimp larvae were added to every aquarium. The experimental diets (as indicated in Table 1) were supplied to the shrimp twice a day at an initial weight of 14% of body weight, which was progressively reduced to 5% at the</w:t>
      </w:r>
      <w:r w:rsidR="00626378">
        <w:rPr>
          <w:rFonts w:ascii="Times New Roman" w:eastAsia="Times New Roman" w:hAnsi="Times New Roman" w:cs="Times New Roman"/>
          <w:sz w:val="24"/>
          <w:szCs w:val="24"/>
        </w:rPr>
        <w:t xml:space="preserve"> end </w:t>
      </w:r>
      <w:r w:rsidRPr="00B02398">
        <w:rPr>
          <w:rFonts w:ascii="Times New Roman" w:eastAsia="Times New Roman" w:hAnsi="Times New Roman" w:cs="Times New Roman"/>
          <w:sz w:val="24"/>
          <w:szCs w:val="24"/>
        </w:rPr>
        <w:t>of the experiment. The biweekly sampled mean biomass was estimated and used to alter the daily feeding ration for each treatment.</w:t>
      </w:r>
    </w:p>
    <w:p w:rsidR="006A3DC5" w:rsidRPr="005E3EAD" w:rsidRDefault="00854376" w:rsidP="005E3EAD">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00626378">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r w:rsidR="006A3DC5" w:rsidRPr="006A3DC5">
        <w:rPr>
          <w:rFonts w:ascii="Times New Roman" w:eastAsia="Times New Roman" w:hAnsi="Times New Roman" w:cs="Times New Roman"/>
          <w:b/>
          <w:bCs/>
          <w:sz w:val="24"/>
          <w:szCs w:val="24"/>
        </w:rPr>
        <w:t xml:space="preserve"> Composition and proximate analysis of the experimental diets (% on DM basis).</w:t>
      </w:r>
    </w:p>
    <w:tbl>
      <w:tblPr>
        <w:tblStyle w:val="TableGrid"/>
        <w:tblW w:w="0" w:type="auto"/>
        <w:tblLook w:val="04A0" w:firstRow="1" w:lastRow="0" w:firstColumn="1" w:lastColumn="0" w:noHBand="0" w:noVBand="1"/>
      </w:tblPr>
      <w:tblGrid>
        <w:gridCol w:w="1915"/>
        <w:gridCol w:w="1915"/>
        <w:gridCol w:w="1915"/>
        <w:gridCol w:w="1915"/>
        <w:gridCol w:w="1358"/>
      </w:tblGrid>
      <w:tr w:rsidR="00C859AD" w:rsidRPr="006A3DC5" w:rsidTr="006A3DC5">
        <w:tc>
          <w:tcPr>
            <w:tcW w:w="1915" w:type="dxa"/>
            <w:vMerge w:val="restart"/>
            <w:vAlign w:val="center"/>
          </w:tcPr>
          <w:p w:rsidR="00C859AD" w:rsidRPr="006A3DC5" w:rsidRDefault="00C859AD" w:rsidP="006A3DC5">
            <w:pPr>
              <w:jc w:val="center"/>
              <w:rPr>
                <w:rFonts w:ascii="Times New Roman" w:hAnsi="Times New Roman" w:cs="Times New Roman"/>
              </w:rPr>
            </w:pPr>
            <w:r w:rsidRPr="006A3DC5">
              <w:rPr>
                <w:rFonts w:ascii="Times New Roman" w:hAnsi="Times New Roman" w:cs="Times New Roman"/>
              </w:rPr>
              <w:t>Ingredient</w:t>
            </w:r>
          </w:p>
        </w:tc>
        <w:tc>
          <w:tcPr>
            <w:tcW w:w="7103" w:type="dxa"/>
            <w:gridSpan w:val="4"/>
          </w:tcPr>
          <w:p w:rsidR="00C859AD" w:rsidRPr="006A3DC5" w:rsidRDefault="00C859AD" w:rsidP="006A3DC5">
            <w:pPr>
              <w:jc w:val="center"/>
              <w:rPr>
                <w:rFonts w:ascii="Times New Roman" w:hAnsi="Times New Roman" w:cs="Times New Roman"/>
              </w:rPr>
            </w:pPr>
            <w:r w:rsidRPr="006A3DC5">
              <w:rPr>
                <w:rFonts w:ascii="Times New Roman" w:hAnsi="Times New Roman" w:cs="Times New Roman"/>
              </w:rPr>
              <w:t>Treatment</w:t>
            </w:r>
          </w:p>
        </w:tc>
      </w:tr>
      <w:tr w:rsidR="00C859AD" w:rsidRPr="006A3DC5" w:rsidTr="006A3DC5">
        <w:tc>
          <w:tcPr>
            <w:tcW w:w="1915" w:type="dxa"/>
            <w:vMerge/>
          </w:tcPr>
          <w:p w:rsidR="00C859AD" w:rsidRPr="006A3DC5" w:rsidRDefault="00C859AD" w:rsidP="006A3DC5">
            <w:pPr>
              <w:rPr>
                <w:rFonts w:ascii="Times New Roman" w:hAnsi="Times New Roman" w:cs="Times New Roman"/>
              </w:rPr>
            </w:pP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Control</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T1</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T2</w:t>
            </w:r>
          </w:p>
        </w:tc>
        <w:tc>
          <w:tcPr>
            <w:tcW w:w="1358"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T3</w:t>
            </w: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Fishmeal</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37</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27</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3</w:t>
            </w:r>
            <w:r w:rsidR="00626378">
              <w:rPr>
                <w:rFonts w:ascii="Times New Roman" w:hAnsi="Times New Roman" w:cs="Times New Roman"/>
              </w:rPr>
              <w:t>2</w:t>
            </w:r>
          </w:p>
        </w:tc>
        <w:tc>
          <w:tcPr>
            <w:tcW w:w="1358" w:type="dxa"/>
            <w:vMerge w:val="restart"/>
            <w:vAlign w:val="center"/>
          </w:tcPr>
          <w:p w:rsidR="00C859AD" w:rsidRPr="006A3DC5" w:rsidRDefault="00C859AD" w:rsidP="006A3DC5">
            <w:pPr>
              <w:jc w:val="center"/>
              <w:rPr>
                <w:rFonts w:ascii="Times New Roman" w:hAnsi="Times New Roman" w:cs="Times New Roman"/>
              </w:rPr>
            </w:pPr>
            <w:r w:rsidRPr="006A3DC5">
              <w:rPr>
                <w:rFonts w:ascii="Times New Roman" w:hAnsi="Times New Roman" w:cs="Times New Roman"/>
              </w:rPr>
              <w:t>Commercial Feed</w:t>
            </w: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Soyabean meal</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35</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35</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35</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Cyanobacteria</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w:t>
            </w:r>
          </w:p>
        </w:tc>
        <w:tc>
          <w:tcPr>
            <w:tcW w:w="1915" w:type="dxa"/>
          </w:tcPr>
          <w:p w:rsidR="00C859AD" w:rsidRPr="006A3DC5" w:rsidRDefault="003E1991" w:rsidP="006A3DC5">
            <w:pPr>
              <w:rPr>
                <w:rFonts w:ascii="Times New Roman" w:hAnsi="Times New Roman" w:cs="Times New Roman"/>
              </w:rPr>
            </w:pPr>
            <w:r>
              <w:rPr>
                <w:rFonts w:ascii="Times New Roman" w:hAnsi="Times New Roman" w:cs="Times New Roman"/>
              </w:rPr>
              <w:t>5</w:t>
            </w:r>
          </w:p>
        </w:tc>
        <w:tc>
          <w:tcPr>
            <w:tcW w:w="1915" w:type="dxa"/>
          </w:tcPr>
          <w:p w:rsidR="00C859AD" w:rsidRPr="006A3DC5" w:rsidRDefault="003E1991" w:rsidP="003E1991">
            <w:pPr>
              <w:rPr>
                <w:rFonts w:ascii="Times New Roman" w:hAnsi="Times New Roman" w:cs="Times New Roman"/>
              </w:rPr>
            </w:pPr>
            <w:r>
              <w:rPr>
                <w:rFonts w:ascii="Times New Roman" w:hAnsi="Times New Roman" w:cs="Times New Roman"/>
              </w:rPr>
              <w:t>10</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Corn</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20</w:t>
            </w:r>
          </w:p>
        </w:tc>
        <w:tc>
          <w:tcPr>
            <w:tcW w:w="1915" w:type="dxa"/>
          </w:tcPr>
          <w:p w:rsidR="00C859AD" w:rsidRPr="006A3DC5" w:rsidRDefault="00C859AD" w:rsidP="00673B6C">
            <w:pPr>
              <w:rPr>
                <w:rFonts w:ascii="Times New Roman" w:hAnsi="Times New Roman" w:cs="Times New Roman"/>
              </w:rPr>
            </w:pPr>
            <w:r w:rsidRPr="006A3DC5">
              <w:rPr>
                <w:rFonts w:ascii="Times New Roman" w:hAnsi="Times New Roman" w:cs="Times New Roman"/>
              </w:rPr>
              <w:t>20</w:t>
            </w:r>
            <w:r w:rsidR="0012737B">
              <w:rPr>
                <w:rFonts w:ascii="Times New Roman" w:hAnsi="Times New Roman" w:cs="Times New Roman"/>
              </w:rPr>
              <w:fldChar w:fldCharType="begin" w:fldLock="1"/>
            </w:r>
            <w:r w:rsidR="00A0786F">
              <w:rPr>
                <w:rFonts w:ascii="Times New Roman" w:hAnsi="Times New Roman" w:cs="Times New Roman"/>
              </w:rPr>
              <w:instrText>ADDIN CSL_CITATION {"citationItems":[{"id":"ITEM-1","itemData":{"ISSN":"0044-8486","author":[{"dropping-particle":"","family":"Habib","given":"Yusuf Jibril","non-dropping-particle":"","parse-names":false,"suffix":""},{"dropping-particle":"","family":"Wan","given":"Haifu","non-dropping-particle":"","parse-names":false,"suffix":""},{"dropping-particle":"","family":"Sun","given":"Yulong","non-dropping-particle":"","parse-names":false,"suffix":""},{"dropping-particle":"","family":"Shi","given":"Jialong","non-dropping-particle":"","parse-names":false,"suffix":""},{"dropping-particle":"","family":"Yao","given":"Chengjie","non-dropping-particle":"","parse-names":false,"suffix":""},{"dropping-particle":"","family":"Lin","given":"Jiaming","non-dropping-particle":"","parse-names":false,"suffix":""},{"dropping-particle":"","family":"Ge","given":"Hui","non-dropping-particle":"","parse-names":false,"suffix":""},{"dropping-particle":"","family":"Wang","given":"Yilei","non-dropping-particle":"","parse-names":false,"suffix":""},{"dropping-particle":"","family":"Zhang","given":"Ziping","non-dropping-particle":"","parse-names":false,"suffix":""}],"container-title":"Aquaculture","id":"ITEM-1","issued":{"date-parts":[["2021"]]},"page":"735996","publisher":"Elsevier","title":"Genome-wide identification of toll-like receptors in Pacific white shrimp (Litopenaeus vannamei) and expression analysis in response to Vibrio parahaemolyticus invasion","type":"article-journal","volume":"532"},"uris":["http://www.mendeley.com/documents/?uuid=b0875d5c-9796-45b2-984b-4dbab523b79e"]}],"mendeley":{"formattedCitation":"[14]","plainTextFormattedCitation":"[14]","previouslyFormattedCitation":"[14]"},"properties":{"noteIndex":0},"schema":"https://github.com/citation-style-language/schema/raw/master/csl-citation.json"}</w:instrText>
            </w:r>
            <w:r w:rsidR="0012737B">
              <w:rPr>
                <w:rFonts w:ascii="Times New Roman" w:hAnsi="Times New Roman" w:cs="Times New Roman"/>
              </w:rPr>
              <w:fldChar w:fldCharType="separate"/>
            </w:r>
            <w:r w:rsidR="00072E72" w:rsidRPr="00072E72">
              <w:rPr>
                <w:rFonts w:ascii="Times New Roman" w:hAnsi="Times New Roman" w:cs="Times New Roman"/>
                <w:noProof/>
              </w:rPr>
              <w:t>[14]</w:t>
            </w:r>
            <w:r w:rsidR="0012737B">
              <w:rPr>
                <w:rFonts w:ascii="Times New Roman" w:hAnsi="Times New Roman" w:cs="Times New Roman"/>
              </w:rPr>
              <w:fldChar w:fldCharType="end"/>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20</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Oil</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5</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5</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5</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626378" w:rsidP="00626378">
            <w:pPr>
              <w:rPr>
                <w:rFonts w:ascii="Times New Roman" w:hAnsi="Times New Roman" w:cs="Times New Roman"/>
              </w:rPr>
            </w:pPr>
            <w:r>
              <w:rPr>
                <w:rFonts w:ascii="Times New Roman" w:hAnsi="Times New Roman" w:cs="Times New Roman"/>
              </w:rPr>
              <w:t xml:space="preserve">Mineral </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Vitamin Mixture</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Total</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100</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100</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100</w:t>
            </w:r>
          </w:p>
        </w:tc>
        <w:tc>
          <w:tcPr>
            <w:tcW w:w="1358" w:type="dxa"/>
            <w:vMerge/>
          </w:tcPr>
          <w:p w:rsidR="00C859AD" w:rsidRPr="006A3DC5" w:rsidRDefault="00C859AD" w:rsidP="006A3DC5">
            <w:pPr>
              <w:rPr>
                <w:rFonts w:ascii="Times New Roman" w:hAnsi="Times New Roman" w:cs="Times New Roman"/>
              </w:rPr>
            </w:pPr>
          </w:p>
        </w:tc>
      </w:tr>
    </w:tbl>
    <w:p w:rsidR="00E73551" w:rsidRDefault="00E73551" w:rsidP="005E3EAD">
      <w:pPr>
        <w:pStyle w:val="Default"/>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500"/>
        <w:gridCol w:w="1500"/>
        <w:gridCol w:w="1500"/>
        <w:gridCol w:w="1500"/>
        <w:gridCol w:w="1505"/>
      </w:tblGrid>
      <w:tr w:rsidR="00C859AD" w:rsidRPr="006A3DC5" w:rsidTr="00C859AD">
        <w:trPr>
          <w:trHeight w:val="102"/>
        </w:trPr>
        <w:tc>
          <w:tcPr>
            <w:tcW w:w="9005" w:type="dxa"/>
            <w:gridSpan w:val="6"/>
          </w:tcPr>
          <w:p w:rsidR="00C859AD" w:rsidRPr="006A3DC5" w:rsidRDefault="00C859AD" w:rsidP="00C859AD">
            <w:pPr>
              <w:pStyle w:val="Default"/>
              <w:rPr>
                <w:sz w:val="22"/>
                <w:szCs w:val="20"/>
              </w:rPr>
            </w:pPr>
            <w:r w:rsidRPr="006A3DC5">
              <w:rPr>
                <w:sz w:val="22"/>
                <w:szCs w:val="20"/>
              </w:rPr>
              <w:t>Proximate analysis</w:t>
            </w:r>
            <w:r w:rsidR="00626378">
              <w:rPr>
                <w:sz w:val="22"/>
                <w:szCs w:val="20"/>
              </w:rPr>
              <w:t xml:space="preserve"> </w:t>
            </w:r>
            <w:r w:rsidRPr="006A3DC5">
              <w:rPr>
                <w:sz w:val="22"/>
                <w:szCs w:val="20"/>
              </w:rPr>
              <w:t xml:space="preserve"> </w:t>
            </w:r>
          </w:p>
        </w:tc>
      </w:tr>
      <w:tr w:rsidR="00C859AD" w:rsidRPr="006A3DC5" w:rsidTr="00C859AD">
        <w:trPr>
          <w:trHeight w:val="112"/>
        </w:trPr>
        <w:tc>
          <w:tcPr>
            <w:tcW w:w="1500" w:type="dxa"/>
          </w:tcPr>
          <w:p w:rsidR="00C859AD" w:rsidRPr="006A3DC5" w:rsidRDefault="00C859AD" w:rsidP="00C859AD">
            <w:pPr>
              <w:pStyle w:val="Default"/>
              <w:rPr>
                <w:sz w:val="22"/>
                <w:szCs w:val="20"/>
              </w:rPr>
            </w:pPr>
            <w:r w:rsidRPr="006A3DC5">
              <w:rPr>
                <w:sz w:val="22"/>
                <w:szCs w:val="20"/>
              </w:rPr>
              <w:t xml:space="preserve">Protein </w:t>
            </w:r>
          </w:p>
        </w:tc>
        <w:tc>
          <w:tcPr>
            <w:tcW w:w="1500" w:type="dxa"/>
          </w:tcPr>
          <w:p w:rsidR="00C859AD" w:rsidRPr="006A3DC5" w:rsidRDefault="00C859AD" w:rsidP="00C859AD">
            <w:pPr>
              <w:pStyle w:val="Default"/>
              <w:rPr>
                <w:sz w:val="22"/>
                <w:szCs w:val="20"/>
              </w:rPr>
            </w:pPr>
            <w:r w:rsidRPr="006A3DC5">
              <w:rPr>
                <w:sz w:val="22"/>
                <w:szCs w:val="20"/>
              </w:rPr>
              <w:t xml:space="preserve">41.39 </w:t>
            </w:r>
          </w:p>
        </w:tc>
        <w:tc>
          <w:tcPr>
            <w:tcW w:w="1500" w:type="dxa"/>
          </w:tcPr>
          <w:p w:rsidR="00C859AD" w:rsidRPr="006A3DC5" w:rsidRDefault="00C859AD" w:rsidP="00C859AD">
            <w:pPr>
              <w:pStyle w:val="Default"/>
              <w:rPr>
                <w:sz w:val="22"/>
                <w:szCs w:val="20"/>
              </w:rPr>
            </w:pPr>
            <w:r w:rsidRPr="006A3DC5">
              <w:rPr>
                <w:sz w:val="22"/>
                <w:szCs w:val="20"/>
              </w:rPr>
              <w:t xml:space="preserve">40.00 </w:t>
            </w:r>
          </w:p>
        </w:tc>
        <w:tc>
          <w:tcPr>
            <w:tcW w:w="1500" w:type="dxa"/>
          </w:tcPr>
          <w:p w:rsidR="00C859AD" w:rsidRPr="006A3DC5" w:rsidRDefault="00C859AD" w:rsidP="00C859AD">
            <w:pPr>
              <w:pStyle w:val="Default"/>
              <w:rPr>
                <w:sz w:val="22"/>
                <w:szCs w:val="20"/>
              </w:rPr>
            </w:pPr>
            <w:r w:rsidRPr="006A3DC5">
              <w:rPr>
                <w:sz w:val="22"/>
                <w:szCs w:val="20"/>
              </w:rPr>
              <w:t xml:space="preserve">39.55 </w:t>
            </w:r>
          </w:p>
        </w:tc>
        <w:tc>
          <w:tcPr>
            <w:tcW w:w="1500" w:type="dxa"/>
          </w:tcPr>
          <w:p w:rsidR="00C859AD" w:rsidRPr="006A3DC5" w:rsidRDefault="00C859AD" w:rsidP="00C859AD">
            <w:pPr>
              <w:pStyle w:val="Default"/>
              <w:rPr>
                <w:sz w:val="22"/>
                <w:szCs w:val="20"/>
              </w:rPr>
            </w:pPr>
            <w:r w:rsidRPr="006A3DC5">
              <w:rPr>
                <w:sz w:val="22"/>
                <w:szCs w:val="20"/>
              </w:rPr>
              <w:t xml:space="preserve">39.35 </w:t>
            </w:r>
          </w:p>
        </w:tc>
        <w:tc>
          <w:tcPr>
            <w:tcW w:w="1505" w:type="dxa"/>
          </w:tcPr>
          <w:p w:rsidR="00C859AD" w:rsidRPr="006A3DC5" w:rsidRDefault="00C859AD" w:rsidP="00C859AD">
            <w:pPr>
              <w:pStyle w:val="Default"/>
              <w:rPr>
                <w:sz w:val="22"/>
                <w:szCs w:val="20"/>
              </w:rPr>
            </w:pPr>
            <w:r w:rsidRPr="006A3DC5">
              <w:rPr>
                <w:sz w:val="22"/>
                <w:szCs w:val="20"/>
              </w:rPr>
              <w:t xml:space="preserve">39.89 </w:t>
            </w:r>
          </w:p>
        </w:tc>
      </w:tr>
      <w:tr w:rsidR="00C859AD" w:rsidRPr="006A3DC5" w:rsidTr="00C859AD">
        <w:trPr>
          <w:trHeight w:val="102"/>
        </w:trPr>
        <w:tc>
          <w:tcPr>
            <w:tcW w:w="1500" w:type="dxa"/>
          </w:tcPr>
          <w:p w:rsidR="00C859AD" w:rsidRPr="006A3DC5" w:rsidRDefault="00C859AD" w:rsidP="00C859AD">
            <w:pPr>
              <w:pStyle w:val="Default"/>
              <w:rPr>
                <w:sz w:val="22"/>
                <w:szCs w:val="20"/>
              </w:rPr>
            </w:pPr>
            <w:r w:rsidRPr="006A3DC5">
              <w:rPr>
                <w:sz w:val="22"/>
                <w:szCs w:val="20"/>
              </w:rPr>
              <w:t xml:space="preserve">Lipids </w:t>
            </w:r>
          </w:p>
        </w:tc>
        <w:tc>
          <w:tcPr>
            <w:tcW w:w="1500" w:type="dxa"/>
          </w:tcPr>
          <w:p w:rsidR="00C859AD" w:rsidRPr="006A3DC5" w:rsidRDefault="00C859AD" w:rsidP="00C859AD">
            <w:pPr>
              <w:pStyle w:val="Default"/>
              <w:rPr>
                <w:sz w:val="22"/>
                <w:szCs w:val="20"/>
              </w:rPr>
            </w:pPr>
            <w:r w:rsidRPr="006A3DC5">
              <w:rPr>
                <w:sz w:val="22"/>
                <w:szCs w:val="20"/>
              </w:rPr>
              <w:t xml:space="preserve">10.32 </w:t>
            </w:r>
          </w:p>
        </w:tc>
        <w:tc>
          <w:tcPr>
            <w:tcW w:w="1500" w:type="dxa"/>
          </w:tcPr>
          <w:p w:rsidR="00C859AD" w:rsidRPr="006A3DC5" w:rsidRDefault="00C859AD" w:rsidP="00C859AD">
            <w:pPr>
              <w:pStyle w:val="Default"/>
              <w:rPr>
                <w:sz w:val="22"/>
                <w:szCs w:val="20"/>
              </w:rPr>
            </w:pPr>
            <w:r w:rsidRPr="006A3DC5">
              <w:rPr>
                <w:sz w:val="22"/>
                <w:szCs w:val="20"/>
              </w:rPr>
              <w:t xml:space="preserve">10.31 </w:t>
            </w:r>
          </w:p>
        </w:tc>
        <w:tc>
          <w:tcPr>
            <w:tcW w:w="1500" w:type="dxa"/>
          </w:tcPr>
          <w:p w:rsidR="00C859AD" w:rsidRPr="006A3DC5" w:rsidRDefault="00C859AD" w:rsidP="00C859AD">
            <w:pPr>
              <w:pStyle w:val="Default"/>
              <w:rPr>
                <w:sz w:val="22"/>
                <w:szCs w:val="20"/>
              </w:rPr>
            </w:pPr>
            <w:r w:rsidRPr="006A3DC5">
              <w:rPr>
                <w:sz w:val="22"/>
                <w:szCs w:val="20"/>
              </w:rPr>
              <w:t xml:space="preserve">10.32 </w:t>
            </w:r>
          </w:p>
        </w:tc>
        <w:tc>
          <w:tcPr>
            <w:tcW w:w="1500" w:type="dxa"/>
          </w:tcPr>
          <w:p w:rsidR="00C859AD" w:rsidRPr="006A3DC5" w:rsidRDefault="00C859AD" w:rsidP="00C859AD">
            <w:pPr>
              <w:pStyle w:val="Default"/>
              <w:rPr>
                <w:sz w:val="22"/>
                <w:szCs w:val="20"/>
              </w:rPr>
            </w:pPr>
            <w:r w:rsidRPr="006A3DC5">
              <w:rPr>
                <w:sz w:val="22"/>
                <w:szCs w:val="20"/>
              </w:rPr>
              <w:t xml:space="preserve">10.36 </w:t>
            </w:r>
          </w:p>
        </w:tc>
        <w:tc>
          <w:tcPr>
            <w:tcW w:w="1505" w:type="dxa"/>
          </w:tcPr>
          <w:p w:rsidR="00C859AD" w:rsidRPr="006A3DC5" w:rsidRDefault="00C859AD" w:rsidP="00C859AD">
            <w:pPr>
              <w:pStyle w:val="Default"/>
              <w:rPr>
                <w:sz w:val="22"/>
                <w:szCs w:val="20"/>
              </w:rPr>
            </w:pPr>
            <w:r w:rsidRPr="006A3DC5">
              <w:rPr>
                <w:sz w:val="22"/>
                <w:szCs w:val="20"/>
              </w:rPr>
              <w:t xml:space="preserve">10.35 </w:t>
            </w:r>
          </w:p>
        </w:tc>
      </w:tr>
      <w:tr w:rsidR="00C859AD" w:rsidRPr="006A3DC5" w:rsidTr="00C859AD">
        <w:trPr>
          <w:trHeight w:val="102"/>
        </w:trPr>
        <w:tc>
          <w:tcPr>
            <w:tcW w:w="1500" w:type="dxa"/>
          </w:tcPr>
          <w:p w:rsidR="00C859AD" w:rsidRPr="006A3DC5" w:rsidRDefault="00C859AD" w:rsidP="00C859AD">
            <w:pPr>
              <w:pStyle w:val="Default"/>
              <w:rPr>
                <w:sz w:val="22"/>
                <w:szCs w:val="20"/>
              </w:rPr>
            </w:pPr>
            <w:r w:rsidRPr="006A3DC5">
              <w:rPr>
                <w:sz w:val="22"/>
                <w:szCs w:val="20"/>
              </w:rPr>
              <w:t xml:space="preserve">Ash </w:t>
            </w:r>
          </w:p>
        </w:tc>
        <w:tc>
          <w:tcPr>
            <w:tcW w:w="1500" w:type="dxa"/>
          </w:tcPr>
          <w:p w:rsidR="00C859AD" w:rsidRPr="006A3DC5" w:rsidRDefault="00C859AD" w:rsidP="00C859AD">
            <w:pPr>
              <w:pStyle w:val="Default"/>
              <w:rPr>
                <w:sz w:val="22"/>
                <w:szCs w:val="20"/>
              </w:rPr>
            </w:pPr>
            <w:r w:rsidRPr="006A3DC5">
              <w:rPr>
                <w:sz w:val="22"/>
                <w:szCs w:val="20"/>
              </w:rPr>
              <w:t xml:space="preserve">7.35 </w:t>
            </w:r>
          </w:p>
        </w:tc>
        <w:tc>
          <w:tcPr>
            <w:tcW w:w="1500" w:type="dxa"/>
          </w:tcPr>
          <w:p w:rsidR="00C859AD" w:rsidRPr="006A3DC5" w:rsidRDefault="00C859AD" w:rsidP="00C859AD">
            <w:pPr>
              <w:pStyle w:val="Default"/>
              <w:rPr>
                <w:sz w:val="22"/>
                <w:szCs w:val="20"/>
              </w:rPr>
            </w:pPr>
            <w:r w:rsidRPr="006A3DC5">
              <w:rPr>
                <w:sz w:val="22"/>
                <w:szCs w:val="20"/>
              </w:rPr>
              <w:t xml:space="preserve">7.31 </w:t>
            </w:r>
          </w:p>
        </w:tc>
        <w:tc>
          <w:tcPr>
            <w:tcW w:w="1500" w:type="dxa"/>
          </w:tcPr>
          <w:p w:rsidR="00C859AD" w:rsidRPr="006A3DC5" w:rsidRDefault="00C859AD" w:rsidP="00C859AD">
            <w:pPr>
              <w:pStyle w:val="Default"/>
              <w:rPr>
                <w:sz w:val="22"/>
                <w:szCs w:val="20"/>
              </w:rPr>
            </w:pPr>
            <w:r w:rsidRPr="006A3DC5">
              <w:rPr>
                <w:sz w:val="22"/>
                <w:szCs w:val="20"/>
              </w:rPr>
              <w:t xml:space="preserve">7.32 </w:t>
            </w:r>
          </w:p>
        </w:tc>
        <w:tc>
          <w:tcPr>
            <w:tcW w:w="1500" w:type="dxa"/>
          </w:tcPr>
          <w:p w:rsidR="00C859AD" w:rsidRPr="006A3DC5" w:rsidRDefault="00C859AD" w:rsidP="00C859AD">
            <w:pPr>
              <w:pStyle w:val="Default"/>
              <w:rPr>
                <w:sz w:val="22"/>
                <w:szCs w:val="20"/>
              </w:rPr>
            </w:pPr>
            <w:r w:rsidRPr="006A3DC5">
              <w:rPr>
                <w:sz w:val="22"/>
                <w:szCs w:val="20"/>
              </w:rPr>
              <w:t xml:space="preserve">7.34 </w:t>
            </w:r>
          </w:p>
        </w:tc>
        <w:tc>
          <w:tcPr>
            <w:tcW w:w="1505" w:type="dxa"/>
          </w:tcPr>
          <w:p w:rsidR="00C859AD" w:rsidRPr="006A3DC5" w:rsidRDefault="00C859AD" w:rsidP="00C859AD">
            <w:pPr>
              <w:pStyle w:val="Default"/>
              <w:rPr>
                <w:sz w:val="22"/>
                <w:szCs w:val="20"/>
              </w:rPr>
            </w:pPr>
            <w:r w:rsidRPr="006A3DC5">
              <w:rPr>
                <w:sz w:val="22"/>
                <w:szCs w:val="20"/>
              </w:rPr>
              <w:t xml:space="preserve">7.36 </w:t>
            </w:r>
          </w:p>
        </w:tc>
      </w:tr>
      <w:tr w:rsidR="00C859AD" w:rsidRPr="006A3DC5" w:rsidTr="00C859AD">
        <w:trPr>
          <w:trHeight w:val="102"/>
        </w:trPr>
        <w:tc>
          <w:tcPr>
            <w:tcW w:w="1500" w:type="dxa"/>
          </w:tcPr>
          <w:p w:rsidR="00C859AD" w:rsidRPr="006A3DC5" w:rsidRDefault="00C859AD" w:rsidP="00C859AD">
            <w:pPr>
              <w:pStyle w:val="Default"/>
              <w:rPr>
                <w:sz w:val="22"/>
                <w:szCs w:val="20"/>
              </w:rPr>
            </w:pPr>
            <w:r w:rsidRPr="006A3DC5">
              <w:rPr>
                <w:sz w:val="22"/>
                <w:szCs w:val="20"/>
              </w:rPr>
              <w:t xml:space="preserve">Fibers </w:t>
            </w:r>
          </w:p>
        </w:tc>
        <w:tc>
          <w:tcPr>
            <w:tcW w:w="1500" w:type="dxa"/>
          </w:tcPr>
          <w:p w:rsidR="00C859AD" w:rsidRPr="006A3DC5" w:rsidRDefault="00C859AD" w:rsidP="00C859AD">
            <w:pPr>
              <w:pStyle w:val="Default"/>
              <w:rPr>
                <w:sz w:val="22"/>
                <w:szCs w:val="20"/>
              </w:rPr>
            </w:pPr>
            <w:r w:rsidRPr="006A3DC5">
              <w:rPr>
                <w:sz w:val="22"/>
                <w:szCs w:val="20"/>
              </w:rPr>
              <w:t xml:space="preserve">3.16 </w:t>
            </w:r>
          </w:p>
        </w:tc>
        <w:tc>
          <w:tcPr>
            <w:tcW w:w="1500" w:type="dxa"/>
          </w:tcPr>
          <w:p w:rsidR="00C859AD" w:rsidRPr="006A3DC5" w:rsidRDefault="00C859AD" w:rsidP="00C859AD">
            <w:pPr>
              <w:pStyle w:val="Default"/>
              <w:rPr>
                <w:sz w:val="22"/>
                <w:szCs w:val="20"/>
              </w:rPr>
            </w:pPr>
            <w:r w:rsidRPr="006A3DC5">
              <w:rPr>
                <w:sz w:val="22"/>
                <w:szCs w:val="20"/>
              </w:rPr>
              <w:t xml:space="preserve">3.24 </w:t>
            </w:r>
          </w:p>
        </w:tc>
        <w:tc>
          <w:tcPr>
            <w:tcW w:w="1500" w:type="dxa"/>
          </w:tcPr>
          <w:p w:rsidR="00C859AD" w:rsidRPr="006A3DC5" w:rsidRDefault="00C859AD" w:rsidP="00C859AD">
            <w:pPr>
              <w:pStyle w:val="Default"/>
              <w:rPr>
                <w:sz w:val="22"/>
                <w:szCs w:val="20"/>
              </w:rPr>
            </w:pPr>
            <w:r w:rsidRPr="006A3DC5">
              <w:rPr>
                <w:sz w:val="22"/>
                <w:szCs w:val="20"/>
              </w:rPr>
              <w:t xml:space="preserve">3.36 </w:t>
            </w:r>
          </w:p>
        </w:tc>
        <w:tc>
          <w:tcPr>
            <w:tcW w:w="1500" w:type="dxa"/>
          </w:tcPr>
          <w:p w:rsidR="00C859AD" w:rsidRPr="006A3DC5" w:rsidRDefault="00C859AD" w:rsidP="00C859AD">
            <w:pPr>
              <w:pStyle w:val="Default"/>
              <w:rPr>
                <w:sz w:val="22"/>
                <w:szCs w:val="20"/>
              </w:rPr>
            </w:pPr>
            <w:r w:rsidRPr="006A3DC5">
              <w:rPr>
                <w:sz w:val="22"/>
                <w:szCs w:val="20"/>
              </w:rPr>
              <w:t xml:space="preserve">3.44 </w:t>
            </w:r>
          </w:p>
        </w:tc>
        <w:tc>
          <w:tcPr>
            <w:tcW w:w="1505" w:type="dxa"/>
          </w:tcPr>
          <w:p w:rsidR="00C859AD" w:rsidRPr="006A3DC5" w:rsidRDefault="00C859AD" w:rsidP="00C859AD">
            <w:pPr>
              <w:pStyle w:val="Default"/>
              <w:rPr>
                <w:sz w:val="22"/>
                <w:szCs w:val="20"/>
              </w:rPr>
            </w:pPr>
            <w:r w:rsidRPr="006A3DC5">
              <w:rPr>
                <w:sz w:val="22"/>
                <w:szCs w:val="20"/>
              </w:rPr>
              <w:t xml:space="preserve">3.54 </w:t>
            </w:r>
          </w:p>
        </w:tc>
      </w:tr>
      <w:tr w:rsidR="00C859AD" w:rsidRPr="006A3DC5" w:rsidTr="00C859AD">
        <w:trPr>
          <w:trHeight w:val="102"/>
        </w:trPr>
        <w:tc>
          <w:tcPr>
            <w:tcW w:w="1500" w:type="dxa"/>
          </w:tcPr>
          <w:p w:rsidR="00C859AD" w:rsidRPr="006A3DC5" w:rsidRDefault="00AC2714" w:rsidP="00C859AD">
            <w:pPr>
              <w:pStyle w:val="Default"/>
              <w:rPr>
                <w:sz w:val="22"/>
                <w:szCs w:val="20"/>
              </w:rPr>
            </w:pPr>
            <w:r w:rsidRPr="006A3DC5">
              <w:rPr>
                <w:sz w:val="22"/>
                <w:szCs w:val="20"/>
              </w:rPr>
              <w:t>Moisture</w:t>
            </w:r>
          </w:p>
        </w:tc>
        <w:tc>
          <w:tcPr>
            <w:tcW w:w="1500" w:type="dxa"/>
          </w:tcPr>
          <w:p w:rsidR="00C859AD" w:rsidRPr="006A3DC5" w:rsidRDefault="00C859AD" w:rsidP="00C859AD">
            <w:pPr>
              <w:pStyle w:val="Default"/>
              <w:rPr>
                <w:sz w:val="22"/>
                <w:szCs w:val="20"/>
              </w:rPr>
            </w:pPr>
            <w:r w:rsidRPr="006A3DC5">
              <w:rPr>
                <w:sz w:val="22"/>
                <w:szCs w:val="20"/>
              </w:rPr>
              <w:t xml:space="preserve">23.71 </w:t>
            </w:r>
          </w:p>
        </w:tc>
        <w:tc>
          <w:tcPr>
            <w:tcW w:w="1500" w:type="dxa"/>
          </w:tcPr>
          <w:p w:rsidR="00C859AD" w:rsidRPr="006A3DC5" w:rsidRDefault="00C859AD" w:rsidP="00C859AD">
            <w:pPr>
              <w:pStyle w:val="Default"/>
              <w:rPr>
                <w:sz w:val="22"/>
                <w:szCs w:val="20"/>
              </w:rPr>
            </w:pPr>
            <w:r w:rsidRPr="006A3DC5">
              <w:rPr>
                <w:sz w:val="22"/>
                <w:szCs w:val="20"/>
              </w:rPr>
              <w:t xml:space="preserve">23.69 </w:t>
            </w:r>
          </w:p>
        </w:tc>
        <w:tc>
          <w:tcPr>
            <w:tcW w:w="1500" w:type="dxa"/>
          </w:tcPr>
          <w:p w:rsidR="00C859AD" w:rsidRPr="006A3DC5" w:rsidRDefault="00C859AD" w:rsidP="00C859AD">
            <w:pPr>
              <w:pStyle w:val="Default"/>
              <w:rPr>
                <w:sz w:val="22"/>
                <w:szCs w:val="20"/>
              </w:rPr>
            </w:pPr>
            <w:r w:rsidRPr="006A3DC5">
              <w:rPr>
                <w:sz w:val="22"/>
                <w:szCs w:val="20"/>
              </w:rPr>
              <w:t xml:space="preserve">23.43 </w:t>
            </w:r>
          </w:p>
        </w:tc>
        <w:tc>
          <w:tcPr>
            <w:tcW w:w="1500" w:type="dxa"/>
          </w:tcPr>
          <w:p w:rsidR="00C859AD" w:rsidRPr="006A3DC5" w:rsidRDefault="00C859AD" w:rsidP="00C859AD">
            <w:pPr>
              <w:pStyle w:val="Default"/>
              <w:rPr>
                <w:sz w:val="22"/>
                <w:szCs w:val="20"/>
              </w:rPr>
            </w:pPr>
            <w:r w:rsidRPr="006A3DC5">
              <w:rPr>
                <w:sz w:val="22"/>
                <w:szCs w:val="20"/>
              </w:rPr>
              <w:t xml:space="preserve">23.81 </w:t>
            </w:r>
          </w:p>
        </w:tc>
        <w:tc>
          <w:tcPr>
            <w:tcW w:w="1505" w:type="dxa"/>
          </w:tcPr>
          <w:p w:rsidR="00C859AD" w:rsidRPr="006A3DC5" w:rsidRDefault="00C859AD" w:rsidP="00C859AD">
            <w:pPr>
              <w:pStyle w:val="Default"/>
              <w:rPr>
                <w:sz w:val="22"/>
                <w:szCs w:val="20"/>
              </w:rPr>
            </w:pPr>
            <w:r w:rsidRPr="006A3DC5">
              <w:rPr>
                <w:sz w:val="22"/>
                <w:szCs w:val="20"/>
              </w:rPr>
              <w:t xml:space="preserve">23.80 </w:t>
            </w:r>
          </w:p>
        </w:tc>
      </w:tr>
    </w:tbl>
    <w:p w:rsidR="00C859AD" w:rsidRDefault="00C859AD" w:rsidP="00C859AD">
      <w:pPr>
        <w:pStyle w:val="Default"/>
        <w:rPr>
          <w:sz w:val="18"/>
          <w:szCs w:val="18"/>
        </w:rPr>
      </w:pPr>
      <w:r>
        <w:rPr>
          <w:i/>
          <w:iCs/>
          <w:sz w:val="12"/>
          <w:szCs w:val="12"/>
        </w:rPr>
        <w:t>1</w:t>
      </w:r>
      <w:r>
        <w:rPr>
          <w:i/>
          <w:iCs/>
          <w:sz w:val="18"/>
          <w:szCs w:val="18"/>
        </w:rPr>
        <w:t xml:space="preserve">Each Kg mineral mixture premix contained Mn, 22 g; Zn, 22 g; Fe, 12 g; Cu, 4 g; I, 0.4 g, Selenium, 0.4 g and Co, 4.8 mg. </w:t>
      </w:r>
    </w:p>
    <w:p w:rsidR="00C859AD" w:rsidRDefault="00C859AD" w:rsidP="00C859AD">
      <w:r>
        <w:rPr>
          <w:i/>
          <w:iCs/>
          <w:sz w:val="12"/>
          <w:szCs w:val="12"/>
        </w:rPr>
        <w:t>2</w:t>
      </w:r>
      <w:r>
        <w:rPr>
          <w:i/>
          <w:iCs/>
          <w:sz w:val="18"/>
          <w:szCs w:val="18"/>
        </w:rPr>
        <w:t>Each Kg vitamin contained Vitamin A, 4.8 million IU, D3, 0.8 million IU; E, 4 g; K, 0.8 g; B1, 0.4 g; Riboflavin, 1.6 g; B6, 0.6 g, B12, 4 mg; Pantothenic acid, 4 g; Nicotinic acid, 8 g; Folic acid, 0.4 g Biotin,20 mg</w:t>
      </w:r>
      <w:r>
        <w:rPr>
          <w:sz w:val="18"/>
          <w:szCs w:val="18"/>
        </w:rPr>
        <w:t>.</w:t>
      </w:r>
    </w:p>
    <w:p w:rsidR="00C859AD" w:rsidRPr="002200AF" w:rsidRDefault="00C859AD" w:rsidP="00C859AD"/>
    <w:p w:rsidR="00DC5F8D" w:rsidRDefault="00B02398" w:rsidP="00B02398">
      <w:pPr>
        <w:pStyle w:val="Default"/>
        <w:spacing w:line="360" w:lineRule="auto"/>
        <w:jc w:val="both"/>
      </w:pPr>
      <w:r w:rsidRPr="00B02398">
        <w:rPr>
          <w:szCs w:val="20"/>
        </w:rPr>
        <w:t>Each component was weighed separately before the additions, minerals, and vitamins were combined with maize to create the experimental diets. The components were then combined with oil</w:t>
      </w:r>
      <w:r w:rsidR="003E1991">
        <w:rPr>
          <w:szCs w:val="20"/>
        </w:rPr>
        <w:t xml:space="preserve"> at this </w:t>
      </w:r>
      <w:r w:rsidRPr="00B02398">
        <w:rPr>
          <w:szCs w:val="20"/>
        </w:rPr>
        <w:t xml:space="preserve"> combination</w:t>
      </w:r>
      <w:r w:rsidR="003E1991">
        <w:rPr>
          <w:szCs w:val="20"/>
        </w:rPr>
        <w:t>s</w:t>
      </w:r>
      <w:r w:rsidRPr="00B02398">
        <w:rPr>
          <w:szCs w:val="20"/>
        </w:rPr>
        <w:t>. The mixture was diluted with water until it was adequate for granule formation. This mixture was run through a 2 mm-diameter CBM</w:t>
      </w:r>
      <w:r w:rsidR="00751A4B">
        <w:rPr>
          <w:szCs w:val="20"/>
        </w:rPr>
        <w:t xml:space="preserve"> </w:t>
      </w:r>
      <w:r w:rsidR="003E1991">
        <w:rPr>
          <w:szCs w:val="20"/>
        </w:rPr>
        <w:t>(</w:t>
      </w:r>
      <w:r w:rsidR="003E1991">
        <w:t>Condition Based Maintenance</w:t>
      </w:r>
      <w:r w:rsidR="003E1991">
        <w:rPr>
          <w:szCs w:val="20"/>
        </w:rPr>
        <w:t>)</w:t>
      </w:r>
      <w:r w:rsidRPr="00B02398">
        <w:rPr>
          <w:szCs w:val="20"/>
        </w:rPr>
        <w:t xml:space="preserve"> granule machine</w:t>
      </w:r>
      <w:r w:rsidR="00D86EBB">
        <w:rPr>
          <w:szCs w:val="20"/>
        </w:rPr>
        <w:t xml:space="preserve"> from the manufacturer unit</w:t>
      </w:r>
      <w:r w:rsidRPr="00B02398">
        <w:rPr>
          <w:szCs w:val="20"/>
        </w:rPr>
        <w:t>. Before the</w:t>
      </w:r>
      <w:r w:rsidR="003E1991">
        <w:rPr>
          <w:szCs w:val="20"/>
        </w:rPr>
        <w:t xml:space="preserve"> beginning of the experiment </w:t>
      </w:r>
      <w:r w:rsidRPr="00B02398">
        <w:rPr>
          <w:szCs w:val="20"/>
        </w:rPr>
        <w:t>, the pellets were frozen after being dried at ambient temperature.</w:t>
      </w:r>
      <w:r w:rsidR="00D03B95">
        <w:rPr>
          <w:szCs w:val="20"/>
        </w:rPr>
        <w:t xml:space="preserve"> </w:t>
      </w:r>
      <w:r w:rsidRPr="00B02398">
        <w:rPr>
          <w:i/>
          <w:szCs w:val="20"/>
        </w:rPr>
        <w:t>Spirulina</w:t>
      </w:r>
      <w:r w:rsidRPr="00B02398">
        <w:rPr>
          <w:szCs w:val="20"/>
        </w:rPr>
        <w:t xml:space="preserve"> sp. BDUT005 is a Cyanobacteria </w:t>
      </w:r>
      <w:r w:rsidRPr="00B02398">
        <w:rPr>
          <w:szCs w:val="20"/>
        </w:rPr>
        <w:lastRenderedPageBreak/>
        <w:t>employed in this study. Its chemical composition was examined, including its protein, carbohydrate, lipid, ash, moisture, and fiber content.</w:t>
      </w:r>
    </w:p>
    <w:p w:rsidR="00B02398" w:rsidRPr="00596D4A" w:rsidRDefault="00B02398" w:rsidP="00B02398">
      <w:pPr>
        <w:pStyle w:val="Default"/>
        <w:spacing w:line="360" w:lineRule="auto"/>
      </w:pPr>
    </w:p>
    <w:p w:rsidR="00751A4B" w:rsidRDefault="00751A4B" w:rsidP="00854376">
      <w:pPr>
        <w:jc w:val="both"/>
        <w:rPr>
          <w:rFonts w:ascii="Times New Roman" w:hAnsi="Times New Roman" w:cs="Times New Roman"/>
          <w:bCs/>
          <w:sz w:val="24"/>
          <w:szCs w:val="24"/>
        </w:rPr>
      </w:pPr>
    </w:p>
    <w:p w:rsidR="00751A4B" w:rsidRDefault="00751A4B" w:rsidP="00854376">
      <w:pPr>
        <w:jc w:val="both"/>
        <w:rPr>
          <w:rFonts w:ascii="Times New Roman" w:hAnsi="Times New Roman" w:cs="Times New Roman"/>
          <w:bCs/>
          <w:sz w:val="24"/>
          <w:szCs w:val="24"/>
        </w:rPr>
      </w:pPr>
    </w:p>
    <w:p w:rsidR="00854376" w:rsidRPr="00DC5F8D" w:rsidRDefault="00854376" w:rsidP="00854376">
      <w:pPr>
        <w:jc w:val="both"/>
        <w:rPr>
          <w:rFonts w:ascii="Times New Roman" w:hAnsi="Times New Roman" w:cs="Times New Roman"/>
          <w:sz w:val="24"/>
          <w:szCs w:val="24"/>
        </w:rPr>
      </w:pPr>
      <w:r w:rsidRPr="00DC5F8D">
        <w:rPr>
          <w:rFonts w:ascii="Times New Roman" w:hAnsi="Times New Roman" w:cs="Times New Roman"/>
          <w:bCs/>
          <w:sz w:val="24"/>
          <w:szCs w:val="24"/>
        </w:rPr>
        <w:t>T</w:t>
      </w:r>
      <w:r w:rsidR="00914FC7" w:rsidRPr="00DC5F8D">
        <w:rPr>
          <w:rFonts w:ascii="Times New Roman" w:hAnsi="Times New Roman" w:cs="Times New Roman"/>
          <w:bCs/>
          <w:sz w:val="24"/>
          <w:szCs w:val="24"/>
        </w:rPr>
        <w:t>able 2:The</w:t>
      </w:r>
      <w:r w:rsidRPr="00DC5F8D">
        <w:rPr>
          <w:rFonts w:ascii="Times New Roman" w:hAnsi="Times New Roman" w:cs="Times New Roman"/>
          <w:bCs/>
          <w:sz w:val="24"/>
          <w:szCs w:val="24"/>
        </w:rPr>
        <w:t xml:space="preserve"> Chemical analysis of Spirulina</w:t>
      </w:r>
    </w:p>
    <w:tbl>
      <w:tblPr>
        <w:tblW w:w="6620" w:type="dxa"/>
        <w:jc w:val="center"/>
        <w:tblCellMar>
          <w:left w:w="0" w:type="dxa"/>
          <w:right w:w="0" w:type="dxa"/>
        </w:tblCellMar>
        <w:tblLook w:val="04A0" w:firstRow="1" w:lastRow="0" w:firstColumn="1" w:lastColumn="0" w:noHBand="0" w:noVBand="1"/>
      </w:tblPr>
      <w:tblGrid>
        <w:gridCol w:w="3300"/>
        <w:gridCol w:w="3320"/>
      </w:tblGrid>
      <w:tr w:rsidR="00DC5F8D" w:rsidRPr="00DC5F8D" w:rsidTr="00DC5F8D">
        <w:trPr>
          <w:trHeight w:val="90"/>
          <w:jc w:val="center"/>
        </w:trPr>
        <w:tc>
          <w:tcPr>
            <w:tcW w:w="3300" w:type="dxa"/>
            <w:tcBorders>
              <w:top w:val="single" w:sz="18" w:space="0" w:color="000000"/>
              <w:left w:val="nil"/>
              <w:bottom w:val="single" w:sz="8" w:space="0" w:color="000000"/>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Component </w:t>
            </w:r>
          </w:p>
        </w:tc>
        <w:tc>
          <w:tcPr>
            <w:tcW w:w="3320" w:type="dxa"/>
            <w:tcBorders>
              <w:top w:val="single" w:sz="18" w:space="0" w:color="000000"/>
              <w:left w:val="nil"/>
              <w:bottom w:val="single" w:sz="8" w:space="0" w:color="000000"/>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 (Mean ± SD) </w:t>
            </w:r>
          </w:p>
        </w:tc>
      </w:tr>
      <w:tr w:rsidR="00DC5F8D" w:rsidRPr="00DC5F8D" w:rsidTr="00DC5F8D">
        <w:trPr>
          <w:trHeight w:val="90"/>
          <w:jc w:val="center"/>
        </w:trPr>
        <w:tc>
          <w:tcPr>
            <w:tcW w:w="3300" w:type="dxa"/>
            <w:tcBorders>
              <w:top w:val="single" w:sz="8" w:space="0" w:color="000000"/>
              <w:left w:val="nil"/>
              <w:bottom w:val="nil"/>
              <w:right w:val="nil"/>
            </w:tcBorders>
            <w:shd w:val="clear" w:color="auto" w:fill="FFFFFF"/>
            <w:tcMar>
              <w:top w:w="13" w:type="dxa"/>
              <w:left w:w="108" w:type="dxa"/>
              <w:bottom w:w="0" w:type="dxa"/>
              <w:right w:w="108" w:type="dxa"/>
            </w:tcMar>
            <w:hideMark/>
          </w:tcPr>
          <w:p w:rsidR="00B14C27" w:rsidRPr="00DC5F8D" w:rsidRDefault="003E1991" w:rsidP="003E1991">
            <w:pPr>
              <w:spacing w:after="0"/>
              <w:jc w:val="center"/>
              <w:rPr>
                <w:sz w:val="24"/>
                <w:szCs w:val="24"/>
              </w:rPr>
            </w:pPr>
            <w:r>
              <w:rPr>
                <w:sz w:val="24"/>
                <w:szCs w:val="24"/>
              </w:rPr>
              <w:t xml:space="preserve">Protein </w:t>
            </w:r>
            <w:r w:rsidR="00DC5F8D" w:rsidRPr="00DC5F8D">
              <w:rPr>
                <w:sz w:val="24"/>
                <w:szCs w:val="24"/>
              </w:rPr>
              <w:t xml:space="preserve"> </w:t>
            </w:r>
          </w:p>
        </w:tc>
        <w:tc>
          <w:tcPr>
            <w:tcW w:w="3320" w:type="dxa"/>
            <w:tcBorders>
              <w:top w:val="single" w:sz="8" w:space="0" w:color="000000"/>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56.91 ± 0.49 </w:t>
            </w:r>
          </w:p>
        </w:tc>
      </w:tr>
      <w:tr w:rsidR="00DC5F8D" w:rsidRPr="00DC5F8D"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Carbohydrates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12. 43± 0.12 </w:t>
            </w:r>
          </w:p>
        </w:tc>
      </w:tr>
      <w:tr w:rsidR="00DC5F8D" w:rsidRPr="00DC5F8D"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Ash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10.81 ± 0.14 </w:t>
            </w:r>
          </w:p>
        </w:tc>
      </w:tr>
      <w:tr w:rsidR="00DC5F8D" w:rsidRPr="00DC5F8D"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Lipids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18.62 ± 0.37 </w:t>
            </w:r>
          </w:p>
        </w:tc>
      </w:tr>
      <w:tr w:rsidR="00DC5F8D" w:rsidRPr="00DC5F8D"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Moisture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6.6 3± 0.20 </w:t>
            </w:r>
          </w:p>
        </w:tc>
      </w:tr>
      <w:tr w:rsidR="00DC5F8D" w:rsidRPr="00DC5F8D" w:rsidTr="00DC5F8D">
        <w:trPr>
          <w:trHeight w:val="90"/>
          <w:jc w:val="center"/>
        </w:trPr>
        <w:tc>
          <w:tcPr>
            <w:tcW w:w="3300" w:type="dxa"/>
            <w:tcBorders>
              <w:top w:val="nil"/>
              <w:left w:val="nil"/>
              <w:bottom w:val="single" w:sz="18" w:space="0" w:color="000000"/>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Fibers </w:t>
            </w:r>
          </w:p>
        </w:tc>
        <w:tc>
          <w:tcPr>
            <w:tcW w:w="3320" w:type="dxa"/>
            <w:tcBorders>
              <w:top w:val="nil"/>
              <w:left w:val="nil"/>
              <w:bottom w:val="single" w:sz="18" w:space="0" w:color="000000"/>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6.17 ± 0.02 </w:t>
            </w:r>
          </w:p>
        </w:tc>
      </w:tr>
    </w:tbl>
    <w:p w:rsidR="00C859AD" w:rsidRDefault="00C859AD" w:rsidP="00DC5F8D">
      <w:pPr>
        <w:spacing w:after="0"/>
        <w:rPr>
          <w:sz w:val="24"/>
          <w:szCs w:val="24"/>
        </w:rPr>
      </w:pPr>
    </w:p>
    <w:p w:rsidR="00C859AD" w:rsidRPr="001A1369" w:rsidRDefault="00C859AD" w:rsidP="00C859AD">
      <w:pPr>
        <w:pStyle w:val="Default"/>
        <w:spacing w:line="360" w:lineRule="auto"/>
        <w:jc w:val="both"/>
        <w:rPr>
          <w:szCs w:val="20"/>
        </w:rPr>
      </w:pPr>
      <w:r w:rsidRPr="001A1369">
        <w:rPr>
          <w:b/>
          <w:bCs/>
          <w:iCs/>
          <w:szCs w:val="20"/>
        </w:rPr>
        <w:t xml:space="preserve">Growth performance parameters: </w:t>
      </w:r>
    </w:p>
    <w:p w:rsidR="00C859AD" w:rsidRPr="00596D4A" w:rsidRDefault="00C859AD" w:rsidP="00C859AD">
      <w:pPr>
        <w:pStyle w:val="Default"/>
        <w:spacing w:line="360" w:lineRule="auto"/>
        <w:jc w:val="both"/>
        <w:rPr>
          <w:szCs w:val="20"/>
        </w:rPr>
      </w:pPr>
      <w:r w:rsidRPr="00596D4A">
        <w:rPr>
          <w:szCs w:val="20"/>
        </w:rPr>
        <w:t>Shrimp weight (g) was measured at the</w:t>
      </w:r>
      <w:r w:rsidR="003E1991">
        <w:rPr>
          <w:szCs w:val="20"/>
        </w:rPr>
        <w:t xml:space="preserve"> beginning </w:t>
      </w:r>
      <w:r w:rsidRPr="00596D4A">
        <w:rPr>
          <w:szCs w:val="20"/>
        </w:rPr>
        <w:t xml:space="preserve"> of the experiment and biweekly by</w:t>
      </w:r>
      <w:r w:rsidR="003E1991">
        <w:rPr>
          <w:szCs w:val="20"/>
        </w:rPr>
        <w:t xml:space="preserve"> collecting </w:t>
      </w:r>
      <w:r w:rsidRPr="00596D4A">
        <w:rPr>
          <w:szCs w:val="20"/>
        </w:rPr>
        <w:t xml:space="preserve"> randomize number of shrimp from each tank and</w:t>
      </w:r>
      <w:r w:rsidR="003E1991">
        <w:rPr>
          <w:szCs w:val="20"/>
        </w:rPr>
        <w:t xml:space="preserve"> weighing </w:t>
      </w:r>
      <w:r w:rsidRPr="00596D4A">
        <w:rPr>
          <w:szCs w:val="20"/>
        </w:rPr>
        <w:t xml:space="preserve"> in an analytical digital balance and then returned back to</w:t>
      </w:r>
      <w:r w:rsidR="003E1991">
        <w:rPr>
          <w:szCs w:val="20"/>
        </w:rPr>
        <w:t xml:space="preserve"> the respective </w:t>
      </w:r>
      <w:r w:rsidRPr="00596D4A">
        <w:rPr>
          <w:szCs w:val="20"/>
        </w:rPr>
        <w:t xml:space="preserve"> tanks during the experiment. Shrimp Weight gain (WG), Specific growth rate (SGR) and Survival rate% (SR) were calculated according to the following equations: </w:t>
      </w:r>
    </w:p>
    <w:p w:rsidR="00C859AD" w:rsidRPr="00596D4A" w:rsidRDefault="00C859AD" w:rsidP="001A1369">
      <w:pPr>
        <w:pStyle w:val="Default"/>
        <w:numPr>
          <w:ilvl w:val="0"/>
          <w:numId w:val="1"/>
        </w:numPr>
        <w:spacing w:after="33"/>
        <w:rPr>
          <w:szCs w:val="20"/>
        </w:rPr>
      </w:pPr>
      <w:r w:rsidRPr="00596D4A">
        <w:rPr>
          <w:szCs w:val="20"/>
        </w:rPr>
        <w:t xml:space="preserve">Weight gain (WG) = Final body weight (g) - Initial body weight (g). </w:t>
      </w:r>
    </w:p>
    <w:p w:rsidR="00C859AD" w:rsidRPr="00596D4A" w:rsidRDefault="00C859AD" w:rsidP="001A1369">
      <w:pPr>
        <w:pStyle w:val="Default"/>
        <w:numPr>
          <w:ilvl w:val="0"/>
          <w:numId w:val="1"/>
        </w:numPr>
        <w:spacing w:after="33"/>
        <w:rPr>
          <w:szCs w:val="20"/>
        </w:rPr>
      </w:pPr>
      <w:r w:rsidRPr="00596D4A">
        <w:rPr>
          <w:szCs w:val="20"/>
        </w:rPr>
        <w:t xml:space="preserve">Specific growth rate % (SGR) = [(ln FBW - ln IBW) /day of experiment] ×100 </w:t>
      </w:r>
    </w:p>
    <w:p w:rsidR="00C859AD" w:rsidRPr="00596D4A" w:rsidRDefault="00C859AD" w:rsidP="001A1369">
      <w:pPr>
        <w:pStyle w:val="Default"/>
        <w:numPr>
          <w:ilvl w:val="0"/>
          <w:numId w:val="1"/>
        </w:numPr>
        <w:rPr>
          <w:szCs w:val="20"/>
        </w:rPr>
      </w:pPr>
      <w:r w:rsidRPr="00596D4A">
        <w:rPr>
          <w:szCs w:val="20"/>
        </w:rPr>
        <w:t xml:space="preserve">Survival rate % (SR) = (Final number of shrimp / Initial number of shrimp) ×100. </w:t>
      </w:r>
    </w:p>
    <w:p w:rsidR="00C859AD" w:rsidRPr="00596D4A" w:rsidRDefault="00C859AD" w:rsidP="00C859AD">
      <w:pPr>
        <w:pStyle w:val="Default"/>
        <w:rPr>
          <w:szCs w:val="20"/>
        </w:rPr>
      </w:pPr>
    </w:p>
    <w:p w:rsidR="00C859AD" w:rsidRPr="00E50A6F" w:rsidRDefault="00C859AD" w:rsidP="002D3D49">
      <w:pPr>
        <w:pStyle w:val="Default"/>
        <w:tabs>
          <w:tab w:val="right" w:pos="9360"/>
        </w:tabs>
        <w:spacing w:line="360" w:lineRule="auto"/>
        <w:jc w:val="both"/>
        <w:rPr>
          <w:szCs w:val="20"/>
        </w:rPr>
      </w:pPr>
      <w:r w:rsidRPr="00E50A6F">
        <w:rPr>
          <w:b/>
          <w:bCs/>
          <w:iCs/>
          <w:szCs w:val="20"/>
        </w:rPr>
        <w:t xml:space="preserve">Feed utilization parameters: </w:t>
      </w:r>
      <w:r w:rsidR="002D3D49">
        <w:rPr>
          <w:b/>
          <w:bCs/>
          <w:iCs/>
          <w:szCs w:val="20"/>
        </w:rPr>
        <w:tab/>
      </w:r>
    </w:p>
    <w:p w:rsidR="00C859AD" w:rsidRPr="00E50A6F" w:rsidRDefault="00C859AD" w:rsidP="00C859AD">
      <w:pPr>
        <w:pStyle w:val="Default"/>
        <w:spacing w:line="360" w:lineRule="auto"/>
        <w:jc w:val="both"/>
        <w:rPr>
          <w:szCs w:val="20"/>
        </w:rPr>
      </w:pPr>
      <w:r w:rsidRPr="00E50A6F">
        <w:rPr>
          <w:szCs w:val="20"/>
        </w:rPr>
        <w:t xml:space="preserve">Feed utilization parameters were calculated according to the following equations: </w:t>
      </w:r>
    </w:p>
    <w:p w:rsidR="00C859AD" w:rsidRPr="00E50A6F" w:rsidRDefault="00C859AD" w:rsidP="001A1369">
      <w:pPr>
        <w:pStyle w:val="Default"/>
        <w:numPr>
          <w:ilvl w:val="0"/>
          <w:numId w:val="3"/>
        </w:numPr>
        <w:spacing w:after="33" w:line="360" w:lineRule="auto"/>
        <w:jc w:val="both"/>
        <w:rPr>
          <w:szCs w:val="20"/>
        </w:rPr>
      </w:pPr>
      <w:r w:rsidRPr="00E50A6F">
        <w:rPr>
          <w:szCs w:val="20"/>
        </w:rPr>
        <w:t xml:space="preserve">Feed Conversion Ratio (FCR)= Total feed consumption/ weight gain. </w:t>
      </w:r>
    </w:p>
    <w:p w:rsidR="00C859AD" w:rsidRPr="00E50A6F" w:rsidRDefault="00C859AD" w:rsidP="001A1369">
      <w:pPr>
        <w:pStyle w:val="Default"/>
        <w:numPr>
          <w:ilvl w:val="0"/>
          <w:numId w:val="3"/>
        </w:numPr>
        <w:spacing w:after="33" w:line="360" w:lineRule="auto"/>
        <w:jc w:val="both"/>
        <w:rPr>
          <w:szCs w:val="20"/>
        </w:rPr>
      </w:pPr>
      <w:r w:rsidRPr="00E50A6F">
        <w:rPr>
          <w:szCs w:val="20"/>
        </w:rPr>
        <w:t xml:space="preserve">Feed Efficiency (FE) %= (Final weight – initial weight) / feed consumed ×100. </w:t>
      </w:r>
    </w:p>
    <w:p w:rsidR="00C859AD" w:rsidRPr="00E50A6F" w:rsidRDefault="00C859AD" w:rsidP="001A1369">
      <w:pPr>
        <w:pStyle w:val="Default"/>
        <w:numPr>
          <w:ilvl w:val="0"/>
          <w:numId w:val="3"/>
        </w:numPr>
        <w:spacing w:line="360" w:lineRule="auto"/>
        <w:jc w:val="both"/>
        <w:rPr>
          <w:szCs w:val="20"/>
        </w:rPr>
      </w:pPr>
      <w:r w:rsidRPr="00E50A6F">
        <w:rPr>
          <w:szCs w:val="20"/>
        </w:rPr>
        <w:t xml:space="preserve">Protein Efficiency Ratio (PER)= body weight gain (g)/ protein intake (g) </w:t>
      </w:r>
    </w:p>
    <w:p w:rsidR="00C859AD" w:rsidRPr="00E50A6F" w:rsidRDefault="00C859AD" w:rsidP="00C859AD">
      <w:pPr>
        <w:pStyle w:val="Default"/>
        <w:spacing w:line="360" w:lineRule="auto"/>
        <w:jc w:val="both"/>
        <w:rPr>
          <w:sz w:val="20"/>
          <w:szCs w:val="20"/>
        </w:rPr>
      </w:pPr>
    </w:p>
    <w:p w:rsidR="00C859AD" w:rsidRPr="00E50A6F" w:rsidRDefault="00C859AD" w:rsidP="00C859AD">
      <w:pPr>
        <w:pStyle w:val="Default"/>
        <w:spacing w:line="360" w:lineRule="auto"/>
        <w:jc w:val="both"/>
        <w:rPr>
          <w:szCs w:val="20"/>
        </w:rPr>
      </w:pPr>
      <w:r w:rsidRPr="00E50A6F">
        <w:rPr>
          <w:b/>
          <w:bCs/>
          <w:iCs/>
          <w:szCs w:val="20"/>
        </w:rPr>
        <w:t xml:space="preserve">Statistical analysis: </w:t>
      </w:r>
    </w:p>
    <w:p w:rsidR="00C859AD" w:rsidRDefault="00C859AD" w:rsidP="00C859AD">
      <w:pPr>
        <w:pStyle w:val="Default"/>
        <w:spacing w:line="360" w:lineRule="auto"/>
        <w:jc w:val="both"/>
        <w:rPr>
          <w:rFonts w:ascii="Calibri" w:hAnsi="Calibri" w:cs="Calibri"/>
          <w:szCs w:val="20"/>
        </w:rPr>
      </w:pPr>
      <w:r w:rsidRPr="00E50A6F">
        <w:rPr>
          <w:szCs w:val="20"/>
        </w:rPr>
        <w:lastRenderedPageBreak/>
        <w:t xml:space="preserve">All data of variables measured were analyzed by two-way ANOVA. The ANOVA was performed by using the </w:t>
      </w:r>
      <w:r w:rsidR="001A1369">
        <w:rPr>
          <w:szCs w:val="20"/>
        </w:rPr>
        <w:t>Graph pad-</w:t>
      </w:r>
      <w:r w:rsidR="00854376">
        <w:rPr>
          <w:szCs w:val="20"/>
        </w:rPr>
        <w:t xml:space="preserve"> prism</w:t>
      </w:r>
      <w:r w:rsidR="001A1369">
        <w:rPr>
          <w:szCs w:val="20"/>
        </w:rPr>
        <w:t xml:space="preserve">-8 </w:t>
      </w:r>
      <w:r w:rsidR="001A1369" w:rsidRPr="00E50A6F">
        <w:rPr>
          <w:szCs w:val="20"/>
        </w:rPr>
        <w:t>program</w:t>
      </w:r>
      <w:r w:rsidRPr="00E50A6F">
        <w:rPr>
          <w:szCs w:val="20"/>
        </w:rPr>
        <w:t xml:space="preserve">. </w:t>
      </w:r>
      <w:r w:rsidRPr="00A82BBA">
        <w:rPr>
          <w:szCs w:val="20"/>
        </w:rPr>
        <w:t xml:space="preserve">The ANOVA was followed by </w:t>
      </w:r>
      <w:r w:rsidR="00A82BBA" w:rsidRPr="00A82BBA">
        <w:rPr>
          <w:szCs w:val="20"/>
        </w:rPr>
        <w:t xml:space="preserve">Turkey </w:t>
      </w:r>
      <w:r w:rsidR="0052502E" w:rsidRPr="00A82BBA">
        <w:rPr>
          <w:szCs w:val="20"/>
        </w:rPr>
        <w:t>test at</w:t>
      </w:r>
      <w:r w:rsidRPr="00A82BBA">
        <w:rPr>
          <w:szCs w:val="20"/>
        </w:rPr>
        <w:t xml:space="preserve"> P&lt;0.0</w:t>
      </w:r>
      <w:r w:rsidR="00854376" w:rsidRPr="00A82BBA">
        <w:rPr>
          <w:szCs w:val="20"/>
        </w:rPr>
        <w:t>001</w:t>
      </w:r>
      <w:r w:rsidRPr="00A82BBA">
        <w:rPr>
          <w:szCs w:val="20"/>
        </w:rPr>
        <w:t xml:space="preserve"> level of significance</w:t>
      </w:r>
      <w:r w:rsidRPr="00A82BBA">
        <w:rPr>
          <w:rFonts w:ascii="Calibri" w:hAnsi="Calibri" w:cs="Calibri"/>
          <w:szCs w:val="20"/>
        </w:rPr>
        <w:t>.</w:t>
      </w:r>
    </w:p>
    <w:p w:rsidR="00854376" w:rsidRPr="00E50A6F" w:rsidRDefault="00854376" w:rsidP="00C859AD">
      <w:pPr>
        <w:pStyle w:val="Default"/>
        <w:spacing w:line="360" w:lineRule="auto"/>
        <w:jc w:val="both"/>
        <w:rPr>
          <w:rFonts w:ascii="Calibri" w:hAnsi="Calibri" w:cs="Calibri"/>
          <w:szCs w:val="20"/>
        </w:rPr>
      </w:pPr>
    </w:p>
    <w:p w:rsidR="00854376" w:rsidRPr="00DC5F8D" w:rsidRDefault="003E1991" w:rsidP="005E3EAD">
      <w:pPr>
        <w:pStyle w:val="Default"/>
        <w:spacing w:line="360" w:lineRule="auto"/>
        <w:jc w:val="both"/>
        <w:rPr>
          <w:b/>
        </w:rPr>
      </w:pPr>
      <w:r>
        <w:rPr>
          <w:b/>
        </w:rPr>
        <w:t xml:space="preserve">RESULT AND DISCUSSION </w:t>
      </w:r>
      <w:r w:rsidR="00DC5F8D" w:rsidRPr="00DC5F8D">
        <w:rPr>
          <w:b/>
        </w:rPr>
        <w:t xml:space="preserve"> </w:t>
      </w:r>
    </w:p>
    <w:p w:rsidR="00DC5F8D" w:rsidRDefault="00B02398" w:rsidP="005E3EAD">
      <w:pPr>
        <w:pStyle w:val="Default"/>
        <w:spacing w:line="360" w:lineRule="auto"/>
        <w:jc w:val="both"/>
      </w:pPr>
      <w:r w:rsidRPr="00B02398">
        <w:t>The proximate components of the diets are shown in Table 1.</w:t>
      </w:r>
      <w:r w:rsidR="00070230">
        <w:t xml:space="preserve"> </w:t>
      </w:r>
      <w:r w:rsidRPr="00B02398">
        <w:t>Table</w:t>
      </w:r>
      <w:r w:rsidR="003E1991">
        <w:t xml:space="preserve"> 3 </w:t>
      </w:r>
      <w:r w:rsidRPr="00B02398">
        <w:t xml:space="preserve"> shows the impact of varying dietary replacement of </w:t>
      </w:r>
      <w:r w:rsidRPr="00D86EBB">
        <w:rPr>
          <w:i/>
        </w:rPr>
        <w:t>Spirulina</w:t>
      </w:r>
      <w:r w:rsidR="00070230">
        <w:rPr>
          <w:i/>
        </w:rPr>
        <w:t xml:space="preserve"> </w:t>
      </w:r>
      <w:r w:rsidRPr="00B02398">
        <w:t xml:space="preserve">sp BDUT005 protein levels on growth performance and feed utilization in experimental tanks of </w:t>
      </w:r>
      <w:r w:rsidRPr="00D86EBB">
        <w:rPr>
          <w:i/>
        </w:rPr>
        <w:t>L. vannamei</w:t>
      </w:r>
      <w:r w:rsidRPr="00B02398">
        <w:t xml:space="preserve"> in the treatment with 100% fishmeal replacement. The mean weight gain of the shrimp fed diets T1</w:t>
      </w:r>
      <w:r w:rsidR="003E1991">
        <w:t>(5%)</w:t>
      </w:r>
      <w:r w:rsidRPr="00B02398">
        <w:t>, T2</w:t>
      </w:r>
      <w:r w:rsidR="003E1991">
        <w:t xml:space="preserve"> (10%)</w:t>
      </w:r>
      <w:r w:rsidRPr="00B02398">
        <w:t xml:space="preserve"> , and T3 (commercial feed) after the 90-day feeding study was significantly different from that of the control diets . The weight gain was</w:t>
      </w:r>
      <w:r w:rsidR="003E1991">
        <w:t xml:space="preserve"> higher </w:t>
      </w:r>
      <w:r w:rsidRPr="00B02398">
        <w:t xml:space="preserve"> for the </w:t>
      </w:r>
      <w:r w:rsidRPr="00D86EBB">
        <w:rPr>
          <w:i/>
        </w:rPr>
        <w:t>Spirulina</w:t>
      </w:r>
      <w:r w:rsidR="00070230">
        <w:rPr>
          <w:i/>
        </w:rPr>
        <w:t xml:space="preserve"> </w:t>
      </w:r>
      <w:r w:rsidRPr="00B02398">
        <w:t xml:space="preserve">sp diets that substituted fish meal at 5 and 10%; it was 6.04±0.10g for T1, 6.65±0.04g for T2, and 5.63±0.25g for T3. </w:t>
      </w:r>
    </w:p>
    <w:p w:rsidR="00BB3AF0" w:rsidRDefault="00BB3AF0" w:rsidP="005E3EAD">
      <w:pPr>
        <w:pStyle w:val="Default"/>
        <w:spacing w:line="360" w:lineRule="auto"/>
        <w:jc w:val="both"/>
      </w:pPr>
    </w:p>
    <w:p w:rsidR="00DC5F8D" w:rsidRDefault="00DC5F8D" w:rsidP="00DC5F8D">
      <w:pPr>
        <w:jc w:val="both"/>
        <w:rPr>
          <w:rFonts w:ascii="Times New Roman" w:hAnsi="Times New Roman" w:cs="Times New Roman"/>
          <w:bCs/>
          <w:sz w:val="24"/>
          <w:szCs w:val="24"/>
        </w:rPr>
      </w:pPr>
      <w:r w:rsidRPr="00DC5F8D">
        <w:rPr>
          <w:rFonts w:ascii="Times New Roman" w:hAnsi="Times New Roman" w:cs="Times New Roman"/>
          <w:bCs/>
          <w:sz w:val="24"/>
          <w:szCs w:val="24"/>
        </w:rPr>
        <w:t xml:space="preserve">Table 3: Effect of using </w:t>
      </w:r>
      <w:r w:rsidR="0052502E" w:rsidRPr="0066164C">
        <w:rPr>
          <w:rFonts w:ascii="Times New Roman" w:hAnsi="Times New Roman" w:cs="Times New Roman"/>
          <w:i/>
          <w:sz w:val="24"/>
          <w:szCs w:val="24"/>
        </w:rPr>
        <w:t>Spirulina</w:t>
      </w:r>
      <w:r w:rsidR="00F91D1E">
        <w:rPr>
          <w:rFonts w:ascii="Times New Roman" w:hAnsi="Times New Roman" w:cs="Times New Roman"/>
          <w:i/>
          <w:sz w:val="24"/>
          <w:szCs w:val="24"/>
        </w:rPr>
        <w:t xml:space="preserve"> </w:t>
      </w:r>
      <w:r w:rsidR="0052502E">
        <w:rPr>
          <w:rFonts w:ascii="Times New Roman" w:hAnsi="Times New Roman" w:cs="Times New Roman"/>
          <w:sz w:val="24"/>
          <w:szCs w:val="24"/>
        </w:rPr>
        <w:t xml:space="preserve">sp BDUT005 </w:t>
      </w:r>
      <w:r w:rsidRPr="00DC5F8D">
        <w:rPr>
          <w:rFonts w:ascii="Times New Roman" w:hAnsi="Times New Roman" w:cs="Times New Roman"/>
          <w:bCs/>
          <w:sz w:val="24"/>
          <w:szCs w:val="24"/>
        </w:rPr>
        <w:t xml:space="preserve">protein levels on growth performance and feed utilization (Mean±SD) in experimental tanks of </w:t>
      </w:r>
      <w:r w:rsidRPr="00DC5F8D">
        <w:rPr>
          <w:rFonts w:ascii="Times New Roman" w:hAnsi="Times New Roman" w:cs="Times New Roman"/>
          <w:bCs/>
          <w:i/>
          <w:iCs/>
          <w:sz w:val="24"/>
          <w:szCs w:val="24"/>
        </w:rPr>
        <w:t>L. vannamei</w:t>
      </w:r>
      <w:r w:rsidR="00421537">
        <w:rPr>
          <w:rFonts w:ascii="Times New Roman" w:hAnsi="Times New Roman" w:cs="Times New Roman"/>
          <w:bCs/>
          <w:i/>
          <w:iCs/>
          <w:sz w:val="24"/>
          <w:szCs w:val="24"/>
        </w:rPr>
        <w:t xml:space="preserve"> </w:t>
      </w:r>
      <w:r w:rsidRPr="00DC5F8D">
        <w:rPr>
          <w:rFonts w:ascii="Times New Roman" w:hAnsi="Times New Roman" w:cs="Times New Roman"/>
          <w:bCs/>
          <w:sz w:val="24"/>
          <w:szCs w:val="24"/>
        </w:rPr>
        <w:t>for 90 days.</w:t>
      </w:r>
    </w:p>
    <w:tbl>
      <w:tblPr>
        <w:tblW w:w="7546" w:type="dxa"/>
        <w:jc w:val="center"/>
        <w:tblCellMar>
          <w:left w:w="0" w:type="dxa"/>
          <w:right w:w="0" w:type="dxa"/>
        </w:tblCellMar>
        <w:tblLook w:val="04A0" w:firstRow="1" w:lastRow="0" w:firstColumn="1" w:lastColumn="0" w:noHBand="0" w:noVBand="1"/>
      </w:tblPr>
      <w:tblGrid>
        <w:gridCol w:w="1520"/>
        <w:gridCol w:w="1396"/>
        <w:gridCol w:w="1399"/>
        <w:gridCol w:w="1482"/>
        <w:gridCol w:w="1749"/>
      </w:tblGrid>
      <w:tr w:rsidR="0051170C" w:rsidRPr="0051170C" w:rsidTr="00264F8B">
        <w:trPr>
          <w:trHeight w:val="449"/>
          <w:jc w:val="center"/>
        </w:trPr>
        <w:tc>
          <w:tcPr>
            <w:tcW w:w="1520" w:type="dxa"/>
            <w:vMerge w:val="restart"/>
            <w:tcBorders>
              <w:top w:val="single" w:sz="18" w:space="0" w:color="000000"/>
              <w:left w:val="nil"/>
              <w:bottom w:val="single" w:sz="8" w:space="0" w:color="000000"/>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Parameter </w:t>
            </w:r>
          </w:p>
        </w:tc>
        <w:tc>
          <w:tcPr>
            <w:tcW w:w="6026" w:type="dxa"/>
            <w:gridSpan w:val="4"/>
            <w:tcBorders>
              <w:top w:val="single" w:sz="18" w:space="0" w:color="000000"/>
              <w:left w:val="nil"/>
              <w:bottom w:val="single" w:sz="8" w:space="0" w:color="000000"/>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Treatment </w:t>
            </w:r>
          </w:p>
        </w:tc>
      </w:tr>
      <w:tr w:rsidR="0051170C" w:rsidRPr="0051170C" w:rsidTr="0051170C">
        <w:trPr>
          <w:trHeight w:val="535"/>
          <w:jc w:val="center"/>
        </w:trPr>
        <w:tc>
          <w:tcPr>
            <w:tcW w:w="0" w:type="auto"/>
            <w:vMerge/>
            <w:tcBorders>
              <w:top w:val="single" w:sz="18" w:space="0" w:color="000000"/>
              <w:left w:val="nil"/>
              <w:bottom w:val="single" w:sz="8" w:space="0" w:color="000000"/>
              <w:right w:val="nil"/>
            </w:tcBorders>
            <w:vAlign w:val="center"/>
            <w:hideMark/>
          </w:tcPr>
          <w:p w:rsidR="0051170C" w:rsidRPr="0051170C" w:rsidRDefault="0051170C" w:rsidP="00264F8B">
            <w:pPr>
              <w:spacing w:after="0" w:line="240" w:lineRule="auto"/>
              <w:jc w:val="both"/>
              <w:rPr>
                <w:rFonts w:ascii="Times New Roman" w:hAnsi="Times New Roman" w:cs="Times New Roman"/>
                <w:bCs/>
                <w:sz w:val="24"/>
                <w:szCs w:val="24"/>
              </w:rPr>
            </w:pPr>
          </w:p>
        </w:tc>
        <w:tc>
          <w:tcPr>
            <w:tcW w:w="1396" w:type="dxa"/>
            <w:tcBorders>
              <w:top w:val="single" w:sz="8" w:space="0" w:color="000000"/>
              <w:left w:val="nil"/>
              <w:bottom w:val="single" w:sz="8" w:space="0" w:color="000000"/>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Control </w:t>
            </w:r>
          </w:p>
        </w:tc>
        <w:tc>
          <w:tcPr>
            <w:tcW w:w="1399" w:type="dxa"/>
            <w:tcBorders>
              <w:top w:val="single" w:sz="8" w:space="0" w:color="000000"/>
              <w:left w:val="nil"/>
              <w:bottom w:val="single" w:sz="8" w:space="0" w:color="000000"/>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T1(5%) </w:t>
            </w:r>
          </w:p>
        </w:tc>
        <w:tc>
          <w:tcPr>
            <w:tcW w:w="1482" w:type="dxa"/>
            <w:tcBorders>
              <w:top w:val="single" w:sz="8" w:space="0" w:color="000000"/>
              <w:left w:val="nil"/>
              <w:bottom w:val="single" w:sz="8" w:space="0" w:color="000000"/>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T2(10%) </w:t>
            </w:r>
          </w:p>
        </w:tc>
        <w:tc>
          <w:tcPr>
            <w:tcW w:w="1749" w:type="dxa"/>
            <w:tcBorders>
              <w:top w:val="single" w:sz="8" w:space="0" w:color="000000"/>
              <w:left w:val="nil"/>
              <w:bottom w:val="single" w:sz="8" w:space="0" w:color="000000"/>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T3(Commercial feed) </w:t>
            </w:r>
          </w:p>
        </w:tc>
      </w:tr>
      <w:tr w:rsidR="0051170C" w:rsidRPr="0051170C" w:rsidTr="0051170C">
        <w:trPr>
          <w:trHeight w:val="332"/>
          <w:jc w:val="center"/>
        </w:trPr>
        <w:tc>
          <w:tcPr>
            <w:tcW w:w="1520" w:type="dxa"/>
            <w:tcBorders>
              <w:top w:val="single" w:sz="8" w:space="0" w:color="000000"/>
              <w:left w:val="nil"/>
              <w:bottom w:val="nil"/>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IBW(g) </w:t>
            </w:r>
          </w:p>
        </w:tc>
        <w:tc>
          <w:tcPr>
            <w:tcW w:w="1396" w:type="dxa"/>
            <w:tcBorders>
              <w:top w:val="single" w:sz="8" w:space="0" w:color="000000"/>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0.03 </w:t>
            </w:r>
          </w:p>
        </w:tc>
        <w:tc>
          <w:tcPr>
            <w:tcW w:w="1399" w:type="dxa"/>
            <w:tcBorders>
              <w:top w:val="single" w:sz="8" w:space="0" w:color="000000"/>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0.03 </w:t>
            </w:r>
          </w:p>
        </w:tc>
        <w:tc>
          <w:tcPr>
            <w:tcW w:w="1482" w:type="dxa"/>
            <w:tcBorders>
              <w:top w:val="single" w:sz="8" w:space="0" w:color="000000"/>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0.03 </w:t>
            </w:r>
          </w:p>
        </w:tc>
        <w:tc>
          <w:tcPr>
            <w:tcW w:w="1749" w:type="dxa"/>
            <w:tcBorders>
              <w:top w:val="single" w:sz="8" w:space="0" w:color="000000"/>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0.03 </w:t>
            </w:r>
          </w:p>
        </w:tc>
      </w:tr>
      <w:tr w:rsidR="0051170C" w:rsidRPr="0051170C" w:rsidTr="0051170C">
        <w:trPr>
          <w:trHeight w:val="458"/>
          <w:jc w:val="center"/>
        </w:trPr>
        <w:tc>
          <w:tcPr>
            <w:tcW w:w="1520" w:type="dxa"/>
            <w:tcBorders>
              <w:top w:val="nil"/>
              <w:left w:val="nil"/>
              <w:bottom w:val="nil"/>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FBW(g) </w:t>
            </w:r>
          </w:p>
        </w:tc>
        <w:tc>
          <w:tcPr>
            <w:tcW w:w="1396"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5.71±0.03</w:t>
            </w:r>
            <w:r w:rsidRPr="0051170C">
              <w:rPr>
                <w:rFonts w:ascii="Times New Roman" w:hAnsi="Times New Roman" w:cs="Times New Roman"/>
                <w:bCs/>
                <w:sz w:val="24"/>
                <w:szCs w:val="24"/>
                <w:vertAlign w:val="superscript"/>
              </w:rPr>
              <w:t>b</w:t>
            </w:r>
            <w:r w:rsidRPr="0051170C">
              <w:rPr>
                <w:rFonts w:ascii="Times New Roman" w:hAnsi="Times New Roman" w:cs="Times New Roman"/>
                <w:bCs/>
                <w:sz w:val="24"/>
                <w:szCs w:val="24"/>
              </w:rPr>
              <w:t xml:space="preserve"> </w:t>
            </w:r>
          </w:p>
        </w:tc>
        <w:tc>
          <w:tcPr>
            <w:tcW w:w="139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6.07±0.09</w:t>
            </w:r>
            <w:r w:rsidRPr="0051170C">
              <w:rPr>
                <w:rFonts w:ascii="Times New Roman" w:hAnsi="Times New Roman" w:cs="Times New Roman"/>
                <w:bCs/>
                <w:sz w:val="24"/>
                <w:szCs w:val="24"/>
                <w:vertAlign w:val="superscript"/>
              </w:rPr>
              <w:t>a</w:t>
            </w:r>
            <w:r w:rsidRPr="0051170C">
              <w:rPr>
                <w:rFonts w:ascii="Times New Roman" w:hAnsi="Times New Roman" w:cs="Times New Roman"/>
                <w:bCs/>
                <w:sz w:val="24"/>
                <w:szCs w:val="24"/>
              </w:rPr>
              <w:t xml:space="preserve"> </w:t>
            </w:r>
          </w:p>
        </w:tc>
        <w:tc>
          <w:tcPr>
            <w:tcW w:w="1482"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6.68±0.47</w:t>
            </w:r>
            <w:r w:rsidRPr="0051170C">
              <w:rPr>
                <w:rFonts w:ascii="Times New Roman" w:hAnsi="Times New Roman" w:cs="Times New Roman"/>
                <w:bCs/>
                <w:sz w:val="24"/>
                <w:szCs w:val="24"/>
                <w:vertAlign w:val="superscript"/>
              </w:rPr>
              <w:t>a</w:t>
            </w:r>
            <w:r w:rsidRPr="0051170C">
              <w:rPr>
                <w:rFonts w:ascii="Times New Roman" w:hAnsi="Times New Roman" w:cs="Times New Roman"/>
                <w:bCs/>
                <w:sz w:val="24"/>
                <w:szCs w:val="24"/>
              </w:rPr>
              <w:t xml:space="preserve"> </w:t>
            </w:r>
          </w:p>
        </w:tc>
        <w:tc>
          <w:tcPr>
            <w:tcW w:w="174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5.66±0.02</w:t>
            </w:r>
            <w:r w:rsidRPr="0051170C">
              <w:rPr>
                <w:rFonts w:ascii="Times New Roman" w:hAnsi="Times New Roman" w:cs="Times New Roman"/>
                <w:bCs/>
                <w:sz w:val="24"/>
                <w:szCs w:val="24"/>
                <w:vertAlign w:val="superscript"/>
              </w:rPr>
              <w:t>c</w:t>
            </w:r>
            <w:r w:rsidRPr="0051170C">
              <w:rPr>
                <w:rFonts w:ascii="Times New Roman" w:hAnsi="Times New Roman" w:cs="Times New Roman"/>
                <w:bCs/>
                <w:sz w:val="24"/>
                <w:szCs w:val="24"/>
              </w:rPr>
              <w:t xml:space="preserve"> </w:t>
            </w:r>
          </w:p>
        </w:tc>
      </w:tr>
      <w:tr w:rsidR="0051170C" w:rsidRPr="0051170C" w:rsidTr="0051170C">
        <w:trPr>
          <w:trHeight w:val="449"/>
          <w:jc w:val="center"/>
        </w:trPr>
        <w:tc>
          <w:tcPr>
            <w:tcW w:w="1520" w:type="dxa"/>
            <w:tcBorders>
              <w:top w:val="nil"/>
              <w:left w:val="nil"/>
              <w:bottom w:val="nil"/>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WG </w:t>
            </w:r>
          </w:p>
        </w:tc>
        <w:tc>
          <w:tcPr>
            <w:tcW w:w="1396"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5.68±0.49</w:t>
            </w:r>
            <w:r w:rsidRPr="0051170C">
              <w:rPr>
                <w:rFonts w:ascii="Times New Roman" w:hAnsi="Times New Roman" w:cs="Times New Roman"/>
                <w:bCs/>
                <w:sz w:val="24"/>
                <w:szCs w:val="24"/>
                <w:vertAlign w:val="superscript"/>
              </w:rPr>
              <w:t xml:space="preserve"> c</w:t>
            </w:r>
            <w:r w:rsidRPr="0051170C">
              <w:rPr>
                <w:rFonts w:ascii="Times New Roman" w:hAnsi="Times New Roman" w:cs="Times New Roman"/>
                <w:bCs/>
                <w:sz w:val="24"/>
                <w:szCs w:val="24"/>
              </w:rPr>
              <w:t xml:space="preserve"> </w:t>
            </w:r>
          </w:p>
        </w:tc>
        <w:tc>
          <w:tcPr>
            <w:tcW w:w="139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6.04±0.10</w:t>
            </w:r>
            <w:r w:rsidRPr="0051170C">
              <w:rPr>
                <w:rFonts w:ascii="Times New Roman" w:hAnsi="Times New Roman" w:cs="Times New Roman"/>
                <w:bCs/>
                <w:sz w:val="24"/>
                <w:szCs w:val="24"/>
                <w:vertAlign w:val="superscript"/>
              </w:rPr>
              <w:t>a</w:t>
            </w:r>
            <w:r w:rsidRPr="0051170C">
              <w:rPr>
                <w:rFonts w:ascii="Times New Roman" w:hAnsi="Times New Roman" w:cs="Times New Roman"/>
                <w:bCs/>
                <w:sz w:val="24"/>
                <w:szCs w:val="24"/>
              </w:rPr>
              <w:t xml:space="preserve"> </w:t>
            </w:r>
          </w:p>
        </w:tc>
        <w:tc>
          <w:tcPr>
            <w:tcW w:w="1482"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6.65±0.04</w:t>
            </w:r>
            <w:r w:rsidRPr="0051170C">
              <w:rPr>
                <w:rFonts w:ascii="Times New Roman" w:hAnsi="Times New Roman" w:cs="Times New Roman"/>
                <w:bCs/>
                <w:sz w:val="24"/>
                <w:szCs w:val="24"/>
                <w:vertAlign w:val="superscript"/>
              </w:rPr>
              <w:t>a</w:t>
            </w:r>
            <w:r w:rsidRPr="0051170C">
              <w:rPr>
                <w:rFonts w:ascii="Times New Roman" w:hAnsi="Times New Roman" w:cs="Times New Roman"/>
                <w:bCs/>
                <w:sz w:val="24"/>
                <w:szCs w:val="24"/>
              </w:rPr>
              <w:t xml:space="preserve"> </w:t>
            </w:r>
          </w:p>
        </w:tc>
        <w:tc>
          <w:tcPr>
            <w:tcW w:w="174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5.63±0.25</w:t>
            </w:r>
            <w:r w:rsidRPr="0051170C">
              <w:rPr>
                <w:rFonts w:ascii="Times New Roman" w:hAnsi="Times New Roman" w:cs="Times New Roman"/>
                <w:bCs/>
                <w:sz w:val="24"/>
                <w:szCs w:val="24"/>
                <w:vertAlign w:val="superscript"/>
              </w:rPr>
              <w:t>b</w:t>
            </w:r>
            <w:r w:rsidRPr="0051170C">
              <w:rPr>
                <w:rFonts w:ascii="Times New Roman" w:hAnsi="Times New Roman" w:cs="Times New Roman"/>
                <w:bCs/>
                <w:sz w:val="24"/>
                <w:szCs w:val="24"/>
              </w:rPr>
              <w:t xml:space="preserve"> </w:t>
            </w:r>
          </w:p>
        </w:tc>
      </w:tr>
      <w:tr w:rsidR="0051170C" w:rsidRPr="0051170C" w:rsidTr="0051170C">
        <w:trPr>
          <w:trHeight w:val="458"/>
          <w:jc w:val="center"/>
        </w:trPr>
        <w:tc>
          <w:tcPr>
            <w:tcW w:w="1520" w:type="dxa"/>
            <w:tcBorders>
              <w:top w:val="nil"/>
              <w:left w:val="nil"/>
              <w:bottom w:val="nil"/>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SGR(% day) </w:t>
            </w:r>
          </w:p>
        </w:tc>
        <w:tc>
          <w:tcPr>
            <w:tcW w:w="1396"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6.22±0.10</w:t>
            </w:r>
            <w:r w:rsidRPr="0051170C">
              <w:rPr>
                <w:rFonts w:ascii="Times New Roman" w:hAnsi="Times New Roman" w:cs="Times New Roman"/>
                <w:bCs/>
                <w:sz w:val="24"/>
                <w:szCs w:val="24"/>
                <w:vertAlign w:val="superscript"/>
              </w:rPr>
              <w:t>c</w:t>
            </w:r>
            <w:r w:rsidRPr="0051170C">
              <w:rPr>
                <w:rFonts w:ascii="Times New Roman" w:hAnsi="Times New Roman" w:cs="Times New Roman"/>
                <w:bCs/>
                <w:sz w:val="24"/>
                <w:szCs w:val="24"/>
              </w:rPr>
              <w:t xml:space="preserve"> </w:t>
            </w:r>
          </w:p>
        </w:tc>
        <w:tc>
          <w:tcPr>
            <w:tcW w:w="139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6.69±0.15</w:t>
            </w:r>
            <w:r w:rsidRPr="0051170C">
              <w:rPr>
                <w:rFonts w:ascii="Times New Roman" w:hAnsi="Times New Roman" w:cs="Times New Roman"/>
                <w:bCs/>
                <w:sz w:val="24"/>
                <w:szCs w:val="24"/>
                <w:vertAlign w:val="superscript"/>
              </w:rPr>
              <w:t>a</w:t>
            </w:r>
            <w:r w:rsidRPr="0051170C">
              <w:rPr>
                <w:rFonts w:ascii="Times New Roman" w:hAnsi="Times New Roman" w:cs="Times New Roman"/>
                <w:bCs/>
                <w:sz w:val="24"/>
                <w:szCs w:val="24"/>
              </w:rPr>
              <w:t xml:space="preserve"> </w:t>
            </w:r>
          </w:p>
        </w:tc>
        <w:tc>
          <w:tcPr>
            <w:tcW w:w="1482"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6.88±0.03</w:t>
            </w:r>
            <w:r w:rsidRPr="0051170C">
              <w:rPr>
                <w:rFonts w:ascii="Times New Roman" w:hAnsi="Times New Roman" w:cs="Times New Roman"/>
                <w:bCs/>
                <w:sz w:val="24"/>
                <w:szCs w:val="24"/>
                <w:vertAlign w:val="superscript"/>
              </w:rPr>
              <w:t>a</w:t>
            </w:r>
            <w:r w:rsidRPr="0051170C">
              <w:rPr>
                <w:rFonts w:ascii="Times New Roman" w:hAnsi="Times New Roman" w:cs="Times New Roman"/>
                <w:bCs/>
                <w:sz w:val="24"/>
                <w:szCs w:val="24"/>
              </w:rPr>
              <w:t xml:space="preserve"> </w:t>
            </w:r>
          </w:p>
        </w:tc>
        <w:tc>
          <w:tcPr>
            <w:tcW w:w="174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6.51±0.06</w:t>
            </w:r>
            <w:r w:rsidRPr="0051170C">
              <w:rPr>
                <w:rFonts w:ascii="Times New Roman" w:hAnsi="Times New Roman" w:cs="Times New Roman"/>
                <w:bCs/>
                <w:sz w:val="24"/>
                <w:szCs w:val="24"/>
                <w:vertAlign w:val="superscript"/>
              </w:rPr>
              <w:t>b</w:t>
            </w:r>
            <w:r w:rsidRPr="0051170C">
              <w:rPr>
                <w:rFonts w:ascii="Times New Roman" w:hAnsi="Times New Roman" w:cs="Times New Roman"/>
                <w:bCs/>
                <w:sz w:val="24"/>
                <w:szCs w:val="24"/>
              </w:rPr>
              <w:t xml:space="preserve"> </w:t>
            </w:r>
          </w:p>
        </w:tc>
      </w:tr>
      <w:tr w:rsidR="0051170C" w:rsidRPr="0051170C" w:rsidTr="0051170C">
        <w:trPr>
          <w:trHeight w:val="449"/>
          <w:jc w:val="center"/>
        </w:trPr>
        <w:tc>
          <w:tcPr>
            <w:tcW w:w="1520" w:type="dxa"/>
            <w:tcBorders>
              <w:top w:val="nil"/>
              <w:left w:val="nil"/>
              <w:bottom w:val="nil"/>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FCR </w:t>
            </w:r>
          </w:p>
        </w:tc>
        <w:tc>
          <w:tcPr>
            <w:tcW w:w="1396"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1.7±0.01</w:t>
            </w:r>
            <w:r w:rsidRPr="0051170C">
              <w:rPr>
                <w:rFonts w:ascii="Times New Roman" w:hAnsi="Times New Roman" w:cs="Times New Roman"/>
                <w:bCs/>
                <w:sz w:val="24"/>
                <w:szCs w:val="24"/>
                <w:vertAlign w:val="superscript"/>
              </w:rPr>
              <w:t>a</w:t>
            </w:r>
            <w:r w:rsidRPr="0051170C">
              <w:rPr>
                <w:rFonts w:ascii="Times New Roman" w:hAnsi="Times New Roman" w:cs="Times New Roman"/>
                <w:bCs/>
                <w:sz w:val="24"/>
                <w:szCs w:val="24"/>
              </w:rPr>
              <w:t xml:space="preserve"> </w:t>
            </w:r>
          </w:p>
        </w:tc>
        <w:tc>
          <w:tcPr>
            <w:tcW w:w="139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1.67±0.04</w:t>
            </w:r>
            <w:r w:rsidRPr="0051170C">
              <w:rPr>
                <w:rFonts w:ascii="Times New Roman" w:hAnsi="Times New Roman" w:cs="Times New Roman"/>
                <w:bCs/>
                <w:sz w:val="24"/>
                <w:szCs w:val="24"/>
                <w:vertAlign w:val="superscript"/>
              </w:rPr>
              <w:t>b</w:t>
            </w:r>
            <w:r w:rsidRPr="0051170C">
              <w:rPr>
                <w:rFonts w:ascii="Times New Roman" w:hAnsi="Times New Roman" w:cs="Times New Roman"/>
                <w:bCs/>
                <w:sz w:val="24"/>
                <w:szCs w:val="24"/>
              </w:rPr>
              <w:t xml:space="preserve"> </w:t>
            </w:r>
          </w:p>
        </w:tc>
        <w:tc>
          <w:tcPr>
            <w:tcW w:w="1482"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1.48±0.05</w:t>
            </w:r>
            <w:r w:rsidRPr="0051170C">
              <w:rPr>
                <w:rFonts w:ascii="Times New Roman" w:hAnsi="Times New Roman" w:cs="Times New Roman"/>
                <w:bCs/>
                <w:sz w:val="24"/>
                <w:szCs w:val="24"/>
                <w:vertAlign w:val="superscript"/>
              </w:rPr>
              <w:t>c</w:t>
            </w:r>
            <w:r w:rsidRPr="0051170C">
              <w:rPr>
                <w:rFonts w:ascii="Times New Roman" w:hAnsi="Times New Roman" w:cs="Times New Roman"/>
                <w:bCs/>
                <w:sz w:val="24"/>
                <w:szCs w:val="24"/>
              </w:rPr>
              <w:t xml:space="preserve"> </w:t>
            </w:r>
          </w:p>
        </w:tc>
        <w:tc>
          <w:tcPr>
            <w:tcW w:w="174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1.47±0.01</w:t>
            </w:r>
            <w:r w:rsidRPr="0051170C">
              <w:rPr>
                <w:rFonts w:ascii="Times New Roman" w:hAnsi="Times New Roman" w:cs="Times New Roman"/>
                <w:bCs/>
                <w:sz w:val="24"/>
                <w:szCs w:val="24"/>
                <w:vertAlign w:val="superscript"/>
              </w:rPr>
              <w:t>c</w:t>
            </w:r>
            <w:r w:rsidRPr="0051170C">
              <w:rPr>
                <w:rFonts w:ascii="Times New Roman" w:hAnsi="Times New Roman" w:cs="Times New Roman"/>
                <w:bCs/>
                <w:sz w:val="24"/>
                <w:szCs w:val="24"/>
              </w:rPr>
              <w:t xml:space="preserve"> </w:t>
            </w:r>
          </w:p>
        </w:tc>
      </w:tr>
      <w:tr w:rsidR="0051170C" w:rsidRPr="0051170C" w:rsidTr="0051170C">
        <w:trPr>
          <w:trHeight w:val="458"/>
          <w:jc w:val="center"/>
        </w:trPr>
        <w:tc>
          <w:tcPr>
            <w:tcW w:w="1520" w:type="dxa"/>
            <w:tcBorders>
              <w:top w:val="nil"/>
              <w:left w:val="nil"/>
              <w:bottom w:val="nil"/>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PER </w:t>
            </w:r>
          </w:p>
        </w:tc>
        <w:tc>
          <w:tcPr>
            <w:tcW w:w="1396"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1.57±0.05</w:t>
            </w:r>
            <w:r w:rsidRPr="0051170C">
              <w:rPr>
                <w:rFonts w:ascii="Times New Roman" w:hAnsi="Times New Roman" w:cs="Times New Roman"/>
                <w:bCs/>
                <w:sz w:val="24"/>
                <w:szCs w:val="24"/>
                <w:vertAlign w:val="superscript"/>
              </w:rPr>
              <w:t>c</w:t>
            </w:r>
            <w:r w:rsidRPr="0051170C">
              <w:rPr>
                <w:rFonts w:ascii="Times New Roman" w:hAnsi="Times New Roman" w:cs="Times New Roman"/>
                <w:bCs/>
                <w:sz w:val="24"/>
                <w:szCs w:val="24"/>
              </w:rPr>
              <w:t xml:space="preserve"> </w:t>
            </w:r>
          </w:p>
        </w:tc>
        <w:tc>
          <w:tcPr>
            <w:tcW w:w="139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1.61±0.03</w:t>
            </w:r>
            <w:r w:rsidRPr="0051170C">
              <w:rPr>
                <w:rFonts w:ascii="Times New Roman" w:hAnsi="Times New Roman" w:cs="Times New Roman"/>
                <w:bCs/>
                <w:sz w:val="24"/>
                <w:szCs w:val="24"/>
                <w:vertAlign w:val="superscript"/>
              </w:rPr>
              <w:t>b</w:t>
            </w:r>
            <w:r w:rsidRPr="0051170C">
              <w:rPr>
                <w:rFonts w:ascii="Times New Roman" w:hAnsi="Times New Roman" w:cs="Times New Roman"/>
                <w:bCs/>
                <w:sz w:val="24"/>
                <w:szCs w:val="24"/>
              </w:rPr>
              <w:t xml:space="preserve"> </w:t>
            </w:r>
          </w:p>
        </w:tc>
        <w:tc>
          <w:tcPr>
            <w:tcW w:w="1482"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2.37±0.04</w:t>
            </w:r>
            <w:r w:rsidRPr="0051170C">
              <w:rPr>
                <w:rFonts w:ascii="Times New Roman" w:hAnsi="Times New Roman" w:cs="Times New Roman"/>
                <w:bCs/>
                <w:sz w:val="24"/>
                <w:szCs w:val="24"/>
                <w:vertAlign w:val="superscript"/>
              </w:rPr>
              <w:t>a</w:t>
            </w:r>
            <w:r w:rsidRPr="0051170C">
              <w:rPr>
                <w:rFonts w:ascii="Times New Roman" w:hAnsi="Times New Roman" w:cs="Times New Roman"/>
                <w:bCs/>
                <w:sz w:val="24"/>
                <w:szCs w:val="24"/>
              </w:rPr>
              <w:t xml:space="preserve"> </w:t>
            </w:r>
          </w:p>
        </w:tc>
        <w:tc>
          <w:tcPr>
            <w:tcW w:w="174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1.66±0.02</w:t>
            </w:r>
            <w:r w:rsidRPr="0051170C">
              <w:rPr>
                <w:rFonts w:ascii="Times New Roman" w:hAnsi="Times New Roman" w:cs="Times New Roman"/>
                <w:bCs/>
                <w:sz w:val="24"/>
                <w:szCs w:val="24"/>
                <w:vertAlign w:val="superscript"/>
              </w:rPr>
              <w:t>b</w:t>
            </w:r>
            <w:r w:rsidRPr="0051170C">
              <w:rPr>
                <w:rFonts w:ascii="Times New Roman" w:hAnsi="Times New Roman" w:cs="Times New Roman"/>
                <w:bCs/>
                <w:sz w:val="24"/>
                <w:szCs w:val="24"/>
              </w:rPr>
              <w:t xml:space="preserve"> </w:t>
            </w:r>
          </w:p>
        </w:tc>
      </w:tr>
      <w:tr w:rsidR="0051170C" w:rsidRPr="0051170C" w:rsidTr="0051170C">
        <w:trPr>
          <w:trHeight w:val="449"/>
          <w:jc w:val="center"/>
        </w:trPr>
        <w:tc>
          <w:tcPr>
            <w:tcW w:w="1520" w:type="dxa"/>
            <w:tcBorders>
              <w:top w:val="nil"/>
              <w:left w:val="nil"/>
              <w:bottom w:val="nil"/>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FE(%) </w:t>
            </w:r>
          </w:p>
        </w:tc>
        <w:tc>
          <w:tcPr>
            <w:tcW w:w="1396"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74.67±0.96</w:t>
            </w:r>
            <w:r w:rsidRPr="0051170C">
              <w:rPr>
                <w:rFonts w:ascii="Times New Roman" w:hAnsi="Times New Roman" w:cs="Times New Roman"/>
                <w:bCs/>
                <w:sz w:val="24"/>
                <w:szCs w:val="24"/>
                <w:vertAlign w:val="superscript"/>
              </w:rPr>
              <w:t>c</w:t>
            </w:r>
            <w:r w:rsidRPr="0051170C">
              <w:rPr>
                <w:rFonts w:ascii="Times New Roman" w:hAnsi="Times New Roman" w:cs="Times New Roman"/>
                <w:bCs/>
                <w:sz w:val="24"/>
                <w:szCs w:val="24"/>
              </w:rPr>
              <w:t xml:space="preserve"> </w:t>
            </w:r>
          </w:p>
        </w:tc>
        <w:tc>
          <w:tcPr>
            <w:tcW w:w="139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75.6±1.22</w:t>
            </w:r>
            <w:r w:rsidRPr="0051170C">
              <w:rPr>
                <w:rFonts w:ascii="Times New Roman" w:hAnsi="Times New Roman" w:cs="Times New Roman"/>
                <w:bCs/>
                <w:sz w:val="24"/>
                <w:szCs w:val="24"/>
                <w:vertAlign w:val="superscript"/>
              </w:rPr>
              <w:t>b</w:t>
            </w:r>
            <w:r w:rsidRPr="0051170C">
              <w:rPr>
                <w:rFonts w:ascii="Times New Roman" w:hAnsi="Times New Roman" w:cs="Times New Roman"/>
                <w:bCs/>
                <w:sz w:val="24"/>
                <w:szCs w:val="24"/>
              </w:rPr>
              <w:t xml:space="preserve"> </w:t>
            </w:r>
          </w:p>
        </w:tc>
        <w:tc>
          <w:tcPr>
            <w:tcW w:w="1482"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79.95±0.31</w:t>
            </w:r>
            <w:r w:rsidRPr="0051170C">
              <w:rPr>
                <w:rFonts w:ascii="Times New Roman" w:hAnsi="Times New Roman" w:cs="Times New Roman"/>
                <w:bCs/>
                <w:sz w:val="24"/>
                <w:szCs w:val="24"/>
                <w:vertAlign w:val="superscript"/>
              </w:rPr>
              <w:t>a</w:t>
            </w:r>
            <w:r w:rsidRPr="0051170C">
              <w:rPr>
                <w:rFonts w:ascii="Times New Roman" w:hAnsi="Times New Roman" w:cs="Times New Roman"/>
                <w:bCs/>
                <w:sz w:val="24"/>
                <w:szCs w:val="24"/>
              </w:rPr>
              <w:t xml:space="preserve"> </w:t>
            </w:r>
          </w:p>
        </w:tc>
        <w:tc>
          <w:tcPr>
            <w:tcW w:w="1749" w:type="dxa"/>
            <w:tcBorders>
              <w:top w:val="nil"/>
              <w:left w:val="nil"/>
              <w:bottom w:val="nil"/>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74.46±0.18</w:t>
            </w:r>
            <w:r w:rsidRPr="0051170C">
              <w:rPr>
                <w:rFonts w:ascii="Times New Roman" w:hAnsi="Times New Roman" w:cs="Times New Roman"/>
                <w:bCs/>
                <w:sz w:val="24"/>
                <w:szCs w:val="24"/>
                <w:vertAlign w:val="superscript"/>
              </w:rPr>
              <w:t>c</w:t>
            </w:r>
            <w:r w:rsidRPr="0051170C">
              <w:rPr>
                <w:rFonts w:ascii="Times New Roman" w:hAnsi="Times New Roman" w:cs="Times New Roman"/>
                <w:bCs/>
                <w:sz w:val="24"/>
                <w:szCs w:val="24"/>
              </w:rPr>
              <w:t xml:space="preserve"> </w:t>
            </w:r>
          </w:p>
        </w:tc>
      </w:tr>
      <w:tr w:rsidR="0051170C" w:rsidRPr="0051170C" w:rsidTr="0051170C">
        <w:trPr>
          <w:trHeight w:val="467"/>
          <w:jc w:val="center"/>
        </w:trPr>
        <w:tc>
          <w:tcPr>
            <w:tcW w:w="1520" w:type="dxa"/>
            <w:tcBorders>
              <w:top w:val="nil"/>
              <w:left w:val="nil"/>
              <w:bottom w:val="single" w:sz="18" w:space="0" w:color="000000"/>
              <w:right w:val="nil"/>
            </w:tcBorders>
            <w:shd w:val="clear" w:color="auto" w:fill="FFFFFF"/>
            <w:tcMar>
              <w:top w:w="10" w:type="dxa"/>
              <w:left w:w="108" w:type="dxa"/>
              <w:bottom w:w="0" w:type="dxa"/>
              <w:right w:w="108" w:type="dxa"/>
            </w:tcMa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 xml:space="preserve">SR(%) </w:t>
            </w:r>
          </w:p>
        </w:tc>
        <w:tc>
          <w:tcPr>
            <w:tcW w:w="1396" w:type="dxa"/>
            <w:tcBorders>
              <w:top w:val="nil"/>
              <w:left w:val="nil"/>
              <w:bottom w:val="single" w:sz="18" w:space="0" w:color="000000"/>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90.51±0.60</w:t>
            </w:r>
            <w:r w:rsidRPr="0051170C">
              <w:rPr>
                <w:rFonts w:ascii="Times New Roman" w:hAnsi="Times New Roman" w:cs="Times New Roman"/>
                <w:bCs/>
                <w:sz w:val="24"/>
                <w:szCs w:val="24"/>
                <w:vertAlign w:val="superscript"/>
              </w:rPr>
              <w:t>c</w:t>
            </w:r>
            <w:r w:rsidRPr="0051170C">
              <w:rPr>
                <w:rFonts w:ascii="Times New Roman" w:hAnsi="Times New Roman" w:cs="Times New Roman"/>
                <w:bCs/>
                <w:sz w:val="24"/>
                <w:szCs w:val="24"/>
              </w:rPr>
              <w:t xml:space="preserve"> </w:t>
            </w:r>
          </w:p>
        </w:tc>
        <w:tc>
          <w:tcPr>
            <w:tcW w:w="1399" w:type="dxa"/>
            <w:tcBorders>
              <w:top w:val="nil"/>
              <w:left w:val="nil"/>
              <w:bottom w:val="single" w:sz="18" w:space="0" w:color="000000"/>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91.66±0.33</w:t>
            </w:r>
            <w:r w:rsidRPr="0051170C">
              <w:rPr>
                <w:rFonts w:ascii="Times New Roman" w:hAnsi="Times New Roman" w:cs="Times New Roman"/>
                <w:bCs/>
                <w:sz w:val="24"/>
                <w:szCs w:val="24"/>
                <w:vertAlign w:val="superscript"/>
              </w:rPr>
              <w:t>b</w:t>
            </w:r>
            <w:r w:rsidRPr="0051170C">
              <w:rPr>
                <w:rFonts w:ascii="Times New Roman" w:hAnsi="Times New Roman" w:cs="Times New Roman"/>
                <w:bCs/>
                <w:sz w:val="24"/>
                <w:szCs w:val="24"/>
              </w:rPr>
              <w:t xml:space="preserve"> </w:t>
            </w:r>
          </w:p>
        </w:tc>
        <w:tc>
          <w:tcPr>
            <w:tcW w:w="1482" w:type="dxa"/>
            <w:tcBorders>
              <w:top w:val="nil"/>
              <w:left w:val="nil"/>
              <w:bottom w:val="single" w:sz="18" w:space="0" w:color="000000"/>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92.68±0.13</w:t>
            </w:r>
            <w:r w:rsidRPr="0051170C">
              <w:rPr>
                <w:rFonts w:ascii="Times New Roman" w:hAnsi="Times New Roman" w:cs="Times New Roman"/>
                <w:bCs/>
                <w:sz w:val="24"/>
                <w:szCs w:val="24"/>
                <w:vertAlign w:val="superscript"/>
              </w:rPr>
              <w:t>a</w:t>
            </w:r>
            <w:r w:rsidRPr="0051170C">
              <w:rPr>
                <w:rFonts w:ascii="Times New Roman" w:hAnsi="Times New Roman" w:cs="Times New Roman"/>
                <w:bCs/>
                <w:sz w:val="24"/>
                <w:szCs w:val="24"/>
              </w:rPr>
              <w:t xml:space="preserve"> </w:t>
            </w:r>
          </w:p>
        </w:tc>
        <w:tc>
          <w:tcPr>
            <w:tcW w:w="1749" w:type="dxa"/>
            <w:tcBorders>
              <w:top w:val="nil"/>
              <w:left w:val="nil"/>
              <w:bottom w:val="single" w:sz="18" w:space="0" w:color="000000"/>
              <w:right w:val="nil"/>
            </w:tcBorders>
            <w:shd w:val="clear" w:color="auto" w:fill="FFFFFF"/>
            <w:tcMar>
              <w:top w:w="10" w:type="dxa"/>
              <w:left w:w="108" w:type="dxa"/>
              <w:bottom w:w="0" w:type="dxa"/>
              <w:right w:w="108" w:type="dxa"/>
            </w:tcMar>
            <w:vAlign w:val="center"/>
            <w:hideMark/>
          </w:tcPr>
          <w:p w:rsidR="008866C0" w:rsidRPr="0051170C" w:rsidRDefault="0051170C" w:rsidP="00264F8B">
            <w:pPr>
              <w:spacing w:after="0" w:line="240" w:lineRule="auto"/>
              <w:jc w:val="both"/>
              <w:rPr>
                <w:rFonts w:ascii="Times New Roman" w:hAnsi="Times New Roman" w:cs="Times New Roman"/>
                <w:bCs/>
                <w:sz w:val="24"/>
                <w:szCs w:val="24"/>
              </w:rPr>
            </w:pPr>
            <w:r w:rsidRPr="0051170C">
              <w:rPr>
                <w:rFonts w:ascii="Times New Roman" w:hAnsi="Times New Roman" w:cs="Times New Roman"/>
                <w:bCs/>
                <w:sz w:val="24"/>
                <w:szCs w:val="24"/>
              </w:rPr>
              <w:t>91.48±0.17</w:t>
            </w:r>
            <w:r w:rsidRPr="0051170C">
              <w:rPr>
                <w:rFonts w:ascii="Times New Roman" w:hAnsi="Times New Roman" w:cs="Times New Roman"/>
                <w:bCs/>
                <w:sz w:val="24"/>
                <w:szCs w:val="24"/>
                <w:vertAlign w:val="superscript"/>
              </w:rPr>
              <w:t>b</w:t>
            </w:r>
            <w:r w:rsidRPr="0051170C">
              <w:rPr>
                <w:rFonts w:ascii="Times New Roman" w:hAnsi="Times New Roman" w:cs="Times New Roman"/>
                <w:bCs/>
                <w:sz w:val="24"/>
                <w:szCs w:val="24"/>
              </w:rPr>
              <w:t xml:space="preserve"> </w:t>
            </w:r>
          </w:p>
        </w:tc>
      </w:tr>
    </w:tbl>
    <w:p w:rsidR="00861472" w:rsidRDefault="0051170C" w:rsidP="00264F8B">
      <w:pPr>
        <w:jc w:val="both"/>
      </w:pPr>
      <w:r w:rsidRPr="004F76E0">
        <w:rPr>
          <w:rFonts w:ascii="Times New Roman" w:hAnsi="Times New Roman" w:cs="Times New Roman"/>
          <w:i/>
          <w:sz w:val="20"/>
        </w:rPr>
        <w:t>Data are presented as means ±SD. Values in the same row with different superscript letters are significantly different (</w:t>
      </w:r>
      <w:r w:rsidRPr="00DE1FF0">
        <w:rPr>
          <w:rFonts w:ascii="Times New Roman" w:eastAsia="Times New Roman" w:hAnsi="Times New Roman" w:cs="Times New Roman"/>
          <w:i/>
          <w:sz w:val="20"/>
        </w:rPr>
        <w:t>P&lt;0.0001</w:t>
      </w:r>
      <w:r w:rsidRPr="004F76E0">
        <w:rPr>
          <w:rFonts w:ascii="Times New Roman" w:hAnsi="Times New Roman" w:cs="Times New Roman"/>
          <w:i/>
          <w:sz w:val="20"/>
        </w:rPr>
        <w:t>).</w:t>
      </w:r>
      <w:r w:rsidR="00421537">
        <w:t xml:space="preserve">It was found </w:t>
      </w:r>
      <w:r w:rsidR="00861472" w:rsidRPr="00861472">
        <w:t xml:space="preserve">that T2 had the most effective FCR and the best growth rates. Because of its function in nutritional digestion and its high concentration of various nutrients, including vitamins and minerals, </w:t>
      </w:r>
      <w:r w:rsidR="00861472" w:rsidRPr="00A11775">
        <w:rPr>
          <w:i/>
        </w:rPr>
        <w:t>spirulina</w:t>
      </w:r>
      <w:r w:rsidR="00861472" w:rsidRPr="00861472">
        <w:t xml:space="preserve"> has a growth-enhancing impact </w:t>
      </w:r>
      <w:r w:rsidR="0012737B">
        <w:fldChar w:fldCharType="begin" w:fldLock="1"/>
      </w:r>
      <w:r w:rsidR="00A0786F">
        <w:instrText>ADDIN CSL_CITATION {"citationItems":[{"id":"ITEM-1","itemData":{"ISSN":"0044-8486","author":[{"dropping-particle":"","family":"Abdel-Tawwab","given":"Mohsen","non-dropping-particle":"","parse-names":false,"suffix":""},{"dropping-particle":"","family":"Ahmad","given":"Mohammad H","non-dropping-particle":"","parse-names":false,"suffix":""},{"dropping-particle":"","family":"Khattab","given":"Yassir A E","non-dropping-particle":"","parse-names":false,"suffix":""},{"dropping-particle":"","family":"Shalaby","given":"Adel M E","non-dropping-particle":"","parse-names":false,"suffix":""}],"container-title":"Aquaculture","id":"ITEM-1","issue":"3-4","issued":{"date-parts":[["2010"]]},"page":"267-274","publisher":"Elsevier","title":"Effect of dietary protein level, initial body weight, and their interaction on the growth, feed utilization, and physiological alterations of Nile tilapia, Oreochromis niloticus (L.)","type":"article-journal","volume":"298"},"uris":["http://www.mendeley.com/documents/?uuid=1b7a2967-2755-47bf-9186-00caf6fb48a6"]}],"mendeley":{"formattedCitation":"[15]","plainTextFormattedCitation":"[15]","previouslyFormattedCitation":"[15]"},"properties":{"noteIndex":0},"schema":"https://github.com/citation-style-language/schema/raw/master/csl-citation.json"}</w:instrText>
      </w:r>
      <w:r w:rsidR="0012737B">
        <w:fldChar w:fldCharType="separate"/>
      </w:r>
      <w:r w:rsidR="00072E72" w:rsidRPr="00072E72">
        <w:rPr>
          <w:noProof/>
        </w:rPr>
        <w:t>[15]</w:t>
      </w:r>
      <w:r w:rsidR="0012737B">
        <w:fldChar w:fldCharType="end"/>
      </w:r>
      <w:r w:rsidR="00861472" w:rsidRPr="00861472">
        <w:t>. Conversely, lower phosphorus availability and decreased feed palatability may occur from high dietary inclusion levels of Spirulina on fish growth</w:t>
      </w:r>
      <w:r w:rsidR="00E42327">
        <w:t xml:space="preserve"> </w:t>
      </w:r>
      <w:r w:rsidR="0012737B">
        <w:fldChar w:fldCharType="begin" w:fldLock="1"/>
      </w:r>
      <w:r w:rsidR="00A0786F">
        <w:instrText>ADDIN CSL_CITATION {"citationItems":[{"id":"ITEM-1","itemData":{"ISSN":"0044-8486","author":[{"dropping-particle":"","family":"Hernández","given":"Crisantema","non-dropping-particle":"","parse-names":false,"suffix":""},{"dropping-particle":"","family":"Olvera-Novoa","given":"Miguel A","non-dropping-particle":"","parse-names":false,"suffix":""},{"dropping-particle":"","family":"Aguilar-Vejar","given":"Karla","non-dropping-particle":"","parse-names":false,"suffix":""},{"dropping-particle":"","family":"González-Rodríguez","given":"Blanca","non-dropping-particle":"","parse-names":false,"suffix":""},{"dropping-particle":"","family":"la Parra","given":"Isabel Abdo","non-dropping-particle":"de","parse-names":false,"suffix":""}],"container-title":"Aquaculture","id":"ITEM-1","issue":"3-4","issued":{"date-parts":[["2008"]]},"page":"244-250","publisher":"Elsevier","title":"Partial replacement of fish meal by porcine meat meal in practical diets for Pacific white shrimp (Litopenaeus vannamei)","type":"article-journal","volume":"277"},"uris":["http://www.mendeley.com/documents/?uuid=131897e1-0e0d-4bed-888e-a93c956f285d"]}],"mendeley":{"formattedCitation":"[13]","plainTextFormattedCitation":"[13]","previouslyFormattedCitation":"[13]"},"properties":{"noteIndex":0},"schema":"https://github.com/citation-style-language/schema/raw/master/csl-citation.json"}</w:instrText>
      </w:r>
      <w:r w:rsidR="0012737B">
        <w:fldChar w:fldCharType="separate"/>
      </w:r>
      <w:r w:rsidR="00072E72" w:rsidRPr="00072E72">
        <w:rPr>
          <w:noProof/>
        </w:rPr>
        <w:t>[13]</w:t>
      </w:r>
      <w:r w:rsidR="0012737B">
        <w:fldChar w:fldCharType="end"/>
      </w:r>
      <w:r w:rsidR="00861472" w:rsidRPr="00861472">
        <w:t xml:space="preserve"> . Different nutritional contents of the Spirulina species utilized in the studies are responsible for the </w:t>
      </w:r>
      <w:r w:rsidR="00861472" w:rsidRPr="00861472">
        <w:lastRenderedPageBreak/>
        <w:t>variances in Spirulina's effects on fish growth performance</w:t>
      </w:r>
      <w:r w:rsidR="00AC40A0">
        <w:t xml:space="preserve"> </w:t>
      </w:r>
      <w:r w:rsidR="0012737B">
        <w:fldChar w:fldCharType="begin" w:fldLock="1"/>
      </w:r>
      <w:r w:rsidR="00A0786F">
        <w:instrText>ADDIN CSL_CITATION {"citationItems":[{"id":"ITEM-1","itemData":{"author":[{"dropping-particle":"","family":"Nandeesha","given":"M C","non-dropping-particle":"","parse-names":false,"suffix":""},{"dropping-particle":"","family":"Sentilkumar","given":"V","non-dropping-particle":"","parse-names":false,"suffix":""},{"dropping-particle":"","family":"Antony Jesu Prabhu","given":"Philip","non-dropping-particle":"","parse-names":false,"suffix":""}],"container-title":"On-farm feeding and feed management in aquaculture. FAO Fisheries and Aquaculture Technical Paper","id":"ITEM-1","issued":{"date-parts":[["2013"]]},"page":"433-462","title":"Feed management of major carps in India, with special reference to practices adopted in Tamil Nadu","type":"article-journal","volume":"583"},"uris":["http://www.mendeley.com/documents/?uuid=fcda97cc-50fd-4b88-8a5c-41f1bea0fbe8"]}],"mendeley":{"formattedCitation":"[12]","plainTextFormattedCitation":"[12]","previouslyFormattedCitation":"[12]"},"properties":{"noteIndex":0},"schema":"https://github.com/citation-style-language/schema/raw/master/csl-citation.json"}</w:instrText>
      </w:r>
      <w:r w:rsidR="0012737B">
        <w:fldChar w:fldCharType="separate"/>
      </w:r>
      <w:r w:rsidR="00072E72" w:rsidRPr="00072E72">
        <w:rPr>
          <w:noProof/>
        </w:rPr>
        <w:t>[12]</w:t>
      </w:r>
      <w:r w:rsidR="0012737B">
        <w:fldChar w:fldCharType="end"/>
      </w:r>
      <w:r w:rsidR="00861472" w:rsidRPr="00861472">
        <w:t xml:space="preserve">. </w:t>
      </w:r>
      <w:r w:rsidR="00861472">
        <w:t xml:space="preserve">When compared to the use of fish meal (FM) as the only protein source, </w:t>
      </w:r>
      <w:r w:rsidR="0012737B">
        <w:fldChar w:fldCharType="begin" w:fldLock="1"/>
      </w:r>
      <w:r w:rsidR="00A0786F">
        <w:instrText>ADDIN CSL_CITATION {"citationItems":[{"id":"ITEM-1","itemData":{"author":[{"dropping-particle":"","family":"Nandeesha","given":"M C","non-dropping-particle":"","parse-names":false,"suffix":""}],"container-title":"Assessment of freshwater fish seed resources for sustainable aquaculture","id":"ITEM-1","issued":{"date-parts":[["2007"]]},"page":"581-602","title":"Asian experience on farmer’s innovation in freshwater fish seed production and nursing and the role of women","type":"article-journal"},"uris":["http://www.mendeley.com/documents/?uuid=bdf600c9-b898-4c10-ac31-4eb7ec19db98"]}],"mendeley":{"formattedCitation":"[16]","plainTextFormattedCitation":"[16]","previouslyFormattedCitation":"[16]"},"properties":{"noteIndex":0},"schema":"https://github.com/citation-style-language/schema/raw/master/csl-citation.json"}</w:instrText>
      </w:r>
      <w:r w:rsidR="0012737B">
        <w:fldChar w:fldCharType="separate"/>
      </w:r>
      <w:r w:rsidR="00072E72" w:rsidRPr="00072E72">
        <w:rPr>
          <w:noProof/>
        </w:rPr>
        <w:t>[16]</w:t>
      </w:r>
      <w:r w:rsidR="0012737B">
        <w:fldChar w:fldCharType="end"/>
      </w:r>
      <w:r w:rsidR="00861472">
        <w:t xml:space="preserve"> discovered that rohu carp (</w:t>
      </w:r>
      <w:r w:rsidR="00861472" w:rsidRPr="00D86EBB">
        <w:rPr>
          <w:i/>
        </w:rPr>
        <w:t>Labeorohita</w:t>
      </w:r>
      <w:r w:rsidR="00861472">
        <w:t xml:space="preserve">) could have significantly higher growth when their diets were entirely supplemented with </w:t>
      </w:r>
      <w:r w:rsidR="00861472" w:rsidRPr="00A11775">
        <w:rPr>
          <w:i/>
        </w:rPr>
        <w:t>Spirulina</w:t>
      </w:r>
      <w:r w:rsidR="00861472">
        <w:t xml:space="preserve">. However, the same </w:t>
      </w:r>
      <w:r w:rsidR="00861472" w:rsidRPr="00A11775">
        <w:rPr>
          <w:i/>
        </w:rPr>
        <w:t>Spirulina</w:t>
      </w:r>
      <w:r w:rsidR="00861472">
        <w:t xml:space="preserve"> supplemented diets had no discernible effect on the growth performance of catla (</w:t>
      </w:r>
      <w:r w:rsidR="00861472" w:rsidRPr="00D86EBB">
        <w:rPr>
          <w:i/>
        </w:rPr>
        <w:t>Catla</w:t>
      </w:r>
      <w:r w:rsidR="00E42327">
        <w:rPr>
          <w:i/>
        </w:rPr>
        <w:t xml:space="preserve"> </w:t>
      </w:r>
      <w:r w:rsidR="00861472" w:rsidRPr="00D86EBB">
        <w:rPr>
          <w:i/>
        </w:rPr>
        <w:t>catla</w:t>
      </w:r>
      <w:r w:rsidR="00861472">
        <w:t xml:space="preserve">). It is evident from the differences in the growth responses of </w:t>
      </w:r>
      <w:r w:rsidR="00861472" w:rsidRPr="00D86EBB">
        <w:rPr>
          <w:i/>
        </w:rPr>
        <w:t>L. rohita</w:t>
      </w:r>
      <w:r w:rsidR="00861472">
        <w:t xml:space="preserve"> and </w:t>
      </w:r>
      <w:r w:rsidR="00861472" w:rsidRPr="00D86EBB">
        <w:rPr>
          <w:i/>
        </w:rPr>
        <w:t>C. catla</w:t>
      </w:r>
      <w:r w:rsidR="00861472">
        <w:t xml:space="preserve"> to dietary </w:t>
      </w:r>
      <w:r w:rsidR="00861472" w:rsidRPr="00D86EBB">
        <w:rPr>
          <w:i/>
        </w:rPr>
        <w:t>spirulina</w:t>
      </w:r>
      <w:r w:rsidR="00861472">
        <w:t xml:space="preserve"> that fish growth responses to </w:t>
      </w:r>
      <w:r w:rsidR="00861472" w:rsidRPr="00A11775">
        <w:rPr>
          <w:i/>
        </w:rPr>
        <w:t>spirulina</w:t>
      </w:r>
      <w:r w:rsidR="00861472">
        <w:t xml:space="preserve"> are probably species specific.</w:t>
      </w:r>
    </w:p>
    <w:p w:rsidR="00861472" w:rsidRDefault="00861472" w:rsidP="005E3EAD">
      <w:pPr>
        <w:pStyle w:val="Default"/>
        <w:spacing w:line="360" w:lineRule="auto"/>
        <w:jc w:val="both"/>
      </w:pPr>
      <w:r>
        <w:t xml:space="preserve">The content of experimental diets including Spirulina is another important aspect that influences the outcomes of Spirulina treatment </w:t>
      </w:r>
      <w:r w:rsidR="0012737B">
        <w:fldChar w:fldCharType="begin" w:fldLock="1"/>
      </w:r>
      <w:r w:rsidR="00A0786F">
        <w:instrText>ADDIN CSL_CITATION {"citationItems":[{"id":"ITEM-1","itemData":{"ISSN":"0022-0981","author":[{"dropping-particle":"","family":"Takeuchi","given":"Seiji","non-dropping-particle":"","parse-names":false,"suffix":""},{"dropping-particle":"","family":"Takahara","given":"Yusuke","non-dropping-particle":"","parse-names":false,"suffix":""},{"dropping-particle":"","family":"Agata","given":"Yoshihiro","non-dropping-particle":"","parse-names":false,"suffix":""},{"dropping-particle":"","family":"Nasuda","given":"Juhn","non-dropping-particle":"","parse-names":false,"suffix":""},{"dropping-particle":"","family":"Yamada","given":"Fumihiko","non-dropping-particle":"","parse-names":false,"suffix":""},{"dropping-particle":"","family":"Tamaki","given":"Akio","non-dropping-particle":"","parse-names":false,"suffix":""}],"container-title":"Journal of Experimental Marine Biology and Ecology","id":"ITEM-1","issued":{"date-parts":[["2013"]]},"page":"308-320","publisher":"Elsevier","title":"Response of suspension-feeding clams to natural removal of bioturbating shrimp on a large estuarine intertidal sandflat in western Kyushu, Japan","type":"article-journal","volume":"448"},"uris":["http://www.mendeley.com/documents/?uuid=e62a38a9-7fc0-480c-9672-43a9e3e3177b"]}],"mendeley":{"formattedCitation":"[17]","plainTextFormattedCitation":"[17]","previouslyFormattedCitation":"[17]"},"properties":{"noteIndex":0},"schema":"https://github.com/citation-style-language/schema/raw/master/csl-citation.json"}</w:instrText>
      </w:r>
      <w:r w:rsidR="0012737B">
        <w:fldChar w:fldCharType="separate"/>
      </w:r>
      <w:r w:rsidR="00072E72" w:rsidRPr="00072E72">
        <w:rPr>
          <w:noProof/>
        </w:rPr>
        <w:t>[17]</w:t>
      </w:r>
      <w:r w:rsidR="0012737B">
        <w:fldChar w:fldCharType="end"/>
      </w:r>
      <w:r>
        <w:t xml:space="preserve">. </w:t>
      </w:r>
      <w:r w:rsidRPr="00861472">
        <w:t>According to</w:t>
      </w:r>
      <w:r w:rsidR="00421537">
        <w:t xml:space="preserve"> </w:t>
      </w:r>
      <w:r w:rsidR="00421537">
        <w:fldChar w:fldCharType="begin" w:fldLock="1"/>
      </w:r>
      <w:r w:rsidR="00421537">
        <w:instrText>ADDIN CSL_CITATION {"citationItems":[{"id":"ITEM-1","itemData":{"author":[{"dropping-particle":"","family":"James","given":"Raja","non-dropping-particle":"","parse-names":false,"suffix":""},{"dropping-particle":"","family":"Sampath","given":"Kunchitham","non-dropping-particle":"","parse-names":false,"suffix":""},{"dropping-particle":"","family":"Thangarathinam","given":"Ramasamy","non-dropping-particle":"","parse-names":false,"suffix":""},{"dropping-particle":"","family":"Vasudevan","given":"Iyyadurai","non-dropping-particle":"","parse-names":false,"suffix":""}],"container-title":"Israeli Journal of Aquaculture-Bamidgeh","id":"ITEM-1","issued":{"date-parts":[["2006"]]},"publisher":"AquacultureHub Inc","title":"Effect of dietary spirulina level on growth, fertility, coloration and leucocyte count in red swordtail, Xiphophorus helleri","type":"article-journal","volume":"58"},"uris":["http://www.mendeley.com/documents/?uuid=8a4e8039-1cc0-4ed5-bc90-5960292f3799"]}],"mendeley":{"formattedCitation":"[18]","plainTextFormattedCitation":"[18]","previouslyFormattedCitation":"[18]"},"properties":{"noteIndex":0},"schema":"https://github.com/citation-style-language/schema/raw/master/csl-citation.json"}</w:instrText>
      </w:r>
      <w:r w:rsidR="00421537">
        <w:fldChar w:fldCharType="separate"/>
      </w:r>
      <w:r w:rsidR="00421537" w:rsidRPr="00421537">
        <w:rPr>
          <w:noProof/>
        </w:rPr>
        <w:t>[18]</w:t>
      </w:r>
      <w:r w:rsidR="00421537">
        <w:fldChar w:fldCharType="end"/>
      </w:r>
      <w:r w:rsidRPr="00861472">
        <w:t xml:space="preserve"> </w:t>
      </w:r>
      <w:r w:rsidR="00AC40A0">
        <w:t xml:space="preserve"> </w:t>
      </w:r>
      <w:r w:rsidRPr="00D86EBB">
        <w:rPr>
          <w:i/>
        </w:rPr>
        <w:t>Xiphophorus helleri</w:t>
      </w:r>
      <w:r w:rsidRPr="00861472">
        <w:t xml:space="preserve"> exhibited a greater food consumption rate when fed</w:t>
      </w:r>
      <w:r w:rsidR="00421537">
        <w:t xml:space="preserve"> a diet with 8% Spirulina.</w:t>
      </w:r>
      <w:r w:rsidRPr="00861472">
        <w:t xml:space="preserve"> The feed intake of </w:t>
      </w:r>
      <w:r w:rsidRPr="00D86EBB">
        <w:rPr>
          <w:i/>
        </w:rPr>
        <w:t>Rhabdosargussarba</w:t>
      </w:r>
      <w:r w:rsidRPr="00861472">
        <w:t xml:space="preserve"> fingerlings fed 32% Spirulina meal was higher</w:t>
      </w:r>
      <w:r w:rsidR="00AC40A0">
        <w:t xml:space="preserve"> </w:t>
      </w:r>
      <w:r w:rsidR="0012737B">
        <w:fldChar w:fldCharType="begin" w:fldLock="1"/>
      </w:r>
      <w:r w:rsidR="00A0786F">
        <w:instrText>ADDIN CSL_CITATION {"citationItems":[{"id":"ITEM-1","itemData":{"ISSN":"0044-8486","author":[{"dropping-particle":"","family":"El-Sayed","given":"Abdel-Fattah M","non-dropping-particle":"","parse-names":false,"suffix":""}],"container-title":"Aquaculture","id":"ITEM-1","issue":"2-3","issued":{"date-parts":[["1994"]]},"page":"169-176","publisher":"Elsevier","title":"Evaluation of soybean meal, spirulina meal and chicken offal meal as protein sources for silver seabream (Rhabdosargus sarba) fingerlings","type":"article-journal","volume":"127"},"uris":["http://www.mendeley.com/documents/?uuid=06720768-91e9-4d61-bd0d-e82a314e519c"]}],"mendeley":{"formattedCitation":"[19]","plainTextFormattedCitation":"[19]","previouslyFormattedCitation":"[19]"},"properties":{"noteIndex":0},"schema":"https://github.com/citation-style-language/schema/raw/master/csl-citation.json"}</w:instrText>
      </w:r>
      <w:r w:rsidR="0012737B">
        <w:fldChar w:fldCharType="separate"/>
      </w:r>
      <w:r w:rsidR="00072E72" w:rsidRPr="00072E72">
        <w:rPr>
          <w:noProof/>
        </w:rPr>
        <w:t>[19]</w:t>
      </w:r>
      <w:r w:rsidR="0012737B">
        <w:fldChar w:fldCharType="end"/>
      </w:r>
      <w:r w:rsidRPr="00861472">
        <w:t xml:space="preserve">. The study supports the findings of </w:t>
      </w:r>
      <w:r w:rsidR="0012737B">
        <w:fldChar w:fldCharType="begin" w:fldLock="1"/>
      </w:r>
      <w:r w:rsidR="00A0786F">
        <w:instrText>ADDIN CSL_CITATION {"citationItems":[{"id":"ITEM-1","itemData":{"ISSN":"0371-4217","author":[{"dropping-particle":"","family":"NAKAGAWA","given":"Heisuke","non-dropping-particle":"","parse-names":false,"suffix":""},{"dropping-particle":"","family":"GÓMEZ-DÍAZ","given":"Gabriel","non-dropping-particle":"","parse-names":false,"suffix":""}],"container-title":"Aquaculture Science","id":"ITEM-1","issue":"4","issued":{"date-parts":[["1995"]]},"page":"521-526","publisher":"Japanese Society for Aquaculture Science","title":"Usefulness of Spirulina sp. meal as feed additive for giant freshwater prawn, Macrobrachium rosenbergii","type":"article-journal","volume":"43"},"uris":["http://www.mendeley.com/documents/?uuid=b8392742-083a-4f4c-9cbd-7112cecd48f5"]}],"mendeley":{"formattedCitation":"[20]","plainTextFormattedCitation":"[20]","previouslyFormattedCitation":"[20]"},"properties":{"noteIndex":0},"schema":"https://github.com/citation-style-language/schema/raw/master/csl-citation.json"}</w:instrText>
      </w:r>
      <w:r w:rsidR="0012737B">
        <w:fldChar w:fldCharType="separate"/>
      </w:r>
      <w:r w:rsidR="00072E72" w:rsidRPr="00072E72">
        <w:rPr>
          <w:noProof/>
        </w:rPr>
        <w:t>[20]</w:t>
      </w:r>
      <w:r w:rsidR="0012737B">
        <w:fldChar w:fldCharType="end"/>
      </w:r>
      <w:r w:rsidR="00AC40A0">
        <w:t xml:space="preserve"> </w:t>
      </w:r>
      <w:r w:rsidRPr="00861472">
        <w:t xml:space="preserve">who discovered that </w:t>
      </w:r>
      <w:r w:rsidRPr="00D86EBB">
        <w:rPr>
          <w:i/>
        </w:rPr>
        <w:t>Macrobrachium rosenbergii</w:t>
      </w:r>
      <w:r w:rsidRPr="00861472">
        <w:t xml:space="preserve"> growth and survival were enhanced by a diet supplemented with 5–20% </w:t>
      </w:r>
      <w:r w:rsidRPr="005E488B">
        <w:rPr>
          <w:i/>
        </w:rPr>
        <w:t>spirulina</w:t>
      </w:r>
      <w:r w:rsidRPr="00861472">
        <w:t xml:space="preserve"> meal. Fish development was found to be improved when 5%–10% FM protein was substituted with </w:t>
      </w:r>
      <w:r w:rsidRPr="005E488B">
        <w:rPr>
          <w:i/>
        </w:rPr>
        <w:t>spirulina</w:t>
      </w:r>
      <w:r w:rsidRPr="00861472">
        <w:t>; however, larger substitution levels were unable to produce any additional benefits. According to</w:t>
      </w:r>
      <w:r w:rsidR="00421537">
        <w:t xml:space="preserve"> </w:t>
      </w:r>
      <w:r w:rsidR="00421537">
        <w:fldChar w:fldCharType="begin" w:fldLock="1"/>
      </w:r>
      <w:r w:rsidR="00421537">
        <w:instrText>ADDIN CSL_CITATION {"citationItems":[{"id":"ITEM-1","itemData":{"ISSN":"2041-3890","author":[{"dropping-particle":"","family":"Tongsiri","given":"Sudaporn","non-dropping-particle":"","parse-names":false,"suffix":""},{"dropping-particle":"","family":"Mang-Amphan","given":"Kringsak","non-dropping-particle":"","parse-names":false,"suffix":""},{"dropping-particle":"","family":"Peerapornpisal","given":"Yuwadee","non-dropping-particle":"","parse-names":false,"suffix":""}],"container-title":"Asian Journal of Agricultural Sciences","id":"ITEM-1","issue":"3","issued":{"date-parts":[["2010"]]},"page":"106-110","publisher":"Maxwell Science Publishing","title":"Effect of replacing fishmeal with Spirulina on growth, carcass composition and pigment of the Mekong giant catfish","type":"article-journal","volume":"2"},"uris":["http://www.mendeley.com/documents/?uuid=1c3c9b72-b6ce-4905-9d7c-861074464972"]}],"mendeley":{"formattedCitation":"[21]","plainTextFormattedCitation":"[21]","previouslyFormattedCitation":"[21]"},"properties":{"noteIndex":0},"schema":"https://github.com/citation-style-language/schema/raw/master/csl-citation.json"}</w:instrText>
      </w:r>
      <w:r w:rsidR="00421537">
        <w:fldChar w:fldCharType="separate"/>
      </w:r>
      <w:r w:rsidR="00421537" w:rsidRPr="00421537">
        <w:rPr>
          <w:noProof/>
        </w:rPr>
        <w:t>[21]</w:t>
      </w:r>
      <w:r w:rsidR="00421537">
        <w:fldChar w:fldCharType="end"/>
      </w:r>
      <w:r w:rsidR="00421537">
        <w:t xml:space="preserve"> </w:t>
      </w:r>
      <w:r w:rsidRPr="00861472">
        <w:t xml:space="preserve"> </w:t>
      </w:r>
      <w:r w:rsidRPr="00D86EBB">
        <w:rPr>
          <w:i/>
        </w:rPr>
        <w:t>P. gigas</w:t>
      </w:r>
      <w:r w:rsidRPr="00861472">
        <w:t xml:space="preserve"> grew best when 5% FM was replaced with </w:t>
      </w:r>
      <w:r w:rsidRPr="005E488B">
        <w:rPr>
          <w:i/>
        </w:rPr>
        <w:t>spirulina</w:t>
      </w:r>
      <w:r w:rsidRPr="00861472">
        <w:t>; however, fish weight gain decreased with higher replacement percentages. According to</w:t>
      </w:r>
      <w:r w:rsidR="00421537">
        <w:t xml:space="preserve"> </w:t>
      </w:r>
      <w:r w:rsidR="00421537">
        <w:fldChar w:fldCharType="begin" w:fldLock="1"/>
      </w:r>
      <w:r w:rsidR="00421537">
        <w:instrText>ADDIN CSL_CITATION {"citationItems":[{"id":"ITEM-1","itemData":{"ISSN":"1355-557X","author":[{"dropping-particle":"","family":"Olvera‐Novoa","given":"M A","non-dropping-particle":"","parse-names":false,"suffix":""},{"dropping-particle":"","family":"Domínguez‐Cen","given":"L J","non-dropping-particle":"","parse-names":false,"suffix":""},{"dropping-particle":"","family":"Olivera‐Castillo","given":"L","non-dropping-particle":"","parse-names":false,"suffix":""},{"dropping-particle":"","family":"Martínez‐Palacios","given":"Carlos A","non-dropping-particle":"","parse-names":false,"suffix":""}],"container-title":"Aquaculture research","id":"ITEM-1","issue":"10","issued":{"date-parts":[["1998"]]},"page":"709-715","publisher":"Wiley Online Library","title":"Effect of the use of the microalga Spirulina maxima as fish meal replacement in diets for tilapia, Oreochromis mossambicus (Peters), fry","type":"article-journal","volume":"29"},"uris":["http://www.mendeley.com/documents/?uuid=451651f3-0647-4d57-ad09-bf6ac12320e0"]}],"mendeley":{"formattedCitation":"[22]","plainTextFormattedCitation":"[22]","previouslyFormattedCitation":"[22]"},"properties":{"noteIndex":0},"schema":"https://github.com/citation-style-language/schema/raw/master/csl-citation.json"}</w:instrText>
      </w:r>
      <w:r w:rsidR="00421537">
        <w:fldChar w:fldCharType="separate"/>
      </w:r>
      <w:r w:rsidR="00421537" w:rsidRPr="00421537">
        <w:rPr>
          <w:noProof/>
        </w:rPr>
        <w:t>[22]</w:t>
      </w:r>
      <w:r w:rsidR="00421537">
        <w:fldChar w:fldCharType="end"/>
      </w:r>
      <w:r w:rsidRPr="00861472">
        <w:t xml:space="preserve"> , </w:t>
      </w:r>
      <w:r w:rsidRPr="005E488B">
        <w:rPr>
          <w:i/>
        </w:rPr>
        <w:t>spirulina</w:t>
      </w:r>
      <w:r w:rsidRPr="00861472">
        <w:t xml:space="preserve"> can substitute up to 20% of FM protein in </w:t>
      </w:r>
      <w:r w:rsidRPr="00D86EBB">
        <w:rPr>
          <w:i/>
        </w:rPr>
        <w:t>O. mossambicus</w:t>
      </w:r>
      <w:r w:rsidRPr="00861472">
        <w:t xml:space="preserve"> diets; however, at higher replacement levels, there was a decrease in growth and feed utilization. Better growth was also noted by </w:t>
      </w:r>
      <w:r w:rsidR="0012737B">
        <w:fldChar w:fldCharType="begin" w:fldLock="1"/>
      </w:r>
      <w:r w:rsidR="00A0786F">
        <w:instrText>ADDIN CSL_CITATION {"citationItems":[{"id":"ITEM-1","itemData":{"ISSN":"0967-6120","author":[{"dropping-particle":"","family":"Güroy","given":"Betül","non-dropping-particle":"","parse-names":false,"suffix":""},{"dropping-particle":"","family":"Şahin","given":"İzzet","non-dropping-particle":"","parse-names":false,"suffix":""},{"dropping-particle":"","family":"Mantoğlu","given":"Serhan","non-dropping-particle":"","parse-names":false,"suffix":""},{"dropping-particle":"","family":"Kayalı","given":"Selin","non-dropping-particle":"","parse-names":false,"suffix":""}],"container-title":"Aquaculture International","id":"ITEM-1","issued":{"date-parts":[["2012"]]},"page":"869-878","publisher":"Springer","title":"Spirulina as a natural carotenoid source on growth, pigmentation and reproductive performance of yellow tail cichlid Pseudotropheus acei","type":"article-journal","volume":"20"},"uris":["http://www.mendeley.com/documents/?uuid=2e98a1d0-80d6-43ac-8ee2-48395e93124d"]}],"mendeley":{"formattedCitation":"[23]","plainTextFormattedCitation":"[23]","previouslyFormattedCitation":"[23]"},"properties":{"noteIndex":0},"schema":"https://github.com/citation-style-language/schema/raw/master/csl-citation.json"}</w:instrText>
      </w:r>
      <w:r w:rsidR="0012737B">
        <w:fldChar w:fldCharType="separate"/>
      </w:r>
      <w:r w:rsidR="00072E72" w:rsidRPr="00072E72">
        <w:rPr>
          <w:noProof/>
        </w:rPr>
        <w:t>[23]</w:t>
      </w:r>
      <w:r w:rsidR="0012737B">
        <w:fldChar w:fldCharType="end"/>
      </w:r>
      <w:r w:rsidR="009F7F88">
        <w:t xml:space="preserve"> </w:t>
      </w:r>
      <w:r w:rsidRPr="00861472">
        <w:t xml:space="preserve">in yellow tail cichlids, who reported weight increases of 12% to 17% after adding 2.5% and 10% </w:t>
      </w:r>
      <w:r w:rsidRPr="005E488B">
        <w:rPr>
          <w:i/>
        </w:rPr>
        <w:t>spirulina</w:t>
      </w:r>
      <w:r w:rsidRPr="00861472">
        <w:t>, respectively. In an even better situation,</w:t>
      </w:r>
      <w:r w:rsidR="00421537">
        <w:t xml:space="preserve"> </w:t>
      </w:r>
      <w:r w:rsidR="00421537">
        <w:fldChar w:fldCharType="begin" w:fldLock="1"/>
      </w:r>
      <w:r w:rsidR="00421537">
        <w:instrText>ADDIN CSL_CITATION {"citationItems":[{"id":"ITEM-1","itemData":{"ISSN":"1050-4648","author":[{"dropping-particle":"","family":"Adel","given":"Milad","non-dropping-particle":"","parse-names":false,"suffix":""},{"dropping-particle":"","family":"Yeganeh","given":"Sakineh","non-dropping-particle":"","parse-names":false,"suffix":""},{"dropping-particle":"","family":"Dadar","given":"Maryam","non-dropping-particle":"","parse-names":false,"suffix":""},{"dropping-particle":"","family":"Sakai","given":"Masahiro","non-dropping-particle":"","parse-names":false,"suffix":""},{"dropping-particle":"","family":"Dawood","given":"Mahmoud A O","non-dropping-particle":"","parse-names":false,"suffix":""}],"container-title":"Fish &amp; Shellfish Immunology","id":"ITEM-1","issued":{"date-parts":[["2016"]]},"page":"436-444","publisher":"Elsevier","title":"Effects of dietary Spirulina platensis on growth performance, humoral and mucosal immune responses and disease resistance in juvenile great sturgeon (Huso huso Linnaeus, 1754)","type":"article-journal","volume":"56"},"uris":["http://www.mendeley.com/documents/?uuid=85db3cb7-e0b1-4025-81ce-d2c26b4039d1"]}],"mendeley":{"formattedCitation":"[24]","plainTextFormattedCitation":"[24]","previouslyFormattedCitation":"[24]"},"properties":{"noteIndex":0},"schema":"https://github.com/citation-style-language/schema/raw/master/csl-citation.json"}</w:instrText>
      </w:r>
      <w:r w:rsidR="00421537">
        <w:fldChar w:fldCharType="separate"/>
      </w:r>
      <w:r w:rsidR="00421537" w:rsidRPr="00421537">
        <w:rPr>
          <w:noProof/>
        </w:rPr>
        <w:t>[24]</w:t>
      </w:r>
      <w:r w:rsidR="00421537">
        <w:fldChar w:fldCharType="end"/>
      </w:r>
      <w:r w:rsidRPr="00861472">
        <w:t xml:space="preserve">  found that sturgeon juveniles given 10% </w:t>
      </w:r>
      <w:r w:rsidRPr="005E488B">
        <w:rPr>
          <w:i/>
        </w:rPr>
        <w:t>spirulina</w:t>
      </w:r>
      <w:r w:rsidRPr="00861472">
        <w:t xml:space="preserve"> had a 21% improvement in FCR and a 57% growth increase.</w:t>
      </w:r>
      <w:r w:rsidR="00421537">
        <w:t xml:space="preserve"> </w:t>
      </w:r>
      <w:r w:rsidRPr="00861472">
        <w:t xml:space="preserve">Following the addition of 10% Spirulina to the diet, the red cherry shrimp demonstrated a dramatic improvement in growth from 70.8 mg to 114.6 mg, representing a gain of 63%; an improvement in the FCR of 15%; and an increase in survival from 25.7% on the control diet to 81.3% on the 10% Spirulina diet, according to another significant study by </w:t>
      </w:r>
      <w:r w:rsidR="0012737B">
        <w:fldChar w:fldCharType="begin" w:fldLock="1"/>
      </w:r>
      <w:r w:rsidR="00A0786F">
        <w:instrText>ADDIN CSL_CITATION {"citationItems":[{"id":"ITEM-1","itemData":{"ISSN":"0921-8971","author":[{"dropping-particle":"","family":"Namaei Kohal","given":"Maryam","non-dropping-particle":"","parse-names":false,"suffix":""},{"dropping-particle":"","family":"Esmaeili Fereidouni","given":"Abolghasem","non-dropping-particle":"","parse-names":false,"suffix":""},{"dropping-particle":"","family":"Firouzbakhsh","given":"Farid","non-dropping-particle":"","parse-names":false,"suffix":""},{"dropping-particle":"","family":"Hayati","given":"Iman","non-dropping-particle":"","parse-names":false,"suffix":""}],"container-title":"Journal of applied phycology","id":"ITEM-1","issued":{"date-parts":[["2018"]]},"page":"431-443","publisher":"Springer","title":"Effects of dietary incorporation of Arthrospira (Spirulina) platensis meal on growth, survival, body composition, and reproductive performance of red cherry shrimp Neocaridina davidi (Crustacea, Atyidae) over successive spawnings","type":"article-journal","volume":"30"},"uris":["http://www.mendeley.com/documents/?uuid=412f90c9-e70d-4aa0-a2e0-d0ae3241b567"]}],"mendeley":{"formattedCitation":"[25]","plainTextFormattedCitation":"[25]","previouslyFormattedCitation":"[25]"},"properties":{"noteIndex":0},"schema":"https://github.com/citation-style-language/schema/raw/master/csl-citation.json"}</w:instrText>
      </w:r>
      <w:r w:rsidR="0012737B">
        <w:fldChar w:fldCharType="separate"/>
      </w:r>
      <w:r w:rsidR="00072E72" w:rsidRPr="00072E72">
        <w:rPr>
          <w:noProof/>
        </w:rPr>
        <w:t>[25]</w:t>
      </w:r>
      <w:r w:rsidR="0012737B">
        <w:fldChar w:fldCharType="end"/>
      </w:r>
      <w:r w:rsidRPr="00861472">
        <w:t xml:space="preserve">. In juvenile </w:t>
      </w:r>
      <w:r w:rsidRPr="00D86EBB">
        <w:rPr>
          <w:i/>
        </w:rPr>
        <w:t>L. vannamei</w:t>
      </w:r>
      <w:r w:rsidRPr="00861472">
        <w:t xml:space="preserve">, a partial substitution of </w:t>
      </w:r>
      <w:r w:rsidRPr="005E488B">
        <w:rPr>
          <w:i/>
        </w:rPr>
        <w:t>S.</w:t>
      </w:r>
      <w:r w:rsidR="00421537">
        <w:rPr>
          <w:i/>
        </w:rPr>
        <w:t xml:space="preserve"> </w:t>
      </w:r>
      <w:r w:rsidRPr="005E488B">
        <w:rPr>
          <w:i/>
        </w:rPr>
        <w:t>platensis</w:t>
      </w:r>
      <w:r w:rsidRPr="00861472">
        <w:t xml:space="preserve"> for fish meal has demonstrated encouraging growth </w:t>
      </w:r>
      <w:r w:rsidR="0012737B">
        <w:fldChar w:fldCharType="begin" w:fldLock="1"/>
      </w:r>
      <w:r w:rsidR="00A0786F">
        <w:instrText>ADDIN CSL_CITATION {"citationItems":[{"id":"ITEM-1","itemData":{"ISSN":"1874-4508","author":[{"dropping-particle":"","family":"Hanel","given":"Reinhold","non-dropping-particle":"","parse-names":false,"suffix":""},{"dropping-particle":"","family":"Broekmann","given":"D","non-dropping-particle":"","parse-names":false,"suffix":""},{"dropping-particle":"","family":"Graaf","given":"S","non-dropping-particle":"De","parse-names":false,"suffix":""},{"dropping-particle":"","family":"Schnack","given":"Dietrich","non-dropping-particle":"","parse-names":false,"suffix":""}],"container-title":"The Open Marine Biology Journal","id":"ITEM-1","issued":{"date-parts":[["2007"]]},"page":"1-5","publisher":"Bentham Open","title":"Partial replacement of fishmeal by lyophylized powder of the microalgae Spirulina platensis in Pacific white shrimp diets","type":"article-journal","volume":"1"},"uris":["http://www.mendeley.com/documents/?uuid=67825482-75fd-4e65-97e6-ed2382a5fc0d"]}],"mendeley":{"formattedCitation":"[26]","plainTextFormattedCitation":"[26]","previouslyFormattedCitation":"[26]"},"properties":{"noteIndex":0},"schema":"https://github.com/citation-style-language/schema/raw/master/csl-citation.json"}</w:instrText>
      </w:r>
      <w:r w:rsidR="0012737B">
        <w:fldChar w:fldCharType="separate"/>
      </w:r>
      <w:r w:rsidR="00072E72" w:rsidRPr="00072E72">
        <w:rPr>
          <w:noProof/>
        </w:rPr>
        <w:t>[26]</w:t>
      </w:r>
      <w:r w:rsidR="0012737B">
        <w:fldChar w:fldCharType="end"/>
      </w:r>
      <w:r w:rsidRPr="00861472">
        <w:t>. According to</w:t>
      </w:r>
      <w:r w:rsidR="00421537">
        <w:t xml:space="preserve"> </w:t>
      </w:r>
      <w:r w:rsidR="00421537">
        <w:fldChar w:fldCharType="begin" w:fldLock="1"/>
      </w:r>
      <w:r w:rsidR="00EE27B2">
        <w:instrText>ADDIN CSL_CITATION {"citationItems":[{"id":"ITEM-1","itemData":{"ISSN":"1355-557X","author":[{"dropping-particle":"","family":"Silva‐Neto","given":"José Fernandes","non-dropping-particle":"","parse-names":false,"suffix":""},{"dropping-particle":"","family":"Nunes","given":"Alberto Jorge Pinto","non-dropping-particle":"","parse-names":false,"suffix":""},{"dropping-particle":"","family":"Sabry‐Neto","given":"Hassan","non-dropping-particle":"","parse-names":false,"suffix":""},{"dropping-particle":"","family":"Sá","given":"Marcelo Vinícius Carmo","non-dropping-particle":"","parse-names":false,"suffix":""}],"container-title":"Aquaculture Research","id":"ITEM-1","issue":"3","issued":{"date-parts":[["2012"]]},"page":"430-437","publisher":"Wiley Online Library","title":"Spirulina meal has acted as a strong feeding attractant for Litopenaeus vannamei at a very low dietary inclusion level","type":"article-journal","volume":"43"},"uris":["http://www.mendeley.com/documents/?uuid=7a2fee3f-ecf3-4151-aa83-b1be53072aee"]}],"mendeley":{"formattedCitation":"[11]","plainTextFormattedCitation":"[11]","previouslyFormattedCitation":"[11]"},"properties":{"noteIndex":0},"schema":"https://github.com/citation-style-language/schema/raw/master/csl-citation.json"}</w:instrText>
      </w:r>
      <w:r w:rsidR="00421537">
        <w:fldChar w:fldCharType="separate"/>
      </w:r>
      <w:r w:rsidR="00421537" w:rsidRPr="00421537">
        <w:rPr>
          <w:noProof/>
        </w:rPr>
        <w:t>[11]</w:t>
      </w:r>
      <w:r w:rsidR="00421537">
        <w:fldChar w:fldCharType="end"/>
      </w:r>
      <w:r w:rsidR="009F7F88">
        <w:t xml:space="preserve"> </w:t>
      </w:r>
      <w:r w:rsidRPr="00861472">
        <w:t xml:space="preserve">, </w:t>
      </w:r>
      <w:r w:rsidR="00D55BAB">
        <w:t>“</w:t>
      </w:r>
      <w:r w:rsidRPr="00861472">
        <w:t xml:space="preserve">shrimp </w:t>
      </w:r>
      <w:r w:rsidRPr="005E488B">
        <w:rPr>
          <w:i/>
        </w:rPr>
        <w:t>L</w:t>
      </w:r>
      <w:r w:rsidRPr="00861472">
        <w:t xml:space="preserve">. </w:t>
      </w:r>
      <w:r w:rsidRPr="005E488B">
        <w:rPr>
          <w:i/>
        </w:rPr>
        <w:t>vannamei</w:t>
      </w:r>
      <w:r w:rsidRPr="00861472">
        <w:t xml:space="preserve"> growth was unaffected by a dietary inclusion of </w:t>
      </w:r>
      <w:r w:rsidRPr="005E488B">
        <w:rPr>
          <w:i/>
        </w:rPr>
        <w:t>spirulina</w:t>
      </w:r>
      <w:r w:rsidRPr="00861472">
        <w:t xml:space="preserve"> meal at a level of approximately 25%, while feed consumption was unaffected by up to 50% replacement.</w:t>
      </w:r>
      <w:r w:rsidR="00EE27B2">
        <w:t xml:space="preserve"> Adding Spirulina to fish diets shrimp grow better, stay healthier and farmer saves on feed costs </w:t>
      </w:r>
      <w:r w:rsidRPr="00861472">
        <w:t>. Up to</w:t>
      </w:r>
      <w:r w:rsidR="00EE27B2">
        <w:t xml:space="preserve"> 20% </w:t>
      </w:r>
      <w:r w:rsidRPr="00861472">
        <w:t xml:space="preserve"> of the fishmeal in the diet was substituted by Spirulina sp. in the current investigation without affecting growth or survival. In comparison to controls produced without microalgae,</w:t>
      </w:r>
      <w:r w:rsidR="00D55BAB">
        <w:t>”</w:t>
      </w:r>
      <w:r w:rsidRPr="00861472">
        <w:t xml:space="preserve"> </w:t>
      </w:r>
      <w:r w:rsidR="0012737B">
        <w:fldChar w:fldCharType="begin" w:fldLock="1"/>
      </w:r>
      <w:r w:rsidR="00EE27B2">
        <w:instrText>ADDIN CSL_CITATION {"citationItems":[{"id":"ITEM-1","itemData":{"ISSN":"0967-6120","author":[{"dropping-particle":"","family":"Dinesh Kumar","given":"S","non-dropping-particle":"","parse-names":false,"suffix":""},{"dropping-particle":"","family":"Santhanam","given":"P","non-dropping-particle":"","parse-names":false,"suffix":""},{"dropping-particle":"","family":"Ananth","given":"S","non-dropping-particle":"","parse-names":false,"suffix":""},{"dropping-particle":"","family":"Kaviyarasan","given":"M","non-dropping-particle":"","parse-names":false,"suffix":""},{"dropping-particle":"","family":"Nithya","given":"P","non-dropping-particle":"","parse-names":false,"suffix":""},{"dropping-particle":"","family":"Dhanalakshmi","given":"B","non-dropping-particle":"","parse-names":false,"suffix":""},{"dropping-particle":"","family":"Park","given":"Min S","non-dropping-particle":"","parse-names":false,"suffix":""},{"dropping-particle":"","family":"Kim","given":"Mi-Kyung","non-dropping-particle":"","parse-names":false,"suffix":""}],"container-title":"Aquaculture International","id":"ITEM-1","issued":{"date-parts":[["2017"]]},"page":"393-411","publisher":"Springer","title":"Evaluation of suitability of wastewater-grown microalgae (Picochlorum maculatum) and copepod (Oithona rigida) as live feed for white leg shrimp Litopenaeus vannamei post-larvae","type":"article-journal","volume":"25"},"uris":["http://www.mendeley.com/documents/?uuid=9d599740-60b9-4a7d-b8fc-bea78b34a21b"]}],"mendeley":{"formattedCitation":"[27]","manualFormatting":"[27 ]","plainTextFormattedCitation":"[27]","previouslyFormattedCitation":"[27]"},"properties":{"noteIndex":0},"schema":"https://github.com/citation-style-language/schema/raw/master/csl-citation.json"}</w:instrText>
      </w:r>
      <w:r w:rsidR="0012737B">
        <w:fldChar w:fldCharType="separate"/>
      </w:r>
      <w:r w:rsidR="00072E72" w:rsidRPr="00072E72">
        <w:rPr>
          <w:noProof/>
        </w:rPr>
        <w:t>[27</w:t>
      </w:r>
      <w:r w:rsidR="00EE27B2">
        <w:rPr>
          <w:noProof/>
        </w:rPr>
        <w:t xml:space="preserve"> </w:t>
      </w:r>
      <w:r w:rsidR="0012737B">
        <w:fldChar w:fldCharType="end"/>
      </w:r>
      <w:r w:rsidR="00D55BAB">
        <w:t>-</w:t>
      </w:r>
      <w:r w:rsidR="00EE27B2">
        <w:fldChar w:fldCharType="begin" w:fldLock="1"/>
      </w:r>
      <w:r w:rsidR="00EE27B2">
        <w:instrText>ADDIN CSL_CITATION {"citationItems":[{"id":"ITEM-1","itemData":{"ISSN":"1353-5773","author":[{"dropping-particle":"","family":"Kiron","given":"V","non-dropping-particle":"","parse-names":false,"suffix":""},{"dropping-particle":"","family":"Phromkunthong","given":"W","non-dropping-particle":"","parse-names":false,"suffix":""},{"dropping-particle":"","family":"Huntley","given":"M","non-dropping-particle":"","parse-names":false,"suffix":""},{"dropping-particle":"","family":"Archibald","given":"Ian","non-dropping-particle":"","parse-names":false,"suffix":""},{"dropping-particle":"","family":"Scheemaker","given":"G","non-dropping-particle":"De","parse-names":false,"suffix":""}],"container-title":"Aquaculture Nutrition","id":"ITEM-1","issue":"5","issued":{"date-parts":[["2012"]]},"page":"521-531","publisher":"Wiley Online Library","title":"Marine microalgae from biorefinery as a potential feed protein source for Atlantic salmon, common carp and whiteleg shrimp","type":"article-journal","volume":"18"},"uris":["http://www.mendeley.com/documents/?uuid=f48392b7-fcc0-4dea-9846-86d695749601"]}],"mendeley":{"formattedCitation":"[28]","manualFormatting":"[ 28]","plainTextFormattedCitation":"[28]"},"properties":{"noteIndex":0},"schema":"https://github.com/citation-style-language/schema/raw/master/csl-citation.json"}</w:instrText>
      </w:r>
      <w:r w:rsidR="00EE27B2">
        <w:fldChar w:fldCharType="separate"/>
      </w:r>
      <w:r w:rsidR="00EE27B2">
        <w:rPr>
          <w:noProof/>
        </w:rPr>
        <w:t xml:space="preserve"> </w:t>
      </w:r>
      <w:r w:rsidR="00EE27B2" w:rsidRPr="00EE27B2">
        <w:rPr>
          <w:noProof/>
        </w:rPr>
        <w:t>2</w:t>
      </w:r>
      <w:r w:rsidR="00D55BAB">
        <w:rPr>
          <w:noProof/>
        </w:rPr>
        <w:t>9</w:t>
      </w:r>
      <w:r w:rsidR="00EE27B2" w:rsidRPr="00EE27B2">
        <w:rPr>
          <w:noProof/>
        </w:rPr>
        <w:t>]</w:t>
      </w:r>
      <w:r w:rsidR="00EE27B2">
        <w:fldChar w:fldCharType="end"/>
      </w:r>
      <w:r w:rsidR="00946B43">
        <w:t xml:space="preserve"> </w:t>
      </w:r>
      <w:r w:rsidRPr="00861472">
        <w:t xml:space="preserve"> discovered that </w:t>
      </w:r>
      <w:r w:rsidRPr="00946B43">
        <w:rPr>
          <w:i/>
        </w:rPr>
        <w:t>L</w:t>
      </w:r>
      <w:r w:rsidRPr="00861472">
        <w:t xml:space="preserve">. </w:t>
      </w:r>
      <w:r w:rsidRPr="00946B43">
        <w:rPr>
          <w:i/>
        </w:rPr>
        <w:lastRenderedPageBreak/>
        <w:t>vannamei</w:t>
      </w:r>
      <w:r w:rsidRPr="00861472">
        <w:t xml:space="preserve"> fed two unique isolates of </w:t>
      </w:r>
      <w:r w:rsidRPr="00946B43">
        <w:rPr>
          <w:i/>
        </w:rPr>
        <w:t>Nanofrustulum</w:t>
      </w:r>
      <w:r w:rsidRPr="00861472">
        <w:t xml:space="preserve"> and </w:t>
      </w:r>
      <w:r w:rsidRPr="00946B43">
        <w:rPr>
          <w:i/>
        </w:rPr>
        <w:t>Tetraselmis</w:t>
      </w:r>
      <w:r w:rsidRPr="00861472">
        <w:t xml:space="preserve"> that replaced 40% of the fishmeal showed comparable growth performance.</w:t>
      </w:r>
    </w:p>
    <w:p w:rsidR="001F6E80" w:rsidRPr="001F6E80" w:rsidRDefault="00EE27B2" w:rsidP="005E3EAD">
      <w:pPr>
        <w:pStyle w:val="Default"/>
        <w:spacing w:line="360" w:lineRule="auto"/>
        <w:jc w:val="both"/>
        <w:rPr>
          <w:b/>
        </w:rPr>
      </w:pPr>
      <w:r>
        <w:rPr>
          <w:b/>
        </w:rPr>
        <w:t xml:space="preserve">CONCLUSION </w:t>
      </w:r>
    </w:p>
    <w:p w:rsidR="00666207" w:rsidRDefault="00666207" w:rsidP="009A01DE">
      <w:pPr>
        <w:pStyle w:val="Default"/>
        <w:spacing w:line="360" w:lineRule="auto"/>
        <w:jc w:val="both"/>
      </w:pPr>
      <w:r w:rsidRPr="00666207">
        <w:t xml:space="preserve">The current study showed that feeding </w:t>
      </w:r>
      <w:r w:rsidRPr="00264F8B">
        <w:rPr>
          <w:i/>
        </w:rPr>
        <w:t>Litopenaeus vannamei</w:t>
      </w:r>
      <w:r w:rsidRPr="00666207">
        <w:t xml:space="preserve"> larvae marine cyanobacteria </w:t>
      </w:r>
      <w:r w:rsidRPr="00264F8B">
        <w:rPr>
          <w:i/>
        </w:rPr>
        <w:t>Spirulina</w:t>
      </w:r>
      <w:r w:rsidRPr="00666207">
        <w:t xml:space="preserve"> sp. BDUT005 in place of some of their fish meal greatly enhanced their growth performance and feed utilization. The findings of the 10% Spirulina substitution test were the best, suggesting that it could be a viable and efficient substitute protein source for shrimp aquaculture. The utilization of </w:t>
      </w:r>
      <w:r w:rsidRPr="00264F8B">
        <w:rPr>
          <w:i/>
        </w:rPr>
        <w:t>Spirulina</w:t>
      </w:r>
      <w:r w:rsidRPr="00666207">
        <w:t xml:space="preserve"> sp. BDUT005 as a functional feed supplement to increase production efficiency and lessen dependency on conventional fish meal is supported by our findings.</w:t>
      </w:r>
      <w:r>
        <w:t xml:space="preserve"> </w:t>
      </w:r>
    </w:p>
    <w:p w:rsidR="005223A3" w:rsidRPr="005223A3" w:rsidRDefault="005223A3" w:rsidP="005223A3">
      <w:pPr>
        <w:rPr>
          <w:rFonts w:ascii="Calibri" w:eastAsia="Calibri" w:hAnsi="Calibri" w:cs="Times New Roman"/>
          <w:kern w:val="2"/>
        </w:rPr>
      </w:pPr>
      <w:r w:rsidRPr="005223A3">
        <w:rPr>
          <w:rFonts w:ascii="Calibri" w:eastAsia="Calibri" w:hAnsi="Calibri" w:cs="Times New Roman"/>
          <w:kern w:val="2"/>
        </w:rPr>
        <w:t>Disclaimer (Artificial intelligence)</w:t>
      </w:r>
    </w:p>
    <w:p w:rsidR="005223A3" w:rsidRPr="005223A3" w:rsidRDefault="005223A3" w:rsidP="005223A3">
      <w:pPr>
        <w:rPr>
          <w:rFonts w:ascii="Calibri" w:eastAsia="Calibri" w:hAnsi="Calibri" w:cs="Times New Roman"/>
          <w:kern w:val="2"/>
        </w:rPr>
      </w:pPr>
      <w:r w:rsidRPr="005223A3">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223A3" w:rsidRPr="005223A3" w:rsidRDefault="005223A3" w:rsidP="005223A3">
      <w:pPr>
        <w:rPr>
          <w:rFonts w:ascii="Calibri" w:eastAsia="Calibri" w:hAnsi="Calibri" w:cs="Times New Roman"/>
          <w:kern w:val="2"/>
        </w:rPr>
      </w:pPr>
      <w:r w:rsidRPr="005223A3">
        <w:rPr>
          <w:rFonts w:ascii="Calibri" w:eastAsia="Calibri" w:hAnsi="Calibri" w:cs="Times New Roman"/>
          <w:kern w:val="2"/>
        </w:rPr>
        <w:t>Details of the AI usage are given below:</w:t>
      </w:r>
    </w:p>
    <w:p w:rsidR="009A01DE" w:rsidRPr="009A01DE" w:rsidRDefault="009A01DE" w:rsidP="009A01DE">
      <w:pPr>
        <w:pStyle w:val="Default"/>
        <w:spacing w:line="360" w:lineRule="auto"/>
        <w:jc w:val="both"/>
        <w:rPr>
          <w:b/>
        </w:rPr>
      </w:pPr>
    </w:p>
    <w:p w:rsidR="009A01DE" w:rsidRDefault="009A01DE" w:rsidP="009A01DE">
      <w:pPr>
        <w:pStyle w:val="Default"/>
        <w:spacing w:line="360" w:lineRule="auto"/>
        <w:jc w:val="both"/>
      </w:pPr>
      <w:r>
        <w:t>During the preparation of this work, the authors used Grammarly to make the sentences readable,</w:t>
      </w:r>
    </w:p>
    <w:p w:rsidR="009A01DE" w:rsidRDefault="009A01DE" w:rsidP="009A01DE">
      <w:pPr>
        <w:pStyle w:val="Default"/>
        <w:spacing w:line="360" w:lineRule="auto"/>
        <w:jc w:val="both"/>
      </w:pPr>
      <w:r>
        <w:t>with better grammar and language after using this tools/ service, the authors reviewed and edited</w:t>
      </w:r>
    </w:p>
    <w:p w:rsidR="009A01DE" w:rsidRDefault="009A01DE" w:rsidP="009A01DE">
      <w:pPr>
        <w:pStyle w:val="Default"/>
        <w:spacing w:line="360" w:lineRule="auto"/>
        <w:jc w:val="both"/>
      </w:pPr>
      <w:r>
        <w:t>the content as needed and takes full responsibility with the content of the published article.</w:t>
      </w:r>
    </w:p>
    <w:p w:rsidR="009A01DE" w:rsidRDefault="009A01DE" w:rsidP="009A01DE">
      <w:pPr>
        <w:pStyle w:val="Default"/>
        <w:spacing w:line="360" w:lineRule="auto"/>
        <w:jc w:val="both"/>
      </w:pPr>
    </w:p>
    <w:p w:rsidR="009A01DE" w:rsidRPr="009A01DE" w:rsidRDefault="009A01DE" w:rsidP="009A01DE">
      <w:pPr>
        <w:pStyle w:val="Default"/>
        <w:spacing w:line="360" w:lineRule="auto"/>
        <w:jc w:val="both"/>
        <w:rPr>
          <w:b/>
        </w:rPr>
      </w:pPr>
      <w:r w:rsidRPr="009A01DE">
        <w:rPr>
          <w:b/>
        </w:rPr>
        <w:t>Ethical Approval</w:t>
      </w:r>
    </w:p>
    <w:p w:rsidR="009A01DE" w:rsidRPr="00541F18" w:rsidRDefault="00541F18" w:rsidP="009A01DE">
      <w:pPr>
        <w:pStyle w:val="Default"/>
        <w:spacing w:line="360" w:lineRule="auto"/>
        <w:jc w:val="both"/>
        <w:rPr>
          <w:color w:val="auto"/>
        </w:rPr>
      </w:pPr>
      <w:r w:rsidRPr="00541F18">
        <w:rPr>
          <w:color w:val="auto"/>
        </w:rPr>
        <w:t>The animal ethical clearance was obtained for the conduction of experiments from institutional animal ethical committee, Bharathidasan University.</w:t>
      </w:r>
    </w:p>
    <w:p w:rsidR="008639B7" w:rsidRPr="00541F18" w:rsidRDefault="008639B7" w:rsidP="009A01DE">
      <w:pPr>
        <w:pStyle w:val="Default"/>
        <w:spacing w:line="360" w:lineRule="auto"/>
        <w:jc w:val="both"/>
        <w:rPr>
          <w:b/>
          <w:color w:val="auto"/>
        </w:rPr>
      </w:pPr>
    </w:p>
    <w:p w:rsidR="009A01DE" w:rsidRDefault="00666207" w:rsidP="009A01DE">
      <w:pPr>
        <w:pStyle w:val="Default"/>
        <w:spacing w:line="360" w:lineRule="auto"/>
        <w:jc w:val="both"/>
      </w:pPr>
      <w:r>
        <w:rPr>
          <w:b/>
        </w:rPr>
        <w:t xml:space="preserve">REFERENCES </w:t>
      </w:r>
    </w:p>
    <w:p w:rsidR="00E42327" w:rsidRPr="00EE27B2" w:rsidRDefault="00E42327" w:rsidP="00264F8B">
      <w:pPr>
        <w:widowControl w:val="0"/>
        <w:autoSpaceDE w:val="0"/>
        <w:autoSpaceDN w:val="0"/>
        <w:adjustRightInd w:val="0"/>
        <w:spacing w:after="0" w:line="240" w:lineRule="auto"/>
        <w:jc w:val="both"/>
        <w:rPr>
          <w:rFonts w:ascii="Times New Roman" w:hAnsi="Times New Roman" w:cs="Times New Roman"/>
          <w:i/>
          <w:iCs/>
          <w:noProof/>
          <w:sz w:val="24"/>
          <w:szCs w:val="24"/>
        </w:rPr>
      </w:pPr>
    </w:p>
    <w:p w:rsidR="00EE27B2" w:rsidRPr="00264F8B" w:rsidRDefault="0012737B" w:rsidP="00EE27B2">
      <w:pPr>
        <w:widowControl w:val="0"/>
        <w:autoSpaceDE w:val="0"/>
        <w:autoSpaceDN w:val="0"/>
        <w:adjustRightInd w:val="0"/>
        <w:spacing w:after="0" w:line="240" w:lineRule="auto"/>
        <w:ind w:left="640" w:hanging="640"/>
        <w:rPr>
          <w:rFonts w:ascii="Times New Roman" w:hAnsi="Times New Roman" w:cs="Times New Roman"/>
          <w:i/>
          <w:iCs/>
          <w:noProof/>
          <w:sz w:val="24"/>
          <w:szCs w:val="24"/>
        </w:rPr>
      </w:pPr>
      <w:r>
        <w:rPr>
          <w:rFonts w:ascii="Times New Roman" w:hAnsi="Times New Roman" w:cs="Times New Roman"/>
          <w:i/>
          <w:iCs/>
          <w:noProof/>
          <w:sz w:val="24"/>
          <w:szCs w:val="24"/>
        </w:rPr>
        <w:fldChar w:fldCharType="begin" w:fldLock="1"/>
      </w:r>
      <w:r w:rsidR="006254CE" w:rsidRPr="00EE27B2">
        <w:rPr>
          <w:rFonts w:ascii="Times New Roman" w:hAnsi="Times New Roman" w:cs="Times New Roman"/>
          <w:i/>
          <w:iCs/>
          <w:noProof/>
          <w:sz w:val="24"/>
          <w:szCs w:val="24"/>
        </w:rPr>
        <w:instrText>ADDIN Mendeley Bibliography CSL_BIBLIOGR</w:instrText>
      </w:r>
      <w:r w:rsidR="006254CE" w:rsidRPr="00264F8B">
        <w:rPr>
          <w:rFonts w:ascii="Times New Roman" w:hAnsi="Times New Roman" w:cs="Times New Roman"/>
          <w:noProof/>
          <w:sz w:val="24"/>
          <w:szCs w:val="24"/>
        </w:rPr>
        <w:instrText>AP</w:instrText>
      </w:r>
      <w:r w:rsidR="006254CE" w:rsidRPr="00EE27B2">
        <w:rPr>
          <w:rFonts w:ascii="Times New Roman" w:hAnsi="Times New Roman" w:cs="Times New Roman"/>
          <w:i/>
          <w:iCs/>
          <w:noProof/>
          <w:sz w:val="24"/>
          <w:szCs w:val="24"/>
        </w:rPr>
        <w:instrText xml:space="preserve">HY </w:instrText>
      </w:r>
      <w:r>
        <w:rPr>
          <w:rFonts w:ascii="Times New Roman" w:hAnsi="Times New Roman" w:cs="Times New Roman"/>
          <w:noProof/>
          <w:sz w:val="24"/>
          <w:szCs w:val="24"/>
        </w:rPr>
        <w:fldChar w:fldCharType="separate"/>
      </w:r>
      <w:r w:rsidR="00EE27B2" w:rsidRPr="00EE27B2">
        <w:rPr>
          <w:rFonts w:ascii="Times New Roman" w:hAnsi="Times New Roman" w:cs="Times New Roman"/>
          <w:noProof/>
          <w:sz w:val="24"/>
          <w:szCs w:val="24"/>
        </w:rPr>
        <w:t>[1]</w:t>
      </w:r>
      <w:r w:rsidR="00EE27B2" w:rsidRPr="00EE27B2">
        <w:rPr>
          <w:rFonts w:ascii="Times New Roman" w:hAnsi="Times New Roman" w:cs="Times New Roman"/>
          <w:noProof/>
          <w:sz w:val="24"/>
          <w:szCs w:val="24"/>
        </w:rPr>
        <w:tab/>
      </w:r>
      <w:r w:rsidR="00EE27B2" w:rsidRPr="00264F8B">
        <w:rPr>
          <w:rFonts w:ascii="Times New Roman" w:hAnsi="Times New Roman" w:cs="Times New Roman"/>
          <w:i/>
          <w:iCs/>
          <w:noProof/>
          <w:sz w:val="24"/>
          <w:szCs w:val="24"/>
        </w:rPr>
        <w:t>Z. Huang, X. Li, L. Wang, and Z. Shao, “Changes in t</w:t>
      </w:r>
      <w:r w:rsidR="00EE27B2" w:rsidRPr="00EE27B2">
        <w:rPr>
          <w:rFonts w:ascii="Times New Roman" w:hAnsi="Times New Roman" w:cs="Times New Roman"/>
          <w:noProof/>
          <w:sz w:val="24"/>
          <w:szCs w:val="24"/>
        </w:rPr>
        <w:t>he</w:t>
      </w:r>
      <w:r w:rsidR="00EE27B2" w:rsidRPr="00264F8B">
        <w:rPr>
          <w:rFonts w:ascii="Times New Roman" w:hAnsi="Times New Roman" w:cs="Times New Roman"/>
          <w:i/>
          <w:iCs/>
          <w:noProof/>
          <w:sz w:val="24"/>
          <w:szCs w:val="24"/>
        </w:rPr>
        <w:t xml:space="preserve"> </w:t>
      </w:r>
      <w:r w:rsidR="00EE27B2" w:rsidRPr="00EE27B2">
        <w:rPr>
          <w:rFonts w:ascii="Times New Roman" w:hAnsi="Times New Roman" w:cs="Times New Roman"/>
          <w:noProof/>
          <w:sz w:val="24"/>
          <w:szCs w:val="24"/>
        </w:rPr>
        <w:t xml:space="preserve">intestinal bacterial community during the growth of white shrimp, </w:t>
      </w:r>
      <w:r w:rsidR="00EE27B2" w:rsidRPr="00264F8B">
        <w:rPr>
          <w:rFonts w:ascii="Times New Roman" w:hAnsi="Times New Roman" w:cs="Times New Roman"/>
          <w:i/>
          <w:noProof/>
          <w:sz w:val="24"/>
          <w:szCs w:val="24"/>
        </w:rPr>
        <w:t>L itop</w:t>
      </w:r>
      <w:r w:rsidR="00EE27B2" w:rsidRPr="00264F8B">
        <w:rPr>
          <w:rFonts w:ascii="Times New Roman" w:hAnsi="Times New Roman" w:cs="Times New Roman"/>
          <w:i/>
          <w:iCs/>
          <w:noProof/>
          <w:sz w:val="24"/>
          <w:szCs w:val="24"/>
        </w:rPr>
        <w:t xml:space="preserve">enaeus vannamei,” </w:t>
      </w:r>
      <w:r w:rsidR="00EE27B2" w:rsidRPr="00EE27B2">
        <w:rPr>
          <w:rFonts w:ascii="Times New Roman" w:hAnsi="Times New Roman" w:cs="Times New Roman"/>
          <w:i/>
          <w:iCs/>
          <w:noProof/>
          <w:sz w:val="24"/>
          <w:szCs w:val="24"/>
        </w:rPr>
        <w:t>Aquaculture Research</w:t>
      </w:r>
      <w:r w:rsidR="00EE27B2" w:rsidRPr="00264F8B">
        <w:rPr>
          <w:rFonts w:ascii="Times New Roman" w:hAnsi="Times New Roman" w:cs="Times New Roman"/>
          <w:i/>
          <w:iCs/>
          <w:noProof/>
          <w:sz w:val="24"/>
          <w:szCs w:val="24"/>
        </w:rPr>
        <w:t>, vol. 47, no. 6, pp. 1737–1746, 2016.</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[2</w:t>
      </w:r>
      <w:r w:rsidRPr="00264F8B">
        <w:rPr>
          <w:rFonts w:ascii="Times New Roman" w:hAnsi="Times New Roman" w:cs="Times New Roman"/>
          <w:i/>
          <w:iCs/>
          <w:noProof/>
          <w:sz w:val="24"/>
          <w:szCs w:val="24"/>
        </w:rPr>
        <w:t>]</w:t>
      </w:r>
      <w:r w:rsidRPr="00264F8B">
        <w:rPr>
          <w:rFonts w:ascii="Times New Roman" w:hAnsi="Times New Roman" w:cs="Times New Roman"/>
          <w:i/>
          <w:iCs/>
          <w:noProof/>
          <w:sz w:val="24"/>
          <w:szCs w:val="24"/>
        </w:rPr>
        <w:tab/>
      </w:r>
      <w:r w:rsidRPr="00EE27B2">
        <w:rPr>
          <w:rFonts w:ascii="Times New Roman" w:hAnsi="Times New Roman" w:cs="Times New Roman"/>
          <w:noProof/>
          <w:sz w:val="24"/>
          <w:szCs w:val="24"/>
        </w:rPr>
        <w:t xml:space="preserve">R. L. Naylor </w:t>
      </w:r>
      <w:r w:rsidRPr="00EE27B2">
        <w:rPr>
          <w:rFonts w:ascii="Times New Roman" w:hAnsi="Times New Roman" w:cs="Times New Roman"/>
          <w:i/>
          <w:iCs/>
          <w:noProof/>
          <w:sz w:val="24"/>
          <w:szCs w:val="24"/>
        </w:rPr>
        <w:t>et al.</w:t>
      </w:r>
      <w:r w:rsidRPr="00264F8B">
        <w:rPr>
          <w:rFonts w:ascii="Times New Roman" w:hAnsi="Times New Roman" w:cs="Times New Roman"/>
          <w:i/>
          <w:iCs/>
          <w:noProof/>
          <w:sz w:val="24"/>
          <w:szCs w:val="24"/>
        </w:rPr>
        <w:t>, “</w:t>
      </w:r>
      <w:r w:rsidRPr="00666207">
        <w:rPr>
          <w:rFonts w:ascii="Times New Roman" w:hAnsi="Times New Roman" w:cs="Times New Roman"/>
          <w:iCs/>
          <w:noProof/>
          <w:sz w:val="24"/>
          <w:szCs w:val="24"/>
        </w:rPr>
        <w:t>Feeding aquaculture in an era of finite re</w:t>
      </w:r>
      <w:r w:rsidRPr="00666207">
        <w:rPr>
          <w:rFonts w:ascii="Times New Roman" w:hAnsi="Times New Roman" w:cs="Times New Roman"/>
          <w:noProof/>
          <w:sz w:val="24"/>
          <w:szCs w:val="24"/>
        </w:rPr>
        <w:t>so</w:t>
      </w:r>
      <w:r w:rsidRPr="00666207">
        <w:rPr>
          <w:rFonts w:ascii="Times New Roman" w:hAnsi="Times New Roman" w:cs="Times New Roman"/>
          <w:iCs/>
          <w:noProof/>
          <w:sz w:val="24"/>
          <w:szCs w:val="24"/>
        </w:rPr>
        <w:t>ur</w:t>
      </w:r>
      <w:r w:rsidRPr="00666207">
        <w:rPr>
          <w:rFonts w:ascii="Times New Roman" w:hAnsi="Times New Roman" w:cs="Times New Roman"/>
          <w:noProof/>
          <w:sz w:val="24"/>
          <w:szCs w:val="24"/>
        </w:rPr>
        <w:t xml:space="preserve">ces,” </w:t>
      </w:r>
      <w:r w:rsidRPr="00264F8B">
        <w:rPr>
          <w:rFonts w:ascii="Times New Roman" w:hAnsi="Times New Roman" w:cs="Times New Roman"/>
          <w:iCs/>
          <w:noProof/>
          <w:sz w:val="24"/>
          <w:szCs w:val="24"/>
        </w:rPr>
        <w:t>Proceedings of the National Academy of Sciences</w:t>
      </w:r>
      <w:r w:rsidRPr="00666207">
        <w:rPr>
          <w:rFonts w:ascii="Times New Roman" w:hAnsi="Times New Roman" w:cs="Times New Roman"/>
          <w:noProof/>
          <w:sz w:val="24"/>
          <w:szCs w:val="24"/>
        </w:rPr>
        <w:t>,</w:t>
      </w:r>
      <w:r w:rsidRPr="00EE27B2">
        <w:rPr>
          <w:rFonts w:ascii="Times New Roman" w:hAnsi="Times New Roman" w:cs="Times New Roman"/>
          <w:noProof/>
          <w:sz w:val="24"/>
          <w:szCs w:val="24"/>
        </w:rPr>
        <w:t xml:space="preserve"> vol. 106, no. 36, pp. 15103–15110, 2009.</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[3]</w:t>
      </w:r>
      <w:r w:rsidRPr="00EE27B2">
        <w:rPr>
          <w:rFonts w:ascii="Times New Roman" w:hAnsi="Times New Roman" w:cs="Times New Roman"/>
          <w:noProof/>
          <w:sz w:val="24"/>
          <w:szCs w:val="24"/>
        </w:rPr>
        <w:tab/>
        <w:t xml:space="preserve">A. Oujifard, J. Seyfabadi, A. Abedian Kenari, and M. Rezaei, “Growth response and tail-muscle fatty acid quality of Pacific white shrimp, Litopenaeus vannamei (Boone) fed with </w:t>
      </w:r>
      <w:r w:rsidRPr="00EE27B2">
        <w:rPr>
          <w:rFonts w:ascii="Times New Roman" w:hAnsi="Times New Roman" w:cs="Times New Roman"/>
          <w:noProof/>
          <w:sz w:val="24"/>
          <w:szCs w:val="24"/>
        </w:rPr>
        <w:lastRenderedPageBreak/>
        <w:t xml:space="preserve">diets containing different levels of rice protein concentrate,” </w:t>
      </w:r>
      <w:r w:rsidRPr="00EE27B2">
        <w:rPr>
          <w:rFonts w:ascii="Times New Roman" w:hAnsi="Times New Roman" w:cs="Times New Roman"/>
          <w:i/>
          <w:iCs/>
          <w:noProof/>
          <w:sz w:val="24"/>
          <w:szCs w:val="24"/>
        </w:rPr>
        <w:t>Iranian Journal of Fisheries Sciences</w:t>
      </w:r>
      <w:r w:rsidRPr="00EE27B2">
        <w:rPr>
          <w:rFonts w:ascii="Times New Roman" w:hAnsi="Times New Roman" w:cs="Times New Roman"/>
          <w:noProof/>
          <w:sz w:val="24"/>
          <w:szCs w:val="24"/>
        </w:rPr>
        <w:t>, vol. 14, no. 1, pp. 188–200, 2015.</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[4]</w:t>
      </w:r>
      <w:r w:rsidRPr="00EE27B2">
        <w:rPr>
          <w:rFonts w:ascii="Times New Roman" w:hAnsi="Times New Roman" w:cs="Times New Roman"/>
          <w:noProof/>
          <w:sz w:val="24"/>
          <w:szCs w:val="24"/>
        </w:rPr>
        <w:tab/>
        <w:t xml:space="preserve">A. G. J. Tacon, “Biosecure shrimp feeds and feeding practices: guidelines for future development,” </w:t>
      </w:r>
      <w:r w:rsidRPr="00EE27B2">
        <w:rPr>
          <w:rFonts w:ascii="Times New Roman" w:hAnsi="Times New Roman" w:cs="Times New Roman"/>
          <w:i/>
          <w:iCs/>
          <w:noProof/>
          <w:sz w:val="24"/>
          <w:szCs w:val="24"/>
        </w:rPr>
        <w:t>Journal of the World Aquaculture Society</w:t>
      </w:r>
      <w:r w:rsidRPr="00EE27B2">
        <w:rPr>
          <w:rFonts w:ascii="Times New Roman" w:hAnsi="Times New Roman" w:cs="Times New Roman"/>
          <w:noProof/>
          <w:sz w:val="24"/>
          <w:szCs w:val="24"/>
        </w:rPr>
        <w:t>, vol. 48, no. 3, pp. 381–392, 2017.</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[5]</w:t>
      </w:r>
      <w:r w:rsidRPr="00EE27B2">
        <w:rPr>
          <w:rFonts w:ascii="Times New Roman" w:hAnsi="Times New Roman" w:cs="Times New Roman"/>
          <w:noProof/>
          <w:sz w:val="24"/>
          <w:szCs w:val="24"/>
        </w:rPr>
        <w:tab/>
        <w:t xml:space="preserve">R. L. Olsen and M. R. Hasan, “A limited supply of fishmeal: Impact on future increases in global aquaculture production,” </w:t>
      </w:r>
      <w:r w:rsidRPr="00EE27B2">
        <w:rPr>
          <w:rFonts w:ascii="Times New Roman" w:hAnsi="Times New Roman" w:cs="Times New Roman"/>
          <w:i/>
          <w:iCs/>
          <w:noProof/>
          <w:sz w:val="24"/>
          <w:szCs w:val="24"/>
        </w:rPr>
        <w:t>Trends in Food Science &amp; Technology</w:t>
      </w:r>
      <w:r w:rsidRPr="00EE27B2">
        <w:rPr>
          <w:rFonts w:ascii="Times New Roman" w:hAnsi="Times New Roman" w:cs="Times New Roman"/>
          <w:noProof/>
          <w:sz w:val="24"/>
          <w:szCs w:val="24"/>
        </w:rPr>
        <w:t>, vol. 27, no. 2, pp. 120–128, 2012.</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[6]</w:t>
      </w:r>
      <w:r w:rsidRPr="00EE27B2">
        <w:rPr>
          <w:rFonts w:ascii="Times New Roman" w:hAnsi="Times New Roman" w:cs="Times New Roman"/>
          <w:noProof/>
          <w:sz w:val="24"/>
          <w:szCs w:val="24"/>
        </w:rPr>
        <w:tab/>
        <w:t xml:space="preserve">N. R. Council, D. on Earth, L. Studies, C. on the N. R. of Fish, and Shrimp, </w:t>
      </w:r>
      <w:r w:rsidRPr="00EE27B2">
        <w:rPr>
          <w:rFonts w:ascii="Times New Roman" w:hAnsi="Times New Roman" w:cs="Times New Roman"/>
          <w:i/>
          <w:iCs/>
          <w:noProof/>
          <w:sz w:val="24"/>
          <w:szCs w:val="24"/>
        </w:rPr>
        <w:t>Nutrient requirements of fish and shrimp</w:t>
      </w:r>
      <w:r w:rsidRPr="00EE27B2">
        <w:rPr>
          <w:rFonts w:ascii="Times New Roman" w:hAnsi="Times New Roman" w:cs="Times New Roman"/>
          <w:noProof/>
          <w:sz w:val="24"/>
          <w:szCs w:val="24"/>
        </w:rPr>
        <w:t>. National academies press, 2011.</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[7]</w:t>
      </w:r>
      <w:r w:rsidRPr="00EE27B2">
        <w:rPr>
          <w:rFonts w:ascii="Times New Roman" w:hAnsi="Times New Roman" w:cs="Times New Roman"/>
          <w:noProof/>
          <w:sz w:val="24"/>
          <w:szCs w:val="24"/>
        </w:rPr>
        <w:tab/>
        <w:t xml:space="preserve">E. L. Becker, E. E. Cordes, S. A. Macko, R. W. Lee, and C. R. Fisher, “Using stable isotope compositions of animal tissues to infer trophic interactions in Gulf of Mexico lower slope seep communities,” </w:t>
      </w:r>
      <w:r w:rsidRPr="00EE27B2">
        <w:rPr>
          <w:rFonts w:ascii="Times New Roman" w:hAnsi="Times New Roman" w:cs="Times New Roman"/>
          <w:i/>
          <w:iCs/>
          <w:noProof/>
          <w:sz w:val="24"/>
          <w:szCs w:val="24"/>
        </w:rPr>
        <w:t>PloS one</w:t>
      </w:r>
      <w:r w:rsidRPr="00EE27B2">
        <w:rPr>
          <w:rFonts w:ascii="Times New Roman" w:hAnsi="Times New Roman" w:cs="Times New Roman"/>
          <w:noProof/>
          <w:sz w:val="24"/>
          <w:szCs w:val="24"/>
        </w:rPr>
        <w:t>, vol. 8, no. 12, p. e74459, 2013.</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[8]</w:t>
      </w:r>
      <w:r w:rsidRPr="00EE27B2">
        <w:rPr>
          <w:rFonts w:ascii="Times New Roman" w:hAnsi="Times New Roman" w:cs="Times New Roman"/>
          <w:noProof/>
          <w:sz w:val="24"/>
          <w:szCs w:val="24"/>
        </w:rPr>
        <w:tab/>
        <w:t xml:space="preserve">A. Belay, T. Kato, and Y. Ota, “Spirulina (Arthrospira): potential application as an animal feed supplement,” </w:t>
      </w:r>
      <w:r w:rsidRPr="00EE27B2">
        <w:rPr>
          <w:rFonts w:ascii="Times New Roman" w:hAnsi="Times New Roman" w:cs="Times New Roman"/>
          <w:i/>
          <w:iCs/>
          <w:noProof/>
          <w:sz w:val="24"/>
          <w:szCs w:val="24"/>
        </w:rPr>
        <w:t>Journal of Applied Phycology</w:t>
      </w:r>
      <w:r w:rsidRPr="00EE27B2">
        <w:rPr>
          <w:rFonts w:ascii="Times New Roman" w:hAnsi="Times New Roman" w:cs="Times New Roman"/>
          <w:noProof/>
          <w:sz w:val="24"/>
          <w:szCs w:val="24"/>
        </w:rPr>
        <w:t>, vol. 8, pp. 303–311, 1996.</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[9]</w:t>
      </w:r>
      <w:r w:rsidRPr="00EE27B2">
        <w:rPr>
          <w:rFonts w:ascii="Times New Roman" w:hAnsi="Times New Roman" w:cs="Times New Roman"/>
          <w:noProof/>
          <w:sz w:val="24"/>
          <w:szCs w:val="24"/>
        </w:rPr>
        <w:tab/>
        <w:t xml:space="preserve">G. Cuzon, R. Dos Santos, M. Hew, and G. Poullaouec, “Use of Spirulina in Shrimp (Penaeus japonicus) diet,” </w:t>
      </w:r>
      <w:r w:rsidRPr="00EE27B2">
        <w:rPr>
          <w:rFonts w:ascii="Times New Roman" w:hAnsi="Times New Roman" w:cs="Times New Roman"/>
          <w:i/>
          <w:iCs/>
          <w:noProof/>
          <w:sz w:val="24"/>
          <w:szCs w:val="24"/>
        </w:rPr>
        <w:t>Journal of the World Mariculture Society</w:t>
      </w:r>
      <w:r w:rsidRPr="00EE27B2">
        <w:rPr>
          <w:rFonts w:ascii="Times New Roman" w:hAnsi="Times New Roman" w:cs="Times New Roman"/>
          <w:noProof/>
          <w:sz w:val="24"/>
          <w:szCs w:val="24"/>
        </w:rPr>
        <w:t>, vol. 12, no. 2, pp. 282–291, 1981.</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[10]</w:t>
      </w:r>
      <w:r w:rsidRPr="00EE27B2">
        <w:rPr>
          <w:rFonts w:ascii="Times New Roman" w:hAnsi="Times New Roman" w:cs="Times New Roman"/>
          <w:noProof/>
          <w:sz w:val="24"/>
          <w:szCs w:val="24"/>
        </w:rPr>
        <w:tab/>
        <w:t xml:space="preserve">B. Jaime-Ceballos, I. Fraga-Castro, J. GALINDO-LÓPES, and S. ALVAREZ-CAPOTE, “Effect of shrimp head meal inclusion level in Litopenaeus schmitti juveniles diet,” </w:t>
      </w:r>
      <w:r w:rsidRPr="00EE27B2">
        <w:rPr>
          <w:rFonts w:ascii="Times New Roman" w:hAnsi="Times New Roman" w:cs="Times New Roman"/>
          <w:i/>
          <w:iCs/>
          <w:noProof/>
          <w:sz w:val="24"/>
          <w:szCs w:val="24"/>
        </w:rPr>
        <w:t>Revista de Investigaciones Marinas</w:t>
      </w:r>
      <w:r w:rsidRPr="00EE27B2">
        <w:rPr>
          <w:rFonts w:ascii="Times New Roman" w:hAnsi="Times New Roman" w:cs="Times New Roman"/>
          <w:noProof/>
          <w:sz w:val="24"/>
          <w:szCs w:val="24"/>
        </w:rPr>
        <w:t>, vol. 30, no. 1, pp. 71–78, 2009.</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[11]</w:t>
      </w:r>
      <w:r w:rsidRPr="00EE27B2">
        <w:rPr>
          <w:rFonts w:ascii="Times New Roman" w:hAnsi="Times New Roman" w:cs="Times New Roman"/>
          <w:noProof/>
          <w:sz w:val="24"/>
          <w:szCs w:val="24"/>
        </w:rPr>
        <w:tab/>
        <w:t xml:space="preserve">J. F. Silva‐Neto, A. J. P. Nunes, H. Sabry‐Neto, and M. V. C. Sá, “Spirulina meal has acted as a strong feeding attractant for Litopenaeus vannamei at a very low dietary inclusion level,” </w:t>
      </w:r>
      <w:r w:rsidRPr="00EE27B2">
        <w:rPr>
          <w:rFonts w:ascii="Times New Roman" w:hAnsi="Times New Roman" w:cs="Times New Roman"/>
          <w:i/>
          <w:iCs/>
          <w:noProof/>
          <w:sz w:val="24"/>
          <w:szCs w:val="24"/>
        </w:rPr>
        <w:t>Aquaculture Research</w:t>
      </w:r>
      <w:r w:rsidRPr="00EE27B2">
        <w:rPr>
          <w:rFonts w:ascii="Times New Roman" w:hAnsi="Times New Roman" w:cs="Times New Roman"/>
          <w:noProof/>
          <w:sz w:val="24"/>
          <w:szCs w:val="24"/>
        </w:rPr>
        <w:t>, vol. 43, no. 3, pp. 430–437, 2012.</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[12]</w:t>
      </w:r>
      <w:r w:rsidRPr="00EE27B2">
        <w:rPr>
          <w:rFonts w:ascii="Times New Roman" w:hAnsi="Times New Roman" w:cs="Times New Roman"/>
          <w:noProof/>
          <w:sz w:val="24"/>
          <w:szCs w:val="24"/>
        </w:rPr>
        <w:tab/>
        <w:t xml:space="preserve">M. C. Nandeesha, V. Sentilkumar, and P. Antony Jesu Prabhu, “Feed management of major carps in India, with special reference to practices adopted in Tamil Nadu,” </w:t>
      </w:r>
      <w:r w:rsidRPr="00EE27B2">
        <w:rPr>
          <w:rFonts w:ascii="Times New Roman" w:hAnsi="Times New Roman" w:cs="Times New Roman"/>
          <w:i/>
          <w:iCs/>
          <w:noProof/>
          <w:sz w:val="24"/>
          <w:szCs w:val="24"/>
        </w:rPr>
        <w:t>On-farm feeding and feed management in aquaculture. FAO Fisheries and Aquaculture Technical Paper</w:t>
      </w:r>
      <w:r w:rsidRPr="00EE27B2">
        <w:rPr>
          <w:rFonts w:ascii="Times New Roman" w:hAnsi="Times New Roman" w:cs="Times New Roman"/>
          <w:noProof/>
          <w:sz w:val="24"/>
          <w:szCs w:val="24"/>
        </w:rPr>
        <w:t>, vol. 583, pp. 433–462, 2013.</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[13]</w:t>
      </w:r>
      <w:r w:rsidRPr="00EE27B2">
        <w:rPr>
          <w:rFonts w:ascii="Times New Roman" w:hAnsi="Times New Roman" w:cs="Times New Roman"/>
          <w:noProof/>
          <w:sz w:val="24"/>
          <w:szCs w:val="24"/>
        </w:rPr>
        <w:tab/>
        <w:t xml:space="preserve">C. Hernández, M. A. Olvera-Novoa, K. Aguilar-Vejar, B. González-Rodríguez, and I. A. de la Parra, “Partial replacement of fish meal by porcine meat meal in practical diets for Pacific white shrimp (Litopenaeus vannamei),” </w:t>
      </w:r>
      <w:r w:rsidRPr="00EE27B2">
        <w:rPr>
          <w:rFonts w:ascii="Times New Roman" w:hAnsi="Times New Roman" w:cs="Times New Roman"/>
          <w:i/>
          <w:iCs/>
          <w:noProof/>
          <w:sz w:val="24"/>
          <w:szCs w:val="24"/>
        </w:rPr>
        <w:t>Aquaculture</w:t>
      </w:r>
      <w:r w:rsidRPr="00EE27B2">
        <w:rPr>
          <w:rFonts w:ascii="Times New Roman" w:hAnsi="Times New Roman" w:cs="Times New Roman"/>
          <w:noProof/>
          <w:sz w:val="24"/>
          <w:szCs w:val="24"/>
        </w:rPr>
        <w:t>, vol. 277, no. 3–4, pp. 244–250, 2008.</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[14]</w:t>
      </w:r>
      <w:r w:rsidRPr="00EE27B2">
        <w:rPr>
          <w:rFonts w:ascii="Times New Roman" w:hAnsi="Times New Roman" w:cs="Times New Roman"/>
          <w:noProof/>
          <w:sz w:val="24"/>
          <w:szCs w:val="24"/>
        </w:rPr>
        <w:tab/>
        <w:t xml:space="preserve">Y. J. Habib </w:t>
      </w:r>
      <w:r w:rsidRPr="00EE27B2">
        <w:rPr>
          <w:rFonts w:ascii="Times New Roman" w:hAnsi="Times New Roman" w:cs="Times New Roman"/>
          <w:i/>
          <w:iCs/>
          <w:noProof/>
          <w:sz w:val="24"/>
          <w:szCs w:val="24"/>
        </w:rPr>
        <w:t>et al.</w:t>
      </w:r>
      <w:r w:rsidRPr="00EE27B2">
        <w:rPr>
          <w:rFonts w:ascii="Times New Roman" w:hAnsi="Times New Roman" w:cs="Times New Roman"/>
          <w:noProof/>
          <w:sz w:val="24"/>
          <w:szCs w:val="24"/>
        </w:rPr>
        <w:t xml:space="preserve">, “Genome-wide identification of toll-like receptors in Pacific white shrimp (Litopenaeus vannamei) and expression analysis in response to Vibrio parahaemolyticus invasion,” </w:t>
      </w:r>
      <w:r w:rsidRPr="00EE27B2">
        <w:rPr>
          <w:rFonts w:ascii="Times New Roman" w:hAnsi="Times New Roman" w:cs="Times New Roman"/>
          <w:i/>
          <w:iCs/>
          <w:noProof/>
          <w:sz w:val="24"/>
          <w:szCs w:val="24"/>
        </w:rPr>
        <w:t>Aquaculture</w:t>
      </w:r>
      <w:r w:rsidRPr="00EE27B2">
        <w:rPr>
          <w:rFonts w:ascii="Times New Roman" w:hAnsi="Times New Roman" w:cs="Times New Roman"/>
          <w:noProof/>
          <w:sz w:val="24"/>
          <w:szCs w:val="24"/>
        </w:rPr>
        <w:t>, vol. 532, p. 735996, 2021.</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[15]</w:t>
      </w:r>
      <w:r w:rsidRPr="00EE27B2">
        <w:rPr>
          <w:rFonts w:ascii="Times New Roman" w:hAnsi="Times New Roman" w:cs="Times New Roman"/>
          <w:noProof/>
          <w:sz w:val="24"/>
          <w:szCs w:val="24"/>
        </w:rPr>
        <w:tab/>
        <w:t xml:space="preserve">M. Abdel-Tawwab, M. H. Ahmad, Y. A. E. Khattab, and A. M. E. Shalaby, “Effect of dietary protein level, initial body weight, and their interaction on the growth, feed utilization, and physiological alterations of Nile tilapia, Oreochromis niloticus (L.),” </w:t>
      </w:r>
      <w:r w:rsidRPr="00EE27B2">
        <w:rPr>
          <w:rFonts w:ascii="Times New Roman" w:hAnsi="Times New Roman" w:cs="Times New Roman"/>
          <w:i/>
          <w:iCs/>
          <w:noProof/>
          <w:sz w:val="24"/>
          <w:szCs w:val="24"/>
        </w:rPr>
        <w:t>Aquaculture</w:t>
      </w:r>
      <w:r w:rsidRPr="00EE27B2">
        <w:rPr>
          <w:rFonts w:ascii="Times New Roman" w:hAnsi="Times New Roman" w:cs="Times New Roman"/>
          <w:noProof/>
          <w:sz w:val="24"/>
          <w:szCs w:val="24"/>
        </w:rPr>
        <w:t>, vol. 298, no. 3–4, pp. 267–274, 2010.</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[16]</w:t>
      </w:r>
      <w:r w:rsidRPr="00EE27B2">
        <w:rPr>
          <w:rFonts w:ascii="Times New Roman" w:hAnsi="Times New Roman" w:cs="Times New Roman"/>
          <w:noProof/>
          <w:sz w:val="24"/>
          <w:szCs w:val="24"/>
        </w:rPr>
        <w:tab/>
        <w:t xml:space="preserve">M. C. Nandeesha, “Asian experience on farmer’s innovation in freshwater fish seed production and nursing and the role of women,” </w:t>
      </w:r>
      <w:r w:rsidRPr="00EE27B2">
        <w:rPr>
          <w:rFonts w:ascii="Times New Roman" w:hAnsi="Times New Roman" w:cs="Times New Roman"/>
          <w:i/>
          <w:iCs/>
          <w:noProof/>
          <w:sz w:val="24"/>
          <w:szCs w:val="24"/>
        </w:rPr>
        <w:t>Assessment of freshwater fish seed resources for sustainable aquaculture</w:t>
      </w:r>
      <w:r w:rsidRPr="00EE27B2">
        <w:rPr>
          <w:rFonts w:ascii="Times New Roman" w:hAnsi="Times New Roman" w:cs="Times New Roman"/>
          <w:noProof/>
          <w:sz w:val="24"/>
          <w:szCs w:val="24"/>
        </w:rPr>
        <w:t>, pp. 581–602, 2007.</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[17]</w:t>
      </w:r>
      <w:r w:rsidRPr="00EE27B2">
        <w:rPr>
          <w:rFonts w:ascii="Times New Roman" w:hAnsi="Times New Roman" w:cs="Times New Roman"/>
          <w:noProof/>
          <w:sz w:val="24"/>
          <w:szCs w:val="24"/>
        </w:rPr>
        <w:tab/>
        <w:t xml:space="preserve">S. Takeuchi, Y. Takahara, Y. Agata, J. Nasuda, F. Yamada, and A. Tamaki, “Response of suspension-feeding clams to natural removal of bioturbating shrimp on a large estuarine intertidal sandflat in western Kyushu, Japan,” </w:t>
      </w:r>
      <w:r w:rsidRPr="00EE27B2">
        <w:rPr>
          <w:rFonts w:ascii="Times New Roman" w:hAnsi="Times New Roman" w:cs="Times New Roman"/>
          <w:i/>
          <w:iCs/>
          <w:noProof/>
          <w:sz w:val="24"/>
          <w:szCs w:val="24"/>
        </w:rPr>
        <w:t>Journal of Experimental Marine Biology and Ecology</w:t>
      </w:r>
      <w:r w:rsidRPr="00EE27B2">
        <w:rPr>
          <w:rFonts w:ascii="Times New Roman" w:hAnsi="Times New Roman" w:cs="Times New Roman"/>
          <w:noProof/>
          <w:sz w:val="24"/>
          <w:szCs w:val="24"/>
        </w:rPr>
        <w:t>, vol. 448, pp. 308–320, 2013.</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lastRenderedPageBreak/>
        <w:t>[18]</w:t>
      </w:r>
      <w:r w:rsidRPr="00EE27B2">
        <w:rPr>
          <w:rFonts w:ascii="Times New Roman" w:hAnsi="Times New Roman" w:cs="Times New Roman"/>
          <w:noProof/>
          <w:sz w:val="24"/>
          <w:szCs w:val="24"/>
        </w:rPr>
        <w:tab/>
        <w:t xml:space="preserve">R. James, K. Sampath, R. Thangarathinam, and I. Vasudevan, “Effect of dietary spirulina level on growth, fertility, coloration and leucocyte count in red swordtail, Xiphophorus helleri,” </w:t>
      </w:r>
      <w:r w:rsidRPr="00EE27B2">
        <w:rPr>
          <w:rFonts w:ascii="Times New Roman" w:hAnsi="Times New Roman" w:cs="Times New Roman"/>
          <w:i/>
          <w:iCs/>
          <w:noProof/>
          <w:sz w:val="24"/>
          <w:szCs w:val="24"/>
        </w:rPr>
        <w:t>Israeli Journal of Aquaculture-Bamidgeh</w:t>
      </w:r>
      <w:r w:rsidRPr="00EE27B2">
        <w:rPr>
          <w:rFonts w:ascii="Times New Roman" w:hAnsi="Times New Roman" w:cs="Times New Roman"/>
          <w:noProof/>
          <w:sz w:val="24"/>
          <w:szCs w:val="24"/>
        </w:rPr>
        <w:t>, vol. 58, 2006.</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[19]</w:t>
      </w:r>
      <w:r w:rsidRPr="00EE27B2">
        <w:rPr>
          <w:rFonts w:ascii="Times New Roman" w:hAnsi="Times New Roman" w:cs="Times New Roman"/>
          <w:noProof/>
          <w:sz w:val="24"/>
          <w:szCs w:val="24"/>
        </w:rPr>
        <w:tab/>
        <w:t xml:space="preserve">A.-F. M. El-Sayed, “Evaluation of soybean meal, spirulina meal and chicken offal meal as protein sources for silver seabream (Rhabdosargus sarba) fingerlings,” </w:t>
      </w:r>
      <w:r w:rsidRPr="00EE27B2">
        <w:rPr>
          <w:rFonts w:ascii="Times New Roman" w:hAnsi="Times New Roman" w:cs="Times New Roman"/>
          <w:i/>
          <w:iCs/>
          <w:noProof/>
          <w:sz w:val="24"/>
          <w:szCs w:val="24"/>
        </w:rPr>
        <w:t>Aquaculture</w:t>
      </w:r>
      <w:r w:rsidRPr="00EE27B2">
        <w:rPr>
          <w:rFonts w:ascii="Times New Roman" w:hAnsi="Times New Roman" w:cs="Times New Roman"/>
          <w:noProof/>
          <w:sz w:val="24"/>
          <w:szCs w:val="24"/>
        </w:rPr>
        <w:t>, vol. 127, no. 2–3, pp. 169–176, 1994.</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[20]</w:t>
      </w:r>
      <w:r w:rsidRPr="00EE27B2">
        <w:rPr>
          <w:rFonts w:ascii="Times New Roman" w:hAnsi="Times New Roman" w:cs="Times New Roman"/>
          <w:noProof/>
          <w:sz w:val="24"/>
          <w:szCs w:val="24"/>
        </w:rPr>
        <w:tab/>
        <w:t xml:space="preserve">H. NAKAGAWA and G. GÓMEZ-DÍAZ, “Usefulness of Spirulina sp. meal as feed additive for giant freshwater prawn, Macrobrachium rosenbergii,” </w:t>
      </w:r>
      <w:r w:rsidRPr="00EE27B2">
        <w:rPr>
          <w:rFonts w:ascii="Times New Roman" w:hAnsi="Times New Roman" w:cs="Times New Roman"/>
          <w:i/>
          <w:iCs/>
          <w:noProof/>
          <w:sz w:val="24"/>
          <w:szCs w:val="24"/>
        </w:rPr>
        <w:t>Aquaculture Science</w:t>
      </w:r>
      <w:r w:rsidRPr="00EE27B2">
        <w:rPr>
          <w:rFonts w:ascii="Times New Roman" w:hAnsi="Times New Roman" w:cs="Times New Roman"/>
          <w:noProof/>
          <w:sz w:val="24"/>
          <w:szCs w:val="24"/>
        </w:rPr>
        <w:t>, vol. 43, no. 4, pp. 521–526, 1995.</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[21]</w:t>
      </w:r>
      <w:r w:rsidRPr="00EE27B2">
        <w:rPr>
          <w:rFonts w:ascii="Times New Roman" w:hAnsi="Times New Roman" w:cs="Times New Roman"/>
          <w:noProof/>
          <w:sz w:val="24"/>
          <w:szCs w:val="24"/>
        </w:rPr>
        <w:tab/>
        <w:t xml:space="preserve">S. Tongsiri, K. Mang-Amphan, and Y. Peerapornpisal, “Effect of replacing fishmeal with Spirulina on growth, carcass composition and pigment of the Mekong giant catfish,” </w:t>
      </w:r>
      <w:r w:rsidRPr="00EE27B2">
        <w:rPr>
          <w:rFonts w:ascii="Times New Roman" w:hAnsi="Times New Roman" w:cs="Times New Roman"/>
          <w:i/>
          <w:iCs/>
          <w:noProof/>
          <w:sz w:val="24"/>
          <w:szCs w:val="24"/>
        </w:rPr>
        <w:t>Asian Journal of Agricultural Sciences</w:t>
      </w:r>
      <w:r w:rsidRPr="00EE27B2">
        <w:rPr>
          <w:rFonts w:ascii="Times New Roman" w:hAnsi="Times New Roman" w:cs="Times New Roman"/>
          <w:noProof/>
          <w:sz w:val="24"/>
          <w:szCs w:val="24"/>
        </w:rPr>
        <w:t>, vol. 2, no. 3, pp. 106–110, 2010.</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[22]</w:t>
      </w:r>
      <w:r w:rsidRPr="00EE27B2">
        <w:rPr>
          <w:rFonts w:ascii="Times New Roman" w:hAnsi="Times New Roman" w:cs="Times New Roman"/>
          <w:noProof/>
          <w:sz w:val="24"/>
          <w:szCs w:val="24"/>
        </w:rPr>
        <w:tab/>
        <w:t xml:space="preserve">M. A. Olvera‐Novoa, L. J. Domínguez‐Cen, L. Olivera‐Castillo, and C. A. Martínez‐Palacios, “Effect of the use of the microalga Spirulina maxima as fish meal replacement in diets for tilapia, Oreochromis mossambicus (Peters), fry,” </w:t>
      </w:r>
      <w:r w:rsidRPr="00EE27B2">
        <w:rPr>
          <w:rFonts w:ascii="Times New Roman" w:hAnsi="Times New Roman" w:cs="Times New Roman"/>
          <w:i/>
          <w:iCs/>
          <w:noProof/>
          <w:sz w:val="24"/>
          <w:szCs w:val="24"/>
        </w:rPr>
        <w:t>Aquaculture research</w:t>
      </w:r>
      <w:r w:rsidRPr="00EE27B2">
        <w:rPr>
          <w:rFonts w:ascii="Times New Roman" w:hAnsi="Times New Roman" w:cs="Times New Roman"/>
          <w:noProof/>
          <w:sz w:val="24"/>
          <w:szCs w:val="24"/>
        </w:rPr>
        <w:t>, vol. 29, no. 10, pp. 709–715, 1998.</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[23]</w:t>
      </w:r>
      <w:r w:rsidRPr="00EE27B2">
        <w:rPr>
          <w:rFonts w:ascii="Times New Roman" w:hAnsi="Times New Roman" w:cs="Times New Roman"/>
          <w:noProof/>
          <w:sz w:val="24"/>
          <w:szCs w:val="24"/>
        </w:rPr>
        <w:tab/>
        <w:t xml:space="preserve">B. Güroy, İ. Şahin, S. Mantoğlu, and S. Kayalı, “Spirulina as a natural carotenoid source on growth, pigmentation and reproductive performance of yellow tail cichlid Pseudotropheus acei,” </w:t>
      </w:r>
      <w:r w:rsidRPr="00EE27B2">
        <w:rPr>
          <w:rFonts w:ascii="Times New Roman" w:hAnsi="Times New Roman" w:cs="Times New Roman"/>
          <w:i/>
          <w:iCs/>
          <w:noProof/>
          <w:sz w:val="24"/>
          <w:szCs w:val="24"/>
        </w:rPr>
        <w:t>Aquaculture International</w:t>
      </w:r>
      <w:r w:rsidRPr="00EE27B2">
        <w:rPr>
          <w:rFonts w:ascii="Times New Roman" w:hAnsi="Times New Roman" w:cs="Times New Roman"/>
          <w:noProof/>
          <w:sz w:val="24"/>
          <w:szCs w:val="24"/>
        </w:rPr>
        <w:t>, vol. 20, pp. 869–878, 2012.</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[24]</w:t>
      </w:r>
      <w:r w:rsidRPr="00EE27B2">
        <w:rPr>
          <w:rFonts w:ascii="Times New Roman" w:hAnsi="Times New Roman" w:cs="Times New Roman"/>
          <w:noProof/>
          <w:sz w:val="24"/>
          <w:szCs w:val="24"/>
        </w:rPr>
        <w:tab/>
        <w:t xml:space="preserve">M. Adel, S. Yeganeh, M. Dadar, M. Sakai, and M. A. O. Dawood, “Effects of dietary Spirulina platensis on growth performance, humoral and mucosal immune responses and disease resistance in juvenile great sturgeon (Huso huso Linnaeus, 1754),” </w:t>
      </w:r>
      <w:r w:rsidRPr="00EE27B2">
        <w:rPr>
          <w:rFonts w:ascii="Times New Roman" w:hAnsi="Times New Roman" w:cs="Times New Roman"/>
          <w:i/>
          <w:iCs/>
          <w:noProof/>
          <w:sz w:val="24"/>
          <w:szCs w:val="24"/>
        </w:rPr>
        <w:t>Fish &amp; Shellfish Immunology</w:t>
      </w:r>
      <w:r w:rsidRPr="00EE27B2">
        <w:rPr>
          <w:rFonts w:ascii="Times New Roman" w:hAnsi="Times New Roman" w:cs="Times New Roman"/>
          <w:noProof/>
          <w:sz w:val="24"/>
          <w:szCs w:val="24"/>
        </w:rPr>
        <w:t>, vol. 56, pp. 436–444, 2016.</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[25]</w:t>
      </w:r>
      <w:r w:rsidRPr="00EE27B2">
        <w:rPr>
          <w:rFonts w:ascii="Times New Roman" w:hAnsi="Times New Roman" w:cs="Times New Roman"/>
          <w:noProof/>
          <w:sz w:val="24"/>
          <w:szCs w:val="24"/>
        </w:rPr>
        <w:tab/>
        <w:t xml:space="preserve">M. Namaei Kohal, A. Esmaeili Fereidouni, F. Firouzbakhsh, and I. Hayati, “Effects of dietary incorporation of Arthrospira (Spirulina) platensis meal on growth, survival, body composition, and reproductive performance of red cherry shrimp Neocaridina davidi (Crustacea, Atyidae) over successive spawnings,” </w:t>
      </w:r>
      <w:r w:rsidRPr="00EE27B2">
        <w:rPr>
          <w:rFonts w:ascii="Times New Roman" w:hAnsi="Times New Roman" w:cs="Times New Roman"/>
          <w:i/>
          <w:iCs/>
          <w:noProof/>
          <w:sz w:val="24"/>
          <w:szCs w:val="24"/>
        </w:rPr>
        <w:t>Journal of applied phycology</w:t>
      </w:r>
      <w:r w:rsidRPr="00EE27B2">
        <w:rPr>
          <w:rFonts w:ascii="Times New Roman" w:hAnsi="Times New Roman" w:cs="Times New Roman"/>
          <w:noProof/>
          <w:sz w:val="24"/>
          <w:szCs w:val="24"/>
        </w:rPr>
        <w:t>, vol. 30, pp. 431–443, 2018.</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[26]</w:t>
      </w:r>
      <w:r w:rsidRPr="00EE27B2">
        <w:rPr>
          <w:rFonts w:ascii="Times New Roman" w:hAnsi="Times New Roman" w:cs="Times New Roman"/>
          <w:noProof/>
          <w:sz w:val="24"/>
          <w:szCs w:val="24"/>
        </w:rPr>
        <w:tab/>
        <w:t xml:space="preserve">R. Hanel, D. Broekmann, S. De Graaf, and D. Schnack, “Partial replacement of fishmeal by lyophylized powder of the microalgae Spirulina platensis in Pacific white shrimp diets,” </w:t>
      </w:r>
      <w:r w:rsidRPr="00EE27B2">
        <w:rPr>
          <w:rFonts w:ascii="Times New Roman" w:hAnsi="Times New Roman" w:cs="Times New Roman"/>
          <w:i/>
          <w:iCs/>
          <w:noProof/>
          <w:sz w:val="24"/>
          <w:szCs w:val="24"/>
        </w:rPr>
        <w:t>The Open Marine Biology Journal</w:t>
      </w:r>
      <w:r w:rsidRPr="00EE27B2">
        <w:rPr>
          <w:rFonts w:ascii="Times New Roman" w:hAnsi="Times New Roman" w:cs="Times New Roman"/>
          <w:noProof/>
          <w:sz w:val="24"/>
          <w:szCs w:val="24"/>
        </w:rPr>
        <w:t>, vol. 1, pp. 1–5, 2007.</w:t>
      </w:r>
    </w:p>
    <w:p w:rsidR="00EE27B2" w:rsidRP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[27]</w:t>
      </w:r>
      <w:r w:rsidRPr="00EE27B2">
        <w:rPr>
          <w:rFonts w:ascii="Times New Roman" w:hAnsi="Times New Roman" w:cs="Times New Roman"/>
          <w:noProof/>
          <w:sz w:val="24"/>
          <w:szCs w:val="24"/>
        </w:rPr>
        <w:tab/>
        <w:t xml:space="preserve">S. Dinesh Kumar </w:t>
      </w:r>
      <w:r w:rsidRPr="00EE27B2">
        <w:rPr>
          <w:rFonts w:ascii="Times New Roman" w:hAnsi="Times New Roman" w:cs="Times New Roman"/>
          <w:i/>
          <w:iCs/>
          <w:noProof/>
          <w:sz w:val="24"/>
          <w:szCs w:val="24"/>
        </w:rPr>
        <w:t>et al.</w:t>
      </w:r>
      <w:r w:rsidRPr="00EE27B2">
        <w:rPr>
          <w:rFonts w:ascii="Times New Roman" w:hAnsi="Times New Roman" w:cs="Times New Roman"/>
          <w:noProof/>
          <w:sz w:val="24"/>
          <w:szCs w:val="24"/>
        </w:rPr>
        <w:t xml:space="preserve">, “Evaluation of suitability of wastewater-grown microalgae (Picochlorum maculatum) and copepod (Oithona rigida) as live feed for white leg shrimp Litopenaeus vannamei post-larvae,” </w:t>
      </w:r>
      <w:r w:rsidRPr="00EE27B2">
        <w:rPr>
          <w:rFonts w:ascii="Times New Roman" w:hAnsi="Times New Roman" w:cs="Times New Roman"/>
          <w:i/>
          <w:iCs/>
          <w:noProof/>
          <w:sz w:val="24"/>
          <w:szCs w:val="24"/>
        </w:rPr>
        <w:t>Aquaculture International</w:t>
      </w:r>
      <w:r w:rsidRPr="00EE27B2">
        <w:rPr>
          <w:rFonts w:ascii="Times New Roman" w:hAnsi="Times New Roman" w:cs="Times New Roman"/>
          <w:noProof/>
          <w:sz w:val="24"/>
          <w:szCs w:val="24"/>
        </w:rPr>
        <w:t>, vol. 25, pp. 393–411, 2017.</w:t>
      </w:r>
    </w:p>
    <w:p w:rsidR="00EE27B2" w:rsidRDefault="00EE27B2" w:rsidP="00EE27B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E27B2">
        <w:rPr>
          <w:rFonts w:ascii="Times New Roman" w:hAnsi="Times New Roman" w:cs="Times New Roman"/>
          <w:noProof/>
          <w:sz w:val="24"/>
          <w:szCs w:val="24"/>
        </w:rPr>
        <w:t>[28]</w:t>
      </w:r>
      <w:r w:rsidRPr="00EE27B2">
        <w:rPr>
          <w:rFonts w:ascii="Times New Roman" w:hAnsi="Times New Roman" w:cs="Times New Roman"/>
          <w:noProof/>
          <w:sz w:val="24"/>
          <w:szCs w:val="24"/>
        </w:rPr>
        <w:tab/>
        <w:t xml:space="preserve">V. Kiron, W. Phromkunthong, M. Huntley, I. Archibald, and G. De Scheemaker, “Marine microalgae from biorefinery as a potential feed protein source for Atlantic salmon, common carp and whiteleg shrimp,” </w:t>
      </w:r>
      <w:r w:rsidRPr="00EE27B2">
        <w:rPr>
          <w:rFonts w:ascii="Times New Roman" w:hAnsi="Times New Roman" w:cs="Times New Roman"/>
          <w:i/>
          <w:iCs/>
          <w:noProof/>
          <w:sz w:val="24"/>
          <w:szCs w:val="24"/>
        </w:rPr>
        <w:t>Aquaculture Nutrition</w:t>
      </w:r>
      <w:r w:rsidRPr="00EE27B2">
        <w:rPr>
          <w:rFonts w:ascii="Times New Roman" w:hAnsi="Times New Roman" w:cs="Times New Roman"/>
          <w:noProof/>
          <w:sz w:val="24"/>
          <w:szCs w:val="24"/>
        </w:rPr>
        <w:t>, vol. 18, no. 5, pp. 521–531, 2012.</w:t>
      </w:r>
    </w:p>
    <w:p w:rsidR="00233A82" w:rsidRPr="00EE27B2" w:rsidRDefault="00233A82" w:rsidP="00EE27B2">
      <w:pPr>
        <w:widowControl w:val="0"/>
        <w:autoSpaceDE w:val="0"/>
        <w:autoSpaceDN w:val="0"/>
        <w:adjustRightInd w:val="0"/>
        <w:spacing w:after="0" w:line="240" w:lineRule="auto"/>
        <w:ind w:left="640" w:hanging="640"/>
        <w:rPr>
          <w:rFonts w:ascii="Times New Roman" w:hAnsi="Times New Roman" w:cs="Times New Roman"/>
          <w:noProof/>
          <w:sz w:val="24"/>
        </w:rPr>
      </w:pPr>
      <w:r>
        <w:rPr>
          <w:rFonts w:ascii="Times New Roman" w:hAnsi="Times New Roman" w:cs="Times New Roman"/>
          <w:noProof/>
          <w:sz w:val="24"/>
          <w:szCs w:val="24"/>
        </w:rPr>
        <w:t>[29]</w:t>
      </w:r>
      <w:r w:rsidRPr="00233A82">
        <w:t xml:space="preserve"> </w:t>
      </w:r>
      <w:r w:rsidRPr="00233A82">
        <w:rPr>
          <w:rFonts w:ascii="Times New Roman" w:hAnsi="Times New Roman" w:cs="Times New Roman"/>
          <w:noProof/>
          <w:sz w:val="24"/>
          <w:szCs w:val="24"/>
        </w:rPr>
        <w:t>Zidan, S. A., Eid, A. E., Ali, M. A., &amp; Sharawy, Z. Z. (2021). Effect of using different levels of Spirulina platensis on growth performance of marine shrimp Litopenaeus vannamei. Egyptian Journal of Nutrition and Feeds, 24(3), 431-437.</w:t>
      </w:r>
    </w:p>
    <w:p w:rsidR="008C38E3" w:rsidRDefault="0012737B" w:rsidP="00EE27B2">
      <w:pPr>
        <w:widowControl w:val="0"/>
        <w:autoSpaceDE w:val="0"/>
        <w:autoSpaceDN w:val="0"/>
        <w:adjustRightInd w:val="0"/>
        <w:spacing w:after="0" w:line="240" w:lineRule="auto"/>
        <w:ind w:left="640" w:hanging="640"/>
      </w:pPr>
      <w:r>
        <w:fldChar w:fldCharType="end"/>
      </w:r>
    </w:p>
    <w:p w:rsidR="00233A82" w:rsidRDefault="00233A82" w:rsidP="00EE27B2">
      <w:pPr>
        <w:widowControl w:val="0"/>
        <w:autoSpaceDE w:val="0"/>
        <w:autoSpaceDN w:val="0"/>
        <w:adjustRightInd w:val="0"/>
        <w:spacing w:after="0" w:line="240" w:lineRule="auto"/>
        <w:ind w:left="640" w:hanging="640"/>
      </w:pPr>
    </w:p>
    <w:p w:rsidR="00E85730" w:rsidRDefault="00E85730" w:rsidP="00946B43">
      <w:pPr>
        <w:widowControl w:val="0"/>
        <w:autoSpaceDE w:val="0"/>
        <w:autoSpaceDN w:val="0"/>
        <w:adjustRightInd w:val="0"/>
        <w:spacing w:after="0" w:line="240" w:lineRule="auto"/>
        <w:ind w:left="480" w:hanging="480"/>
      </w:pPr>
    </w:p>
    <w:sectPr w:rsidR="00E85730" w:rsidSect="00311BC3">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22E" w:rsidRDefault="00C3722E" w:rsidP="00DC5F8D">
      <w:pPr>
        <w:spacing w:after="0" w:line="240" w:lineRule="auto"/>
      </w:pPr>
      <w:r>
        <w:separator/>
      </w:r>
    </w:p>
  </w:endnote>
  <w:endnote w:type="continuationSeparator" w:id="0">
    <w:p w:rsidR="00C3722E" w:rsidRDefault="00C3722E" w:rsidP="00DC5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22E" w:rsidRDefault="00C3722E" w:rsidP="00DC5F8D">
      <w:pPr>
        <w:spacing w:after="0" w:line="240" w:lineRule="auto"/>
      </w:pPr>
      <w:r>
        <w:separator/>
      </w:r>
    </w:p>
  </w:footnote>
  <w:footnote w:type="continuationSeparator" w:id="0">
    <w:p w:rsidR="00C3722E" w:rsidRDefault="00C3722E" w:rsidP="00DC5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B6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7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B6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7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B6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7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62D"/>
    <w:multiLevelType w:val="hybridMultilevel"/>
    <w:tmpl w:val="334C3650"/>
    <w:lvl w:ilvl="0" w:tplc="C8CCE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C13B5"/>
    <w:multiLevelType w:val="hybridMultilevel"/>
    <w:tmpl w:val="699AD6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C0416A"/>
    <w:multiLevelType w:val="hybridMultilevel"/>
    <w:tmpl w:val="5C42BA60"/>
    <w:lvl w:ilvl="0" w:tplc="CE5C1B94">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D5949"/>
    <w:multiLevelType w:val="hybridMultilevel"/>
    <w:tmpl w:val="21E4A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D04E9"/>
    <w:multiLevelType w:val="hybridMultilevel"/>
    <w:tmpl w:val="07442A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806517">
    <w:abstractNumId w:val="1"/>
  </w:num>
  <w:num w:numId="2" w16cid:durableId="1316569265">
    <w:abstractNumId w:val="2"/>
  </w:num>
  <w:num w:numId="3" w16cid:durableId="1030954754">
    <w:abstractNumId w:val="4"/>
  </w:num>
  <w:num w:numId="4" w16cid:durableId="377436059">
    <w:abstractNumId w:val="0"/>
  </w:num>
  <w:num w:numId="5" w16cid:durableId="1317681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2457"/>
    <w:rsid w:val="00070230"/>
    <w:rsid w:val="00072E72"/>
    <w:rsid w:val="00085F32"/>
    <w:rsid w:val="0012737B"/>
    <w:rsid w:val="00136960"/>
    <w:rsid w:val="00156E1D"/>
    <w:rsid w:val="00180DC6"/>
    <w:rsid w:val="001A1369"/>
    <w:rsid w:val="001D6FF8"/>
    <w:rsid w:val="001F6E80"/>
    <w:rsid w:val="002140BB"/>
    <w:rsid w:val="002156EC"/>
    <w:rsid w:val="00233A82"/>
    <w:rsid w:val="0024140D"/>
    <w:rsid w:val="00241E05"/>
    <w:rsid w:val="00264F8B"/>
    <w:rsid w:val="002D3D49"/>
    <w:rsid w:val="002E0380"/>
    <w:rsid w:val="00311BC3"/>
    <w:rsid w:val="003422A7"/>
    <w:rsid w:val="00370C5D"/>
    <w:rsid w:val="00372C23"/>
    <w:rsid w:val="003E1991"/>
    <w:rsid w:val="003E440F"/>
    <w:rsid w:val="003E66BF"/>
    <w:rsid w:val="003F2CA6"/>
    <w:rsid w:val="0041146C"/>
    <w:rsid w:val="00421537"/>
    <w:rsid w:val="004316F1"/>
    <w:rsid w:val="00466B0A"/>
    <w:rsid w:val="004B77C7"/>
    <w:rsid w:val="004E692B"/>
    <w:rsid w:val="0051170C"/>
    <w:rsid w:val="005220D1"/>
    <w:rsid w:val="005223A3"/>
    <w:rsid w:val="0052502E"/>
    <w:rsid w:val="0053362D"/>
    <w:rsid w:val="00541F18"/>
    <w:rsid w:val="00594E5E"/>
    <w:rsid w:val="005B3064"/>
    <w:rsid w:val="005E3EAD"/>
    <w:rsid w:val="005E488B"/>
    <w:rsid w:val="006254CE"/>
    <w:rsid w:val="00626378"/>
    <w:rsid w:val="0066164C"/>
    <w:rsid w:val="00666207"/>
    <w:rsid w:val="00673B6C"/>
    <w:rsid w:val="0068766C"/>
    <w:rsid w:val="006A3DC5"/>
    <w:rsid w:val="007459A2"/>
    <w:rsid w:val="00751A4B"/>
    <w:rsid w:val="0076735F"/>
    <w:rsid w:val="007C293A"/>
    <w:rsid w:val="00837125"/>
    <w:rsid w:val="00841809"/>
    <w:rsid w:val="00854376"/>
    <w:rsid w:val="008608C4"/>
    <w:rsid w:val="00861472"/>
    <w:rsid w:val="008639B7"/>
    <w:rsid w:val="008866C0"/>
    <w:rsid w:val="008C38E3"/>
    <w:rsid w:val="00914FC7"/>
    <w:rsid w:val="00946B43"/>
    <w:rsid w:val="009A01DE"/>
    <w:rsid w:val="009B34E2"/>
    <w:rsid w:val="009F7F88"/>
    <w:rsid w:val="00A0786F"/>
    <w:rsid w:val="00A11775"/>
    <w:rsid w:val="00A238E0"/>
    <w:rsid w:val="00A25D52"/>
    <w:rsid w:val="00A31508"/>
    <w:rsid w:val="00A32740"/>
    <w:rsid w:val="00A507CA"/>
    <w:rsid w:val="00A57F34"/>
    <w:rsid w:val="00A70BBF"/>
    <w:rsid w:val="00A82BBA"/>
    <w:rsid w:val="00A93921"/>
    <w:rsid w:val="00AC2714"/>
    <w:rsid w:val="00AC3361"/>
    <w:rsid w:val="00AC40A0"/>
    <w:rsid w:val="00AD7DB6"/>
    <w:rsid w:val="00AE2457"/>
    <w:rsid w:val="00B02398"/>
    <w:rsid w:val="00B14C27"/>
    <w:rsid w:val="00B91304"/>
    <w:rsid w:val="00BB3AF0"/>
    <w:rsid w:val="00BF4593"/>
    <w:rsid w:val="00C3722E"/>
    <w:rsid w:val="00C859AD"/>
    <w:rsid w:val="00CF00BD"/>
    <w:rsid w:val="00D03B95"/>
    <w:rsid w:val="00D55BAB"/>
    <w:rsid w:val="00D86EBB"/>
    <w:rsid w:val="00DC5F8D"/>
    <w:rsid w:val="00E24D7F"/>
    <w:rsid w:val="00E42327"/>
    <w:rsid w:val="00E73551"/>
    <w:rsid w:val="00E85730"/>
    <w:rsid w:val="00EA1C61"/>
    <w:rsid w:val="00EE27B2"/>
    <w:rsid w:val="00F01434"/>
    <w:rsid w:val="00F04BC4"/>
    <w:rsid w:val="00F06D82"/>
    <w:rsid w:val="00F348E1"/>
    <w:rsid w:val="00F3659F"/>
    <w:rsid w:val="00F37E3F"/>
    <w:rsid w:val="00F82FAE"/>
    <w:rsid w:val="00F91D1E"/>
    <w:rsid w:val="00FD56C1"/>
    <w:rsid w:val="00FF6E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4DA13"/>
  <w15:docId w15:val="{270D74DA-CEFA-4BEB-861E-CE87D686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6C1"/>
  </w:style>
  <w:style w:type="paragraph" w:styleId="Heading1">
    <w:name w:val="heading 1"/>
    <w:basedOn w:val="Normal"/>
    <w:next w:val="Normal"/>
    <w:link w:val="Heading1Char"/>
    <w:uiPriority w:val="9"/>
    <w:qFormat/>
    <w:rsid w:val="00F06D8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35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859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8543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C5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F8D"/>
  </w:style>
  <w:style w:type="paragraph" w:styleId="Footer">
    <w:name w:val="footer"/>
    <w:basedOn w:val="Normal"/>
    <w:link w:val="FooterChar"/>
    <w:uiPriority w:val="99"/>
    <w:unhideWhenUsed/>
    <w:rsid w:val="00DC5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F8D"/>
  </w:style>
  <w:style w:type="character" w:styleId="Hyperlink">
    <w:name w:val="Hyperlink"/>
    <w:basedOn w:val="DefaultParagraphFont"/>
    <w:uiPriority w:val="99"/>
    <w:unhideWhenUsed/>
    <w:rsid w:val="009A01DE"/>
    <w:rPr>
      <w:color w:val="0000FF" w:themeColor="hyperlink"/>
      <w:u w:val="single"/>
    </w:rPr>
  </w:style>
  <w:style w:type="paragraph" w:styleId="BalloonText">
    <w:name w:val="Balloon Text"/>
    <w:basedOn w:val="Normal"/>
    <w:link w:val="BalloonTextChar"/>
    <w:uiPriority w:val="99"/>
    <w:semiHidden/>
    <w:unhideWhenUsed/>
    <w:rsid w:val="00F0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D82"/>
    <w:rPr>
      <w:rFonts w:ascii="Tahoma" w:hAnsi="Tahoma" w:cs="Tahoma"/>
      <w:sz w:val="16"/>
      <w:szCs w:val="16"/>
    </w:rPr>
  </w:style>
  <w:style w:type="character" w:customStyle="1" w:styleId="Heading1Char">
    <w:name w:val="Heading 1 Char"/>
    <w:basedOn w:val="DefaultParagraphFont"/>
    <w:link w:val="Heading1"/>
    <w:uiPriority w:val="9"/>
    <w:rsid w:val="00F06D8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F06D82"/>
  </w:style>
  <w:style w:type="character" w:styleId="LineNumber">
    <w:name w:val="line number"/>
    <w:basedOn w:val="DefaultParagraphFont"/>
    <w:uiPriority w:val="99"/>
    <w:semiHidden/>
    <w:unhideWhenUsed/>
    <w:rsid w:val="00F3659F"/>
  </w:style>
  <w:style w:type="character" w:styleId="CommentReference">
    <w:name w:val="annotation reference"/>
    <w:basedOn w:val="DefaultParagraphFont"/>
    <w:uiPriority w:val="99"/>
    <w:semiHidden/>
    <w:unhideWhenUsed/>
    <w:rsid w:val="00085F32"/>
    <w:rPr>
      <w:sz w:val="16"/>
      <w:szCs w:val="16"/>
    </w:rPr>
  </w:style>
  <w:style w:type="paragraph" w:styleId="CommentText">
    <w:name w:val="annotation text"/>
    <w:basedOn w:val="Normal"/>
    <w:link w:val="CommentTextChar"/>
    <w:uiPriority w:val="99"/>
    <w:semiHidden/>
    <w:unhideWhenUsed/>
    <w:rsid w:val="00085F32"/>
    <w:pPr>
      <w:spacing w:line="240" w:lineRule="auto"/>
    </w:pPr>
    <w:rPr>
      <w:sz w:val="20"/>
      <w:szCs w:val="20"/>
    </w:rPr>
  </w:style>
  <w:style w:type="character" w:customStyle="1" w:styleId="CommentTextChar">
    <w:name w:val="Comment Text Char"/>
    <w:basedOn w:val="DefaultParagraphFont"/>
    <w:link w:val="CommentText"/>
    <w:uiPriority w:val="99"/>
    <w:semiHidden/>
    <w:rsid w:val="00085F32"/>
    <w:rPr>
      <w:sz w:val="20"/>
      <w:szCs w:val="20"/>
    </w:rPr>
  </w:style>
  <w:style w:type="paragraph" w:styleId="CommentSubject">
    <w:name w:val="annotation subject"/>
    <w:basedOn w:val="CommentText"/>
    <w:next w:val="CommentText"/>
    <w:link w:val="CommentSubjectChar"/>
    <w:uiPriority w:val="99"/>
    <w:semiHidden/>
    <w:unhideWhenUsed/>
    <w:rsid w:val="00085F32"/>
    <w:rPr>
      <w:b/>
      <w:bCs/>
    </w:rPr>
  </w:style>
  <w:style w:type="character" w:customStyle="1" w:styleId="CommentSubjectChar">
    <w:name w:val="Comment Subject Char"/>
    <w:basedOn w:val="CommentTextChar"/>
    <w:link w:val="CommentSubject"/>
    <w:uiPriority w:val="99"/>
    <w:semiHidden/>
    <w:rsid w:val="00085F32"/>
    <w:rPr>
      <w:b/>
      <w:bCs/>
      <w:sz w:val="20"/>
      <w:szCs w:val="20"/>
    </w:rPr>
  </w:style>
  <w:style w:type="paragraph" w:styleId="ListParagraph">
    <w:name w:val="List Paragraph"/>
    <w:basedOn w:val="Normal"/>
    <w:uiPriority w:val="34"/>
    <w:qFormat/>
    <w:rsid w:val="00BF4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146113">
      <w:bodyDiv w:val="1"/>
      <w:marLeft w:val="0"/>
      <w:marRight w:val="0"/>
      <w:marTop w:val="0"/>
      <w:marBottom w:val="0"/>
      <w:divBdr>
        <w:top w:val="none" w:sz="0" w:space="0" w:color="auto"/>
        <w:left w:val="none" w:sz="0" w:space="0" w:color="auto"/>
        <w:bottom w:val="none" w:sz="0" w:space="0" w:color="auto"/>
        <w:right w:val="none" w:sz="0" w:space="0" w:color="auto"/>
      </w:divBdr>
    </w:div>
    <w:div w:id="926383177">
      <w:bodyDiv w:val="1"/>
      <w:marLeft w:val="0"/>
      <w:marRight w:val="0"/>
      <w:marTop w:val="0"/>
      <w:marBottom w:val="0"/>
      <w:divBdr>
        <w:top w:val="none" w:sz="0" w:space="0" w:color="auto"/>
        <w:left w:val="none" w:sz="0" w:space="0" w:color="auto"/>
        <w:bottom w:val="none" w:sz="0" w:space="0" w:color="auto"/>
        <w:right w:val="none" w:sz="0" w:space="0" w:color="auto"/>
      </w:divBdr>
    </w:div>
    <w:div w:id="948008679">
      <w:bodyDiv w:val="1"/>
      <w:marLeft w:val="0"/>
      <w:marRight w:val="0"/>
      <w:marTop w:val="0"/>
      <w:marBottom w:val="0"/>
      <w:divBdr>
        <w:top w:val="none" w:sz="0" w:space="0" w:color="auto"/>
        <w:left w:val="none" w:sz="0" w:space="0" w:color="auto"/>
        <w:bottom w:val="none" w:sz="0" w:space="0" w:color="auto"/>
        <w:right w:val="none" w:sz="0" w:space="0" w:color="auto"/>
      </w:divBdr>
    </w:div>
    <w:div w:id="1449661757">
      <w:bodyDiv w:val="1"/>
      <w:marLeft w:val="0"/>
      <w:marRight w:val="0"/>
      <w:marTop w:val="0"/>
      <w:marBottom w:val="0"/>
      <w:divBdr>
        <w:top w:val="none" w:sz="0" w:space="0" w:color="auto"/>
        <w:left w:val="none" w:sz="0" w:space="0" w:color="auto"/>
        <w:bottom w:val="none" w:sz="0" w:space="0" w:color="auto"/>
        <w:right w:val="none" w:sz="0" w:space="0" w:color="auto"/>
      </w:divBdr>
    </w:div>
    <w:div w:id="1588540710">
      <w:bodyDiv w:val="1"/>
      <w:marLeft w:val="0"/>
      <w:marRight w:val="0"/>
      <w:marTop w:val="0"/>
      <w:marBottom w:val="0"/>
      <w:divBdr>
        <w:top w:val="none" w:sz="0" w:space="0" w:color="auto"/>
        <w:left w:val="none" w:sz="0" w:space="0" w:color="auto"/>
        <w:bottom w:val="none" w:sz="0" w:space="0" w:color="auto"/>
        <w:right w:val="none" w:sz="0" w:space="0" w:color="auto"/>
      </w:divBdr>
    </w:div>
    <w:div w:id="1821725816">
      <w:bodyDiv w:val="1"/>
      <w:marLeft w:val="0"/>
      <w:marRight w:val="0"/>
      <w:marTop w:val="0"/>
      <w:marBottom w:val="0"/>
      <w:divBdr>
        <w:top w:val="none" w:sz="0" w:space="0" w:color="auto"/>
        <w:left w:val="none" w:sz="0" w:space="0" w:color="auto"/>
        <w:bottom w:val="none" w:sz="0" w:space="0" w:color="auto"/>
        <w:right w:val="none" w:sz="0" w:space="0" w:color="auto"/>
      </w:divBdr>
    </w:div>
    <w:div w:id="212214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Hua</b:Tag>
    <b:SourceType>JournalArticle</b:SourceType>
    <b:Guid>{2A00BDF8-AA1C-40CD-9531-C63CFF6C1CEC}</b:Guid>
    <b:Author>
      <b:Author>
        <b:NameList>
          <b:Person>
            <b:Last>Huang</b:Last>
            <b:First>Z.,</b:First>
            <b:Middle>Li, X., Wang, L., &amp; Shao, Z. (2016). Changes in the intestinal bacterial community during the growth of white shrimp, L itopenaeus vannamei. Aquaculture Research, 47(6), 1737-1746.</b:Middle>
          </b:Person>
        </b:NameList>
      </b:Author>
    </b:Author>
    <b:RefOrder>1</b:RefOrder>
  </b:Source>
  <b:Source>
    <b:Tag>Hua1</b:Tag>
    <b:SourceType>JournalArticle</b:SourceType>
    <b:Guid>{87BAAB26-BC7E-46D6-8569-34BD84F11C7B}</b:Guid>
    <b:Author>
      <b:Author>
        <b:NameList>
          <b:Person>
            <b:Last>Huang</b:Last>
            <b:First>Z.,</b:First>
            <b:Middle>Li, X., Wang, L., &amp; Shao, Z. (2016). Changes in the intestinal bacterial community during the growth of white shrimp, L itopenaeus vannamei. Aquaculture Research, 47(6), 1737-1746.</b:Middle>
          </b:Person>
        </b:NameList>
      </b:Author>
    </b:Author>
    <b:RefOrder>2</b:RefOrder>
  </b:Source>
  <b:Source>
    <b:Tag>Ouj</b:Tag>
    <b:SourceType>JournalArticle</b:SourceType>
    <b:Guid>{BA5ECDA2-DBEE-4C38-9709-E4703CBCB504}</b:Guid>
    <b:Author>
      <b:Author>
        <b:NameList>
          <b:Person>
            <b:Last>Oujifard</b:Last>
            <b:First>A.,</b:First>
            <b:Middle>Seyfabadi, J., Abedian Kenari, A., &amp; Rezaei, M. (2015). Growth response and tail-muscle fatty acid quality of Pacific white shrimp, Litopenaeus vannamei (Boone) fed with diets containing different levels of rice protein concentrate. Iranian</b:Middle>
          </b:Person>
        </b:NameList>
      </b:Author>
    </b:Author>
    <b:RefOrder>3</b:RefOrder>
  </b:Source>
</b:Sources>
</file>

<file path=customXml/itemProps1.xml><?xml version="1.0" encoding="utf-8"?>
<ds:datastoreItem xmlns:ds="http://schemas.openxmlformats.org/officeDocument/2006/customXml" ds:itemID="{890F207D-0A28-48B0-B50E-8C9C312B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9633</Words>
  <Characters>54909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 GP 005</cp:lastModifiedBy>
  <cp:revision>6</cp:revision>
  <dcterms:created xsi:type="dcterms:W3CDTF">2025-06-23T16:34:00Z</dcterms:created>
  <dcterms:modified xsi:type="dcterms:W3CDTF">2025-06-25T10:58:00Z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d7b13133-358a-322b-8d00-e67bb7feba66</vt:lpwstr>
  </property>
  <property fmtid="{D5CDD505-2E9C-101B-9397-08002B2CF9AE}" pid="24" name="Mendeley Citation Style_1">
    <vt:lpwstr>http://www.zotero.org/styles/ieee</vt:lpwstr>
  </property>
</Properties>
</file>