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F912" w14:textId="77777777" w:rsidR="008E0086" w:rsidRPr="008E0086" w:rsidRDefault="008E0086" w:rsidP="008E0086">
      <w:pPr>
        <w:spacing w:before="67" w:line="360" w:lineRule="auto"/>
        <w:jc w:val="center"/>
        <w:rPr>
          <w:b/>
          <w:bCs/>
          <w:i/>
          <w:iCs/>
          <w:color w:val="001F5F"/>
          <w:sz w:val="32"/>
          <w:szCs w:val="32"/>
          <w:u w:val="single"/>
        </w:rPr>
      </w:pPr>
      <w:r w:rsidRPr="008E0086">
        <w:rPr>
          <w:b/>
          <w:bCs/>
          <w:i/>
          <w:iCs/>
          <w:color w:val="001F5F"/>
          <w:sz w:val="32"/>
          <w:szCs w:val="32"/>
          <w:u w:val="single"/>
        </w:rPr>
        <w:t>Original Research Article</w:t>
      </w:r>
    </w:p>
    <w:p w14:paraId="3C9F10A6" w14:textId="77777777" w:rsidR="003E6E07" w:rsidRDefault="003E6E07" w:rsidP="006D20D5">
      <w:pPr>
        <w:spacing w:before="67" w:line="360" w:lineRule="auto"/>
        <w:jc w:val="center"/>
        <w:rPr>
          <w:b/>
          <w:color w:val="001F5F"/>
          <w:sz w:val="32"/>
          <w:szCs w:val="32"/>
        </w:rPr>
      </w:pPr>
      <w:r>
        <w:rPr>
          <w:b/>
          <w:color w:val="001F5F"/>
          <w:sz w:val="32"/>
          <w:szCs w:val="32"/>
        </w:rPr>
        <w:t xml:space="preserve">Comparative efficacy of </w:t>
      </w:r>
      <w:r w:rsidRPr="008156FA">
        <w:rPr>
          <w:b/>
          <w:color w:val="001F5F"/>
          <w:sz w:val="32"/>
          <w:szCs w:val="32"/>
        </w:rPr>
        <w:t>selected chemicals and bio</w:t>
      </w:r>
      <w:r>
        <w:rPr>
          <w:b/>
          <w:color w:val="001F5F"/>
          <w:sz w:val="32"/>
          <w:szCs w:val="32"/>
        </w:rPr>
        <w:t>-</w:t>
      </w:r>
      <w:r w:rsidRPr="008156FA">
        <w:rPr>
          <w:b/>
          <w:color w:val="001F5F"/>
          <w:sz w:val="32"/>
          <w:szCs w:val="32"/>
        </w:rPr>
        <w:t>pesticides against shoot and fruit borer</w:t>
      </w:r>
      <w:r w:rsidR="00742470">
        <w:rPr>
          <w:b/>
          <w:color w:val="001F5F"/>
          <w:sz w:val="32"/>
          <w:szCs w:val="32"/>
        </w:rPr>
        <w:t xml:space="preserve">, </w:t>
      </w:r>
      <w:proofErr w:type="spellStart"/>
      <w:r w:rsidRPr="008156FA">
        <w:rPr>
          <w:b/>
          <w:i/>
          <w:iCs/>
          <w:color w:val="001F5F"/>
          <w:sz w:val="32"/>
          <w:szCs w:val="32"/>
        </w:rPr>
        <w:t>Leucinodes</w:t>
      </w:r>
      <w:proofErr w:type="spellEnd"/>
      <w:r>
        <w:rPr>
          <w:b/>
          <w:i/>
          <w:iCs/>
          <w:color w:val="001F5F"/>
          <w:sz w:val="32"/>
          <w:szCs w:val="32"/>
        </w:rPr>
        <w:t xml:space="preserve"> </w:t>
      </w:r>
      <w:proofErr w:type="spellStart"/>
      <w:r w:rsidRPr="008156FA">
        <w:rPr>
          <w:b/>
          <w:i/>
          <w:iCs/>
          <w:color w:val="001F5F"/>
          <w:sz w:val="32"/>
          <w:szCs w:val="32"/>
        </w:rPr>
        <w:t>orbonalis</w:t>
      </w:r>
      <w:proofErr w:type="spellEnd"/>
      <w:r>
        <w:rPr>
          <w:b/>
          <w:i/>
          <w:iCs/>
          <w:color w:val="001F5F"/>
          <w:sz w:val="32"/>
          <w:szCs w:val="32"/>
        </w:rPr>
        <w:t xml:space="preserve"> </w:t>
      </w:r>
      <w:r w:rsidR="00742470" w:rsidRPr="00742470">
        <w:rPr>
          <w:b/>
          <w:color w:val="001F5F"/>
          <w:sz w:val="32"/>
          <w:szCs w:val="32"/>
        </w:rPr>
        <w:t>(</w:t>
      </w:r>
      <w:proofErr w:type="spellStart"/>
      <w:r w:rsidR="00742470">
        <w:rPr>
          <w:b/>
          <w:color w:val="001F5F"/>
          <w:sz w:val="32"/>
          <w:szCs w:val="32"/>
        </w:rPr>
        <w:t>Guenee</w:t>
      </w:r>
      <w:proofErr w:type="spellEnd"/>
      <w:r w:rsidR="00742470">
        <w:rPr>
          <w:b/>
          <w:color w:val="001F5F"/>
          <w:sz w:val="32"/>
          <w:szCs w:val="32"/>
        </w:rPr>
        <w:t>)</w:t>
      </w:r>
      <w:r>
        <w:rPr>
          <w:b/>
          <w:color w:val="001F5F"/>
          <w:sz w:val="32"/>
          <w:szCs w:val="32"/>
        </w:rPr>
        <w:t xml:space="preserve"> </w:t>
      </w:r>
      <w:r w:rsidRPr="008156FA">
        <w:rPr>
          <w:b/>
          <w:color w:val="001F5F"/>
          <w:sz w:val="32"/>
          <w:szCs w:val="32"/>
        </w:rPr>
        <w:t>on brinjal</w:t>
      </w:r>
      <w:r w:rsidR="00742470">
        <w:rPr>
          <w:b/>
          <w:color w:val="001F5F"/>
          <w:sz w:val="32"/>
          <w:szCs w:val="32"/>
        </w:rPr>
        <w:t>,</w:t>
      </w:r>
      <w:r w:rsidRPr="008156FA">
        <w:rPr>
          <w:b/>
          <w:color w:val="001F5F"/>
          <w:sz w:val="32"/>
          <w:szCs w:val="32"/>
        </w:rPr>
        <w:t xml:space="preserve"> </w:t>
      </w:r>
      <w:r w:rsidRPr="008156FA">
        <w:rPr>
          <w:b/>
          <w:i/>
          <w:iCs/>
          <w:color w:val="001F5F"/>
          <w:sz w:val="32"/>
          <w:szCs w:val="32"/>
        </w:rPr>
        <w:t>Solanum</w:t>
      </w:r>
      <w:r>
        <w:rPr>
          <w:b/>
          <w:i/>
          <w:iCs/>
          <w:color w:val="001F5F"/>
          <w:sz w:val="32"/>
          <w:szCs w:val="32"/>
        </w:rPr>
        <w:t xml:space="preserve"> </w:t>
      </w:r>
      <w:r w:rsidRPr="008156FA">
        <w:rPr>
          <w:b/>
          <w:i/>
          <w:iCs/>
          <w:color w:val="001F5F"/>
          <w:sz w:val="32"/>
          <w:szCs w:val="32"/>
        </w:rPr>
        <w:t>melongena</w:t>
      </w:r>
      <w:r w:rsidRPr="008156FA">
        <w:rPr>
          <w:b/>
          <w:color w:val="001F5F"/>
          <w:sz w:val="32"/>
          <w:szCs w:val="32"/>
        </w:rPr>
        <w:t xml:space="preserve"> </w:t>
      </w:r>
      <w:r w:rsidR="00742470">
        <w:rPr>
          <w:b/>
          <w:color w:val="001F5F"/>
          <w:sz w:val="32"/>
          <w:szCs w:val="32"/>
        </w:rPr>
        <w:t>(</w:t>
      </w:r>
      <w:r w:rsidRPr="008156FA">
        <w:rPr>
          <w:b/>
          <w:color w:val="001F5F"/>
          <w:sz w:val="32"/>
          <w:szCs w:val="32"/>
        </w:rPr>
        <w:t>L</w:t>
      </w:r>
      <w:r w:rsidR="00AA10D8">
        <w:rPr>
          <w:b/>
          <w:color w:val="001F5F"/>
          <w:sz w:val="32"/>
          <w:szCs w:val="32"/>
        </w:rPr>
        <w:t>.)</w:t>
      </w:r>
    </w:p>
    <w:p w14:paraId="519DE3A4" w14:textId="113E29E5" w:rsidR="005B1BDA" w:rsidRDefault="005B1BDA" w:rsidP="006D20D5">
      <w:pPr>
        <w:adjustRightInd w:val="0"/>
        <w:spacing w:line="360" w:lineRule="auto"/>
        <w:jc w:val="center"/>
        <w:rPr>
          <w:sz w:val="24"/>
          <w:szCs w:val="24"/>
        </w:rPr>
      </w:pPr>
    </w:p>
    <w:p w14:paraId="3AB631F8" w14:textId="77777777" w:rsidR="008639C1" w:rsidRDefault="008639C1" w:rsidP="006D20D5">
      <w:pPr>
        <w:adjustRightInd w:val="0"/>
        <w:spacing w:line="360" w:lineRule="auto"/>
        <w:jc w:val="center"/>
        <w:rPr>
          <w:sz w:val="24"/>
          <w:szCs w:val="24"/>
        </w:rPr>
      </w:pPr>
    </w:p>
    <w:p w14:paraId="7AA7DD71" w14:textId="77777777" w:rsidR="001451BC" w:rsidRPr="003073CB" w:rsidRDefault="001451BC" w:rsidP="008639C1">
      <w:pPr>
        <w:pBdr>
          <w:bottom w:val="single" w:sz="4" w:space="1" w:color="auto"/>
        </w:pBdr>
        <w:adjustRightInd w:val="0"/>
        <w:spacing w:line="360" w:lineRule="auto"/>
        <w:jc w:val="center"/>
        <w:rPr>
          <w:rFonts w:eastAsiaTheme="minorHAnsi"/>
          <w:b/>
          <w:bCs/>
          <w:color w:val="000000"/>
          <w:sz w:val="24"/>
          <w:szCs w:val="24"/>
          <w:lang w:bidi="mr-IN"/>
        </w:rPr>
      </w:pPr>
      <w:r w:rsidRPr="003073CB">
        <w:rPr>
          <w:b/>
          <w:bCs/>
          <w:sz w:val="24"/>
          <w:szCs w:val="24"/>
        </w:rPr>
        <w:t>ABSTRACT</w:t>
      </w:r>
    </w:p>
    <w:p w14:paraId="4727FA6A" w14:textId="35558A1C" w:rsidR="00D4035A" w:rsidRPr="00D4035A" w:rsidRDefault="00D4035A" w:rsidP="00D4035A">
      <w:pPr>
        <w:spacing w:before="67" w:line="360" w:lineRule="auto"/>
        <w:jc w:val="both"/>
        <w:rPr>
          <w:sz w:val="24"/>
          <w:szCs w:val="24"/>
        </w:rPr>
      </w:pPr>
      <w:r w:rsidRPr="00055912">
        <w:rPr>
          <w:highlight w:val="yellow"/>
        </w:rPr>
        <w:t xml:space="preserve">The present study was carried out during the </w:t>
      </w:r>
      <w:r w:rsidRPr="00055912">
        <w:rPr>
          <w:i/>
          <w:iCs/>
          <w:highlight w:val="yellow"/>
        </w:rPr>
        <w:t>Kharif</w:t>
      </w:r>
      <w:r w:rsidRPr="00055912">
        <w:rPr>
          <w:highlight w:val="yellow"/>
        </w:rPr>
        <w:t xml:space="preserve"> season of 2024 at the research plot of the Department of Entomology, Central Research Farm (CRF), Sam Higginbottom University of Agriculture, Technology and Sciences, Prayagraj. The experiment followed a Randomized Block Design (RBD) with three replications and included eight treatments aimed at managing the brinjal shoot and fruit borer (</w:t>
      </w:r>
      <w:proofErr w:type="spellStart"/>
      <w:r w:rsidRPr="00055912">
        <w:rPr>
          <w:rStyle w:val="Emphasis"/>
          <w:rFonts w:eastAsiaTheme="majorEastAsia"/>
          <w:highlight w:val="yellow"/>
        </w:rPr>
        <w:t>Leucinodes</w:t>
      </w:r>
      <w:proofErr w:type="spellEnd"/>
      <w:r w:rsidRPr="00055912">
        <w:rPr>
          <w:rStyle w:val="Emphasis"/>
          <w:rFonts w:eastAsiaTheme="majorEastAsia"/>
          <w:highlight w:val="yellow"/>
        </w:rPr>
        <w:t xml:space="preserve"> </w:t>
      </w:r>
      <w:proofErr w:type="spellStart"/>
      <w:r w:rsidRPr="00055912">
        <w:rPr>
          <w:rStyle w:val="Emphasis"/>
          <w:rFonts w:eastAsiaTheme="majorEastAsia"/>
          <w:highlight w:val="yellow"/>
        </w:rPr>
        <w:t>orbonalis</w:t>
      </w:r>
      <w:proofErr w:type="spellEnd"/>
      <w:r w:rsidRPr="00055912">
        <w:rPr>
          <w:highlight w:val="yellow"/>
        </w:rPr>
        <w:t xml:space="preserve"> </w:t>
      </w:r>
      <w:proofErr w:type="spellStart"/>
      <w:r w:rsidRPr="00055912">
        <w:rPr>
          <w:highlight w:val="yellow"/>
        </w:rPr>
        <w:t>Guenée</w:t>
      </w:r>
      <w:proofErr w:type="spellEnd"/>
      <w:r w:rsidRPr="00055912">
        <w:rPr>
          <w:highlight w:val="yellow"/>
        </w:rPr>
        <w:t xml:space="preserve">). Data were collected on the 3, 7 and 14 days following the application of the treatments. The cumulative mean data revealed that all chemical treatments were significantly more effective than the untreated control in reducing infestation. Among the tested treatments, </w:t>
      </w:r>
      <w:r w:rsidRPr="00055912">
        <w:rPr>
          <w:rStyle w:val="Strong"/>
          <w:b w:val="0"/>
          <w:bCs w:val="0"/>
          <w:highlight w:val="yellow"/>
        </w:rPr>
        <w:t>Chlorantraniliprole</w:t>
      </w:r>
      <w:r w:rsidRPr="00055912">
        <w:rPr>
          <w:highlight w:val="yellow"/>
        </w:rPr>
        <w:t xml:space="preserve"> recorded the lowest percentage of shoot infestation, followed closely by </w:t>
      </w:r>
      <w:proofErr w:type="spellStart"/>
      <w:r w:rsidRPr="00055912">
        <w:rPr>
          <w:rStyle w:val="Strong"/>
          <w:b w:val="0"/>
          <w:bCs w:val="0"/>
          <w:i/>
          <w:iCs/>
          <w:highlight w:val="yellow"/>
        </w:rPr>
        <w:t>Emamectin</w:t>
      </w:r>
      <w:proofErr w:type="spellEnd"/>
      <w:r w:rsidRPr="00055912">
        <w:rPr>
          <w:rStyle w:val="Strong"/>
          <w:b w:val="0"/>
          <w:bCs w:val="0"/>
          <w:highlight w:val="yellow"/>
        </w:rPr>
        <w:t xml:space="preserve"> </w:t>
      </w:r>
      <w:r w:rsidRPr="00055912">
        <w:rPr>
          <w:rStyle w:val="Strong"/>
          <w:b w:val="0"/>
          <w:bCs w:val="0"/>
          <w:i/>
          <w:iCs/>
          <w:highlight w:val="yellow"/>
        </w:rPr>
        <w:t>benzoate</w:t>
      </w:r>
      <w:r w:rsidRPr="00055912">
        <w:rPr>
          <w:rStyle w:val="Strong"/>
          <w:b w:val="0"/>
          <w:bCs w:val="0"/>
          <w:highlight w:val="yellow"/>
        </w:rPr>
        <w:t xml:space="preserve"> 5% SG</w:t>
      </w:r>
      <w:r w:rsidRPr="00055912">
        <w:rPr>
          <w:highlight w:val="yellow"/>
        </w:rPr>
        <w:t xml:space="preserve"> and </w:t>
      </w:r>
      <w:r w:rsidRPr="00055912">
        <w:rPr>
          <w:rStyle w:val="Strong"/>
          <w:b w:val="0"/>
          <w:bCs w:val="0"/>
          <w:highlight w:val="yellow"/>
        </w:rPr>
        <w:t>Spinosad 45% SC</w:t>
      </w:r>
      <w:r w:rsidRPr="00055912">
        <w:rPr>
          <w:highlight w:val="yellow"/>
        </w:rPr>
        <w:t xml:space="preserve">. </w:t>
      </w:r>
      <w:r w:rsidRPr="00055912">
        <w:rPr>
          <w:rStyle w:val="Strong"/>
          <w:b w:val="0"/>
          <w:bCs w:val="0"/>
          <w:highlight w:val="yellow"/>
        </w:rPr>
        <w:t>Cypermethrin 25% EC</w:t>
      </w:r>
      <w:r w:rsidRPr="00055912">
        <w:rPr>
          <w:highlight w:val="yellow"/>
        </w:rPr>
        <w:t xml:space="preserve"> and </w:t>
      </w:r>
      <w:r w:rsidRPr="00055912">
        <w:rPr>
          <w:rStyle w:val="Strong"/>
          <w:b w:val="0"/>
          <w:bCs w:val="0"/>
          <w:i/>
          <w:iCs/>
          <w:highlight w:val="yellow"/>
        </w:rPr>
        <w:t>Beauveria</w:t>
      </w:r>
      <w:r w:rsidRPr="00055912">
        <w:rPr>
          <w:rStyle w:val="Strong"/>
          <w:b w:val="0"/>
          <w:bCs w:val="0"/>
          <w:highlight w:val="yellow"/>
        </w:rPr>
        <w:t xml:space="preserve"> </w:t>
      </w:r>
      <w:r w:rsidRPr="00055912">
        <w:rPr>
          <w:rStyle w:val="Strong"/>
          <w:b w:val="0"/>
          <w:bCs w:val="0"/>
          <w:i/>
          <w:iCs/>
          <w:highlight w:val="yellow"/>
        </w:rPr>
        <w:t>bassiana</w:t>
      </w:r>
      <w:r w:rsidRPr="00055912">
        <w:rPr>
          <w:highlight w:val="yellow"/>
        </w:rPr>
        <w:t xml:space="preserve"> showed similar levels of efficacy and were statistically at par. Meanwhile, </w:t>
      </w:r>
      <w:r w:rsidRPr="00055912">
        <w:rPr>
          <w:rStyle w:val="Strong"/>
          <w:b w:val="0"/>
          <w:bCs w:val="0"/>
          <w:highlight w:val="yellow"/>
        </w:rPr>
        <w:t>NSKE 5%</w:t>
      </w:r>
      <w:r w:rsidRPr="00055912">
        <w:rPr>
          <w:highlight w:val="yellow"/>
        </w:rPr>
        <w:t xml:space="preserve"> and </w:t>
      </w:r>
      <w:r w:rsidRPr="00055912">
        <w:rPr>
          <w:rStyle w:val="Strong"/>
          <w:b w:val="0"/>
          <w:bCs w:val="0"/>
          <w:highlight w:val="yellow"/>
        </w:rPr>
        <w:t>Neem oil 2%</w:t>
      </w:r>
      <w:r w:rsidRPr="00055912">
        <w:rPr>
          <w:highlight w:val="yellow"/>
        </w:rPr>
        <w:t xml:space="preserve"> were the least effective among the treatments but still performed significantly better than the control. In terms of economic analysis, </w:t>
      </w:r>
      <w:r w:rsidRPr="00055912">
        <w:rPr>
          <w:rStyle w:val="Strong"/>
          <w:b w:val="0"/>
          <w:bCs w:val="0"/>
          <w:highlight w:val="yellow"/>
        </w:rPr>
        <w:t>Chlorantraniliprole</w:t>
      </w:r>
      <w:r w:rsidRPr="00055912">
        <w:rPr>
          <w:highlight w:val="yellow"/>
        </w:rPr>
        <w:t xml:space="preserve"> also provided the highest benefit-cost ratio (B:C Ratio) of </w:t>
      </w:r>
      <w:r w:rsidRPr="00055912">
        <w:rPr>
          <w:rStyle w:val="Strong"/>
          <w:b w:val="0"/>
          <w:bCs w:val="0"/>
          <w:highlight w:val="yellow"/>
        </w:rPr>
        <w:t>1:8.89</w:t>
      </w:r>
      <w:r w:rsidRPr="00055912">
        <w:rPr>
          <w:highlight w:val="yellow"/>
        </w:rPr>
        <w:t xml:space="preserve">, followed by </w:t>
      </w:r>
      <w:proofErr w:type="spellStart"/>
      <w:r w:rsidRPr="00055912">
        <w:rPr>
          <w:rStyle w:val="Strong"/>
          <w:b w:val="0"/>
          <w:bCs w:val="0"/>
          <w:i/>
          <w:iCs/>
          <w:highlight w:val="yellow"/>
        </w:rPr>
        <w:t>Emamectin</w:t>
      </w:r>
      <w:proofErr w:type="spellEnd"/>
      <w:r w:rsidRPr="00055912">
        <w:rPr>
          <w:rStyle w:val="Strong"/>
          <w:b w:val="0"/>
          <w:bCs w:val="0"/>
          <w:highlight w:val="yellow"/>
        </w:rPr>
        <w:t xml:space="preserve"> </w:t>
      </w:r>
      <w:r w:rsidRPr="00055912">
        <w:rPr>
          <w:rStyle w:val="Strong"/>
          <w:b w:val="0"/>
          <w:bCs w:val="0"/>
          <w:i/>
          <w:iCs/>
          <w:highlight w:val="yellow"/>
        </w:rPr>
        <w:t>benzoate</w:t>
      </w:r>
      <w:r w:rsidRPr="00055912">
        <w:rPr>
          <w:rStyle w:val="Strong"/>
          <w:b w:val="0"/>
          <w:bCs w:val="0"/>
          <w:highlight w:val="yellow"/>
        </w:rPr>
        <w:t xml:space="preserve"> 5% SG (1:7.81)</w:t>
      </w:r>
      <w:r w:rsidRPr="00055912">
        <w:rPr>
          <w:highlight w:val="yellow"/>
        </w:rPr>
        <w:t xml:space="preserve"> and </w:t>
      </w:r>
      <w:r w:rsidRPr="00055912">
        <w:rPr>
          <w:rStyle w:val="Strong"/>
          <w:b w:val="0"/>
          <w:bCs w:val="0"/>
          <w:highlight w:val="yellow"/>
        </w:rPr>
        <w:t>Spinosad 45% SC (1:7.80)</w:t>
      </w:r>
      <w:r w:rsidRPr="00055912">
        <w:rPr>
          <w:highlight w:val="yellow"/>
        </w:rPr>
        <w:t xml:space="preserve">. </w:t>
      </w:r>
      <w:r w:rsidRPr="00055912">
        <w:rPr>
          <w:rStyle w:val="Strong"/>
          <w:b w:val="0"/>
          <w:bCs w:val="0"/>
          <w:highlight w:val="yellow"/>
        </w:rPr>
        <w:t>Cypermethrin 25% EC (1:6.49)</w:t>
      </w:r>
      <w:r w:rsidRPr="00055912">
        <w:rPr>
          <w:highlight w:val="yellow"/>
        </w:rPr>
        <w:t xml:space="preserve"> and </w:t>
      </w:r>
      <w:r w:rsidRPr="00055912">
        <w:rPr>
          <w:rStyle w:val="Strong"/>
          <w:b w:val="0"/>
          <w:bCs w:val="0"/>
          <w:i/>
          <w:iCs/>
          <w:highlight w:val="yellow"/>
        </w:rPr>
        <w:t>Beauveria</w:t>
      </w:r>
      <w:r w:rsidRPr="00055912">
        <w:rPr>
          <w:rStyle w:val="Strong"/>
          <w:b w:val="0"/>
          <w:bCs w:val="0"/>
          <w:highlight w:val="yellow"/>
        </w:rPr>
        <w:t xml:space="preserve"> </w:t>
      </w:r>
      <w:r w:rsidRPr="00055912">
        <w:rPr>
          <w:rStyle w:val="Strong"/>
          <w:b w:val="0"/>
          <w:bCs w:val="0"/>
          <w:i/>
          <w:iCs/>
          <w:highlight w:val="yellow"/>
        </w:rPr>
        <w:t>bassiana</w:t>
      </w:r>
      <w:r w:rsidRPr="00055912">
        <w:rPr>
          <w:rStyle w:val="Strong"/>
          <w:b w:val="0"/>
          <w:bCs w:val="0"/>
          <w:highlight w:val="yellow"/>
        </w:rPr>
        <w:t xml:space="preserve"> (1:5.89)</w:t>
      </w:r>
      <w:r w:rsidRPr="00055912">
        <w:rPr>
          <w:highlight w:val="yellow"/>
        </w:rPr>
        <w:t xml:space="preserve"> again showed similar performance, while </w:t>
      </w:r>
      <w:r w:rsidRPr="00055912">
        <w:rPr>
          <w:rStyle w:val="Strong"/>
          <w:b w:val="0"/>
          <w:bCs w:val="0"/>
          <w:highlight w:val="yellow"/>
        </w:rPr>
        <w:t>NSKE 5% (1:4.89)</w:t>
      </w:r>
      <w:r w:rsidRPr="00055912">
        <w:rPr>
          <w:highlight w:val="yellow"/>
        </w:rPr>
        <w:t xml:space="preserve"> and </w:t>
      </w:r>
      <w:r w:rsidRPr="00055912">
        <w:rPr>
          <w:rStyle w:val="Strong"/>
          <w:b w:val="0"/>
          <w:bCs w:val="0"/>
          <w:highlight w:val="yellow"/>
        </w:rPr>
        <w:t>Neem oil 2% (1:4.45)</w:t>
      </w:r>
      <w:r w:rsidRPr="00055912">
        <w:rPr>
          <w:highlight w:val="yellow"/>
        </w:rPr>
        <w:t xml:space="preserve"> were lower, but still outperformed the control (</w:t>
      </w:r>
      <w:r w:rsidRPr="00055912">
        <w:rPr>
          <w:rStyle w:val="Strong"/>
          <w:b w:val="0"/>
          <w:bCs w:val="0"/>
          <w:highlight w:val="yellow"/>
        </w:rPr>
        <w:t>1:3.86</w:t>
      </w:r>
      <w:r w:rsidRPr="00055912">
        <w:rPr>
          <w:highlight w:val="yellow"/>
        </w:rPr>
        <w:t>).</w:t>
      </w:r>
    </w:p>
    <w:p w14:paraId="06181F59" w14:textId="77777777" w:rsidR="00F51307" w:rsidRPr="00626A48" w:rsidRDefault="007038D1" w:rsidP="000544DE">
      <w:pPr>
        <w:pStyle w:val="BodyText"/>
        <w:spacing w:line="360" w:lineRule="auto"/>
        <w:jc w:val="both"/>
      </w:pPr>
      <w:r w:rsidRPr="007038D1">
        <w:rPr>
          <w:b/>
          <w:bCs/>
        </w:rPr>
        <w:t>Keywords</w:t>
      </w:r>
      <w:r>
        <w:rPr>
          <w:b/>
          <w:bCs/>
        </w:rPr>
        <w:t xml:space="preserve">: </w:t>
      </w:r>
      <w:r w:rsidR="002D3C77" w:rsidRPr="00F72E20">
        <w:t>Brinjal cro</w:t>
      </w:r>
      <w:r w:rsidR="002D3C77">
        <w:t>p</w:t>
      </w:r>
      <w:r w:rsidR="002D3C77" w:rsidRPr="00F72E20">
        <w:t xml:space="preserve">, </w:t>
      </w:r>
      <w:proofErr w:type="spellStart"/>
      <w:r w:rsidR="002D3C77" w:rsidRPr="00F72E20">
        <w:rPr>
          <w:i/>
          <w:iCs/>
        </w:rPr>
        <w:t>Leucinodes</w:t>
      </w:r>
      <w:proofErr w:type="spellEnd"/>
      <w:r w:rsidR="002D3C77" w:rsidRPr="00F72E20">
        <w:rPr>
          <w:i/>
          <w:iCs/>
        </w:rPr>
        <w:t xml:space="preserve"> </w:t>
      </w:r>
      <w:proofErr w:type="spellStart"/>
      <w:r w:rsidR="002D3C77" w:rsidRPr="00F72E20">
        <w:rPr>
          <w:i/>
          <w:iCs/>
        </w:rPr>
        <w:t>orbonalis</w:t>
      </w:r>
      <w:proofErr w:type="spellEnd"/>
      <w:r w:rsidR="002D3C77" w:rsidRPr="00F72E20">
        <w:t>, chemical</w:t>
      </w:r>
      <w:r w:rsidR="002D3C77">
        <w:t xml:space="preserve"> control</w:t>
      </w:r>
      <w:r w:rsidR="002D3C77" w:rsidRPr="00F72E20">
        <w:t>, cypermethrin 25</w:t>
      </w:r>
      <w:r w:rsidR="002D3C77">
        <w:t>%</w:t>
      </w:r>
      <w:r w:rsidR="002D3C77" w:rsidRPr="00F72E20">
        <w:t xml:space="preserve"> EC, neem oil, </w:t>
      </w:r>
      <w:proofErr w:type="spellStart"/>
      <w:r w:rsidR="002D3C77" w:rsidRPr="00F72E20">
        <w:t>chlorantraniprole</w:t>
      </w:r>
      <w:proofErr w:type="spellEnd"/>
      <w:r w:rsidR="002D3C77">
        <w:t xml:space="preserve"> </w:t>
      </w:r>
    </w:p>
    <w:p w14:paraId="66773A00" w14:textId="77777777" w:rsidR="00F51307" w:rsidRPr="003073CB" w:rsidRDefault="00F51307" w:rsidP="000544DE">
      <w:pPr>
        <w:pStyle w:val="ListParagraph"/>
        <w:numPr>
          <w:ilvl w:val="0"/>
          <w:numId w:val="2"/>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INTRODUCTION</w:t>
      </w:r>
    </w:p>
    <w:p w14:paraId="42538775" w14:textId="77777777" w:rsidR="00A16552" w:rsidRPr="00055912" w:rsidRDefault="00A16552" w:rsidP="00A16552">
      <w:pPr>
        <w:pStyle w:val="NormalWeb"/>
        <w:spacing w:line="360" w:lineRule="auto"/>
        <w:jc w:val="both"/>
      </w:pPr>
      <w:r w:rsidRPr="00055912">
        <w:rPr>
          <w:highlight w:val="yellow"/>
        </w:rPr>
        <w:t xml:space="preserve">Brinjal, commonly referred to as eggplant or aubergine, is a vegetable crop classified under the </w:t>
      </w:r>
      <w:r w:rsidRPr="00055912">
        <w:rPr>
          <w:rStyle w:val="Emphasis"/>
          <w:highlight w:val="yellow"/>
        </w:rPr>
        <w:t>Solanaceae</w:t>
      </w:r>
      <w:r w:rsidRPr="00055912">
        <w:rPr>
          <w:highlight w:val="yellow"/>
        </w:rPr>
        <w:t xml:space="preserve"> family and scientifically known as </w:t>
      </w:r>
      <w:r w:rsidRPr="00055912">
        <w:rPr>
          <w:rStyle w:val="Emphasis"/>
          <w:highlight w:val="yellow"/>
        </w:rPr>
        <w:t>Solanum melongena</w:t>
      </w:r>
      <w:r w:rsidRPr="00055912">
        <w:rPr>
          <w:highlight w:val="yellow"/>
        </w:rPr>
        <w:t xml:space="preserve"> L. It is believed to have originated in the Indo-Burma region and has been cultivated in India since ancient times. Among the various solanaceous vegetables, brinjal is one of the most widely grown and popular crops. It is a major annual vegetable cultivated across all three growing seasons and holds significant economic importance, particularly for small-scale and resource-poor </w:t>
      </w:r>
      <w:r w:rsidRPr="00055912">
        <w:rPr>
          <w:highlight w:val="yellow"/>
        </w:rPr>
        <w:lastRenderedPageBreak/>
        <w:t xml:space="preserve">farmers, as it serves as a valuable source of income. Brinjal is widely grown across several Indian states, with major cultivation taking place in Andhra Pradesh, Karnataka, West Bengal, Tamil Nadu, Maharashtra, Odisha, Uttar Pradesh, Bihar, and Rajasthan. Among these, </w:t>
      </w:r>
      <w:r w:rsidRPr="00055912">
        <w:rPr>
          <w:rStyle w:val="Strong"/>
          <w:b w:val="0"/>
          <w:bCs w:val="0"/>
          <w:highlight w:val="yellow"/>
        </w:rPr>
        <w:t>West</w:t>
      </w:r>
      <w:r w:rsidRPr="00055912">
        <w:rPr>
          <w:rStyle w:val="Strong"/>
          <w:highlight w:val="yellow"/>
        </w:rPr>
        <w:t xml:space="preserve"> </w:t>
      </w:r>
      <w:r w:rsidRPr="00055912">
        <w:rPr>
          <w:rStyle w:val="Strong"/>
          <w:b w:val="0"/>
          <w:bCs w:val="0"/>
          <w:highlight w:val="yellow"/>
        </w:rPr>
        <w:t>Bengal</w:t>
      </w:r>
      <w:r w:rsidRPr="00055912">
        <w:rPr>
          <w:highlight w:val="yellow"/>
        </w:rPr>
        <w:t xml:space="preserve"> leads in both area and production, with approximately </w:t>
      </w:r>
      <w:r w:rsidRPr="00055912">
        <w:rPr>
          <w:rStyle w:val="Strong"/>
          <w:b w:val="0"/>
          <w:bCs w:val="0"/>
          <w:highlight w:val="yellow"/>
        </w:rPr>
        <w:t>181.5 thousand hectares</w:t>
      </w:r>
      <w:r w:rsidRPr="00055912">
        <w:rPr>
          <w:b/>
          <w:bCs/>
          <w:highlight w:val="yellow"/>
        </w:rPr>
        <w:t xml:space="preserve"> </w:t>
      </w:r>
      <w:r w:rsidRPr="00055912">
        <w:rPr>
          <w:highlight w:val="yellow"/>
        </w:rPr>
        <w:t>under</w:t>
      </w:r>
      <w:r w:rsidRPr="00055912">
        <w:rPr>
          <w:b/>
          <w:bCs/>
          <w:highlight w:val="yellow"/>
        </w:rPr>
        <w:t xml:space="preserve"> </w:t>
      </w:r>
      <w:r w:rsidRPr="00055912">
        <w:rPr>
          <w:highlight w:val="yellow"/>
        </w:rPr>
        <w:t>cultivation and a total production of around</w:t>
      </w:r>
      <w:r w:rsidRPr="00055912">
        <w:rPr>
          <w:b/>
          <w:bCs/>
          <w:highlight w:val="yellow"/>
        </w:rPr>
        <w:t xml:space="preserve"> </w:t>
      </w:r>
      <w:r w:rsidRPr="00055912">
        <w:rPr>
          <w:rStyle w:val="Strong"/>
          <w:b w:val="0"/>
          <w:bCs w:val="0"/>
          <w:highlight w:val="yellow"/>
        </w:rPr>
        <w:t>2.88 million tonnes</w:t>
      </w:r>
      <w:r w:rsidRPr="00055912">
        <w:rPr>
          <w:b/>
          <w:bCs/>
          <w:highlight w:val="yellow"/>
        </w:rPr>
        <w:t xml:space="preserve">. </w:t>
      </w:r>
      <w:r w:rsidRPr="00055912">
        <w:rPr>
          <w:rStyle w:val="Strong"/>
          <w:b w:val="0"/>
          <w:bCs w:val="0"/>
          <w:highlight w:val="yellow"/>
        </w:rPr>
        <w:t>Karnataka</w:t>
      </w:r>
      <w:r w:rsidRPr="00055912">
        <w:rPr>
          <w:b/>
          <w:bCs/>
          <w:highlight w:val="yellow"/>
        </w:rPr>
        <w:t xml:space="preserve"> </w:t>
      </w:r>
      <w:r w:rsidRPr="00055912">
        <w:rPr>
          <w:highlight w:val="yellow"/>
        </w:rPr>
        <w:t xml:space="preserve">records the highest productivity, averaging </w:t>
      </w:r>
      <w:r w:rsidRPr="00055912">
        <w:rPr>
          <w:rStyle w:val="Strong"/>
          <w:b w:val="0"/>
          <w:bCs w:val="0"/>
          <w:highlight w:val="yellow"/>
        </w:rPr>
        <w:t>25.4 tonnes per hectare</w:t>
      </w:r>
      <w:r w:rsidRPr="00055912">
        <w:rPr>
          <w:b/>
          <w:bCs/>
          <w:highlight w:val="yellow"/>
        </w:rPr>
        <w:t xml:space="preserve">. </w:t>
      </w:r>
      <w:r w:rsidRPr="00055912">
        <w:rPr>
          <w:highlight w:val="yellow"/>
        </w:rPr>
        <w:t>In</w:t>
      </w:r>
      <w:r w:rsidRPr="00055912">
        <w:rPr>
          <w:b/>
          <w:bCs/>
          <w:highlight w:val="yellow"/>
        </w:rPr>
        <w:t xml:space="preserve"> </w:t>
      </w:r>
      <w:r w:rsidRPr="00055912">
        <w:rPr>
          <w:rStyle w:val="Strong"/>
          <w:b w:val="0"/>
          <w:bCs w:val="0"/>
          <w:highlight w:val="yellow"/>
        </w:rPr>
        <w:t>Uttar Pradesh</w:t>
      </w:r>
      <w:r w:rsidRPr="00055912">
        <w:rPr>
          <w:b/>
          <w:bCs/>
          <w:highlight w:val="yellow"/>
        </w:rPr>
        <w:t xml:space="preserve">, </w:t>
      </w:r>
      <w:r w:rsidRPr="00055912">
        <w:rPr>
          <w:highlight w:val="yellow"/>
        </w:rPr>
        <w:t xml:space="preserve">brinjal is cultivated over an area of about </w:t>
      </w:r>
      <w:r w:rsidRPr="00055912">
        <w:rPr>
          <w:rStyle w:val="Strong"/>
          <w:b w:val="0"/>
          <w:bCs w:val="0"/>
          <w:highlight w:val="yellow"/>
        </w:rPr>
        <w:t>3,430 hectares</w:t>
      </w:r>
      <w:r w:rsidRPr="00055912">
        <w:rPr>
          <w:b/>
          <w:bCs/>
          <w:highlight w:val="yellow"/>
        </w:rPr>
        <w:t xml:space="preserve">, </w:t>
      </w:r>
      <w:r w:rsidRPr="00055912">
        <w:rPr>
          <w:highlight w:val="yellow"/>
        </w:rPr>
        <w:t>producing around</w:t>
      </w:r>
      <w:r w:rsidRPr="00055912">
        <w:rPr>
          <w:b/>
          <w:bCs/>
          <w:highlight w:val="yellow"/>
        </w:rPr>
        <w:t xml:space="preserve"> </w:t>
      </w:r>
      <w:r w:rsidRPr="00055912">
        <w:rPr>
          <w:rStyle w:val="Strong"/>
          <w:b w:val="0"/>
          <w:bCs w:val="0"/>
          <w:highlight w:val="yellow"/>
        </w:rPr>
        <w:t>111.70 thousand</w:t>
      </w:r>
      <w:r w:rsidRPr="00055912">
        <w:rPr>
          <w:rStyle w:val="Strong"/>
          <w:highlight w:val="yellow"/>
        </w:rPr>
        <w:t xml:space="preserve"> </w:t>
      </w:r>
      <w:r w:rsidRPr="00494B25">
        <w:rPr>
          <w:rStyle w:val="Strong"/>
          <w:b w:val="0"/>
          <w:bCs w:val="0"/>
          <w:highlight w:val="yellow"/>
        </w:rPr>
        <w:t>tonnes</w:t>
      </w:r>
      <w:r w:rsidRPr="00494B25">
        <w:rPr>
          <w:highlight w:val="yellow"/>
        </w:rPr>
        <w:t xml:space="preserve">, with an average productivity of </w:t>
      </w:r>
      <w:r w:rsidRPr="00494B25">
        <w:rPr>
          <w:rStyle w:val="Strong"/>
          <w:b w:val="0"/>
          <w:bCs w:val="0"/>
          <w:highlight w:val="yellow"/>
        </w:rPr>
        <w:t>8 tonnes per hectare</w:t>
      </w:r>
      <w:r>
        <w:rPr>
          <w:b/>
          <w:bCs/>
        </w:rPr>
        <w:t xml:space="preserve"> </w:t>
      </w:r>
      <w:r w:rsidRPr="00C664CA">
        <w:rPr>
          <w:rFonts w:eastAsia="Calibri"/>
          <w:highlight w:val="yellow"/>
        </w:rPr>
        <w:t xml:space="preserve">(Sanjana </w:t>
      </w:r>
      <w:r w:rsidRPr="00C664CA">
        <w:rPr>
          <w:rFonts w:eastAsia="Calibri"/>
          <w:i/>
          <w:iCs/>
          <w:highlight w:val="yellow"/>
        </w:rPr>
        <w:t>et al.,</w:t>
      </w:r>
      <w:r w:rsidRPr="00C664CA">
        <w:rPr>
          <w:rFonts w:eastAsia="Calibri"/>
          <w:highlight w:val="yellow"/>
        </w:rPr>
        <w:t xml:space="preserve"> 2019).</w:t>
      </w:r>
    </w:p>
    <w:p w14:paraId="44A15521" w14:textId="77777777" w:rsidR="00A16552" w:rsidRDefault="00A16552" w:rsidP="00A16552">
      <w:pPr>
        <w:pStyle w:val="NormalWeb"/>
        <w:spacing w:line="360" w:lineRule="auto"/>
        <w:jc w:val="both"/>
      </w:pPr>
      <w:r w:rsidRPr="00494B25">
        <w:rPr>
          <w:highlight w:val="yellow"/>
        </w:rPr>
        <w:t xml:space="preserve">Brinjal, a member of the </w:t>
      </w:r>
      <w:r w:rsidRPr="00494B25">
        <w:rPr>
          <w:rStyle w:val="Emphasis"/>
          <w:rFonts w:eastAsiaTheme="majorEastAsia"/>
          <w:highlight w:val="yellow"/>
        </w:rPr>
        <w:t>Solanaceae</w:t>
      </w:r>
      <w:r w:rsidRPr="00494B25">
        <w:rPr>
          <w:highlight w:val="yellow"/>
        </w:rPr>
        <w:t xml:space="preserve"> family and the </w:t>
      </w:r>
      <w:r w:rsidRPr="00494B25">
        <w:rPr>
          <w:rStyle w:val="Emphasis"/>
          <w:rFonts w:eastAsiaTheme="majorEastAsia"/>
          <w:highlight w:val="yellow"/>
        </w:rPr>
        <w:t>Solanum</w:t>
      </w:r>
      <w:r w:rsidRPr="00494B25">
        <w:rPr>
          <w:highlight w:val="yellow"/>
        </w:rPr>
        <w:t xml:space="preserve"> genus, produces a fruit commonly used as a vegetable and is available year-round. The plant is an erect annual, often with spiny stems and large, coarsely lobed, fuzzy leaves measuring 10–20 cm in length and 5–10 cm in width. It typically grows to a height of 45 to 60 cm and bears fruits that vary in shape from long to oval, and in </w:t>
      </w:r>
      <w:proofErr w:type="spellStart"/>
      <w:r w:rsidRPr="00494B25">
        <w:rPr>
          <w:highlight w:val="yellow"/>
        </w:rPr>
        <w:t>color</w:t>
      </w:r>
      <w:proofErr w:type="spellEnd"/>
      <w:r w:rsidRPr="00494B25">
        <w:rPr>
          <w:highlight w:val="yellow"/>
        </w:rPr>
        <w:t xml:space="preserve"> from purple to green. The flowers are white to purple, featuring a five-lobed corolla and prominent yellow stamens. The fruit is a fleshy berry filled with numerous small, soft seeds. Brinjal is highly vulnerable to insect pests throughout its growth, from the nursery stage until harvest. It is known to be attacked by around 140 different insect species, with the </w:t>
      </w:r>
      <w:r w:rsidRPr="00494B25">
        <w:rPr>
          <w:rStyle w:val="Strong"/>
          <w:b w:val="0"/>
          <w:bCs w:val="0"/>
          <w:highlight w:val="yellow"/>
        </w:rPr>
        <w:t>brinjal</w:t>
      </w:r>
      <w:r w:rsidRPr="00494B25">
        <w:rPr>
          <w:rStyle w:val="Strong"/>
          <w:highlight w:val="yellow"/>
        </w:rPr>
        <w:t xml:space="preserve"> </w:t>
      </w:r>
      <w:r w:rsidRPr="00494B25">
        <w:rPr>
          <w:rStyle w:val="Strong"/>
          <w:b w:val="0"/>
          <w:bCs w:val="0"/>
          <w:highlight w:val="yellow"/>
        </w:rPr>
        <w:t>shoot and fruit borer</w:t>
      </w:r>
      <w:r w:rsidRPr="00494B25">
        <w:rPr>
          <w:highlight w:val="yellow"/>
        </w:rPr>
        <w:t xml:space="preserve"> (</w:t>
      </w:r>
      <w:proofErr w:type="spellStart"/>
      <w:r w:rsidRPr="00494B25">
        <w:rPr>
          <w:rStyle w:val="Emphasis"/>
          <w:rFonts w:eastAsiaTheme="majorEastAsia"/>
          <w:highlight w:val="yellow"/>
        </w:rPr>
        <w:t>Leucinodes</w:t>
      </w:r>
      <w:proofErr w:type="spellEnd"/>
      <w:r w:rsidRPr="00494B25">
        <w:rPr>
          <w:rStyle w:val="Emphasis"/>
          <w:rFonts w:eastAsiaTheme="majorEastAsia"/>
          <w:highlight w:val="yellow"/>
        </w:rPr>
        <w:t xml:space="preserve"> </w:t>
      </w:r>
      <w:proofErr w:type="spellStart"/>
      <w:r w:rsidRPr="00494B25">
        <w:rPr>
          <w:rStyle w:val="Emphasis"/>
          <w:rFonts w:eastAsiaTheme="majorEastAsia"/>
          <w:highlight w:val="yellow"/>
        </w:rPr>
        <w:t>orbonalis</w:t>
      </w:r>
      <w:proofErr w:type="spellEnd"/>
      <w:r w:rsidRPr="00494B25">
        <w:rPr>
          <w:highlight w:val="yellow"/>
        </w:rPr>
        <w:t xml:space="preserve"> Guen.) being the most damaging. Other major pests include the </w:t>
      </w:r>
      <w:r w:rsidRPr="00494B25">
        <w:rPr>
          <w:rStyle w:val="Strong"/>
          <w:b w:val="0"/>
          <w:bCs w:val="0"/>
          <w:highlight w:val="yellow"/>
        </w:rPr>
        <w:t>leaf hopper</w:t>
      </w:r>
      <w:r w:rsidRPr="00494B25">
        <w:rPr>
          <w:highlight w:val="yellow"/>
        </w:rPr>
        <w:t xml:space="preserve"> (</w:t>
      </w:r>
      <w:proofErr w:type="spellStart"/>
      <w:r w:rsidRPr="00494B25">
        <w:rPr>
          <w:rStyle w:val="Emphasis"/>
          <w:rFonts w:eastAsiaTheme="majorEastAsia"/>
          <w:highlight w:val="yellow"/>
        </w:rPr>
        <w:t>Amrasca</w:t>
      </w:r>
      <w:proofErr w:type="spellEnd"/>
      <w:r w:rsidRPr="00494B25">
        <w:rPr>
          <w:rStyle w:val="Emphasis"/>
          <w:rFonts w:eastAsiaTheme="majorEastAsia"/>
          <w:highlight w:val="yellow"/>
        </w:rPr>
        <w:t xml:space="preserve"> </w:t>
      </w:r>
      <w:proofErr w:type="spellStart"/>
      <w:r w:rsidRPr="00494B25">
        <w:rPr>
          <w:rStyle w:val="Emphasis"/>
          <w:rFonts w:eastAsiaTheme="majorEastAsia"/>
          <w:highlight w:val="yellow"/>
        </w:rPr>
        <w:t>biguttula</w:t>
      </w:r>
      <w:proofErr w:type="spellEnd"/>
      <w:r w:rsidRPr="00494B25">
        <w:rPr>
          <w:rStyle w:val="Emphasis"/>
          <w:rFonts w:eastAsiaTheme="majorEastAsia"/>
          <w:highlight w:val="yellow"/>
        </w:rPr>
        <w:t xml:space="preserve"> </w:t>
      </w:r>
      <w:proofErr w:type="spellStart"/>
      <w:r w:rsidRPr="00494B25">
        <w:rPr>
          <w:rStyle w:val="Emphasis"/>
          <w:rFonts w:eastAsiaTheme="majorEastAsia"/>
          <w:highlight w:val="yellow"/>
        </w:rPr>
        <w:t>biguttula</w:t>
      </w:r>
      <w:proofErr w:type="spellEnd"/>
      <w:r w:rsidRPr="00494B25">
        <w:rPr>
          <w:highlight w:val="yellow"/>
        </w:rPr>
        <w:t xml:space="preserve">), </w:t>
      </w:r>
      <w:r w:rsidRPr="00494B25">
        <w:rPr>
          <w:rStyle w:val="Strong"/>
          <w:b w:val="0"/>
          <w:bCs w:val="0"/>
          <w:highlight w:val="yellow"/>
        </w:rPr>
        <w:t>whitefly</w:t>
      </w:r>
      <w:r w:rsidRPr="00494B25">
        <w:rPr>
          <w:highlight w:val="yellow"/>
        </w:rPr>
        <w:t xml:space="preserve"> (</w:t>
      </w:r>
      <w:proofErr w:type="spellStart"/>
      <w:r w:rsidRPr="00494B25">
        <w:rPr>
          <w:rStyle w:val="Emphasis"/>
          <w:rFonts w:eastAsiaTheme="majorEastAsia"/>
          <w:highlight w:val="yellow"/>
        </w:rPr>
        <w:t>Bemisia</w:t>
      </w:r>
      <w:proofErr w:type="spellEnd"/>
      <w:r w:rsidRPr="00494B25">
        <w:rPr>
          <w:rStyle w:val="Emphasis"/>
          <w:rFonts w:eastAsiaTheme="majorEastAsia"/>
          <w:highlight w:val="yellow"/>
        </w:rPr>
        <w:t xml:space="preserve"> </w:t>
      </w:r>
      <w:proofErr w:type="spellStart"/>
      <w:r w:rsidRPr="00494B25">
        <w:rPr>
          <w:rStyle w:val="Emphasis"/>
          <w:rFonts w:eastAsiaTheme="majorEastAsia"/>
          <w:highlight w:val="yellow"/>
        </w:rPr>
        <w:t>tabaci</w:t>
      </w:r>
      <w:proofErr w:type="spellEnd"/>
      <w:r w:rsidRPr="00494B25">
        <w:rPr>
          <w:highlight w:val="yellow"/>
        </w:rPr>
        <w:t xml:space="preserve">), and </w:t>
      </w:r>
      <w:r w:rsidRPr="00494B25">
        <w:rPr>
          <w:rStyle w:val="Strong"/>
          <w:b w:val="0"/>
          <w:bCs w:val="0"/>
          <w:highlight w:val="yellow"/>
        </w:rPr>
        <w:t>aphid</w:t>
      </w:r>
      <w:r w:rsidRPr="00494B25">
        <w:rPr>
          <w:highlight w:val="yellow"/>
        </w:rPr>
        <w:t xml:space="preserve"> (</w:t>
      </w:r>
      <w:r w:rsidRPr="00494B25">
        <w:rPr>
          <w:rStyle w:val="Emphasis"/>
          <w:rFonts w:eastAsiaTheme="majorEastAsia"/>
          <w:highlight w:val="yellow"/>
        </w:rPr>
        <w:t>Aphis gossypii</w:t>
      </w:r>
      <w:r w:rsidRPr="00494B25">
        <w:rPr>
          <w:highlight w:val="yellow"/>
        </w:rPr>
        <w:t xml:space="preserve">). However, the shoot and fruit borer remains the most destructive, causing significant losses due to its high reproductive rate, rapid life cycle, and the year-round, intensive cultivation of brinjal (Thakur </w:t>
      </w:r>
      <w:r w:rsidRPr="00494B25">
        <w:rPr>
          <w:i/>
          <w:iCs/>
          <w:highlight w:val="yellow"/>
        </w:rPr>
        <w:t>et al</w:t>
      </w:r>
      <w:r w:rsidRPr="00494B25">
        <w:rPr>
          <w:highlight w:val="yellow"/>
        </w:rPr>
        <w:t xml:space="preserve">., 2017). This pest bores into tender shoots and fruits, creating zigzag tunnels that severely damage the plant. It is considered the most serious insect pest of brinjal across Asia—particularly in India, Pakistan, Sri Lanka, Nepal, Bangladesh—as well as in parts of Africa and Southeast Asia. In India, fruit damage due to this pest has been reported to range from </w:t>
      </w:r>
      <w:r w:rsidRPr="00494B25">
        <w:rPr>
          <w:rStyle w:val="Strong"/>
          <w:b w:val="0"/>
          <w:bCs w:val="0"/>
          <w:highlight w:val="yellow"/>
        </w:rPr>
        <w:t>3.3% to 68.9%</w:t>
      </w:r>
      <w:r w:rsidRPr="00494B25">
        <w:rPr>
          <w:b/>
          <w:bCs/>
          <w:highlight w:val="yellow"/>
        </w:rPr>
        <w:t>,</w:t>
      </w:r>
      <w:r w:rsidRPr="00494B25">
        <w:rPr>
          <w:highlight w:val="yellow"/>
        </w:rPr>
        <w:t xml:space="preserve"> while in Odisha, fruit damage can reach up to </w:t>
      </w:r>
      <w:r w:rsidRPr="00494B25">
        <w:rPr>
          <w:rStyle w:val="Strong"/>
          <w:b w:val="0"/>
          <w:bCs w:val="0"/>
          <w:highlight w:val="yellow"/>
        </w:rPr>
        <w:t>85.8%</w:t>
      </w:r>
      <w:r w:rsidRPr="00494B25">
        <w:rPr>
          <w:b/>
          <w:bCs/>
          <w:highlight w:val="yellow"/>
        </w:rPr>
        <w:t>,</w:t>
      </w:r>
      <w:r w:rsidRPr="00494B25">
        <w:rPr>
          <w:highlight w:val="yellow"/>
        </w:rPr>
        <w:t xml:space="preserve"> with overall crop losses estimated between </w:t>
      </w:r>
      <w:r w:rsidRPr="00494B25">
        <w:rPr>
          <w:rStyle w:val="Strong"/>
          <w:b w:val="0"/>
          <w:bCs w:val="0"/>
          <w:highlight w:val="yellow"/>
        </w:rPr>
        <w:t>70% and 92%</w:t>
      </w:r>
      <w:r w:rsidRPr="00494B25">
        <w:rPr>
          <w:highlight w:val="yellow"/>
        </w:rPr>
        <w:t xml:space="preserve"> (Chakraborti and Sarkar, 2011).</w:t>
      </w:r>
      <w:r>
        <w:t xml:space="preserve"> </w:t>
      </w:r>
    </w:p>
    <w:p w14:paraId="314E2314" w14:textId="6D1F696F" w:rsidR="00BC6060" w:rsidRPr="008610AD" w:rsidRDefault="008610AD" w:rsidP="008610AD">
      <w:pPr>
        <w:pStyle w:val="NormalWeb"/>
        <w:spacing w:before="0" w:beforeAutospacing="0" w:after="0" w:afterAutospacing="0" w:line="360" w:lineRule="auto"/>
        <w:jc w:val="both"/>
      </w:pPr>
      <w:r w:rsidRPr="004B0C0A">
        <w:rPr>
          <w:highlight w:val="yellow"/>
        </w:rPr>
        <w:t xml:space="preserve">Brinjal is considered one of the most important vegetables in South and Southeast Asia, where hot and humid climates are common (Thapa, 2010; Hanson </w:t>
      </w:r>
      <w:r w:rsidRPr="004B0C0A">
        <w:rPr>
          <w:i/>
          <w:iCs/>
          <w:highlight w:val="yellow"/>
        </w:rPr>
        <w:t>et al</w:t>
      </w:r>
      <w:r w:rsidRPr="004B0C0A">
        <w:rPr>
          <w:highlight w:val="yellow"/>
        </w:rPr>
        <w:t>., 2006). It belongs to the Solanaceae family and is among the most widely cultivated vegetables within this group.</w:t>
      </w:r>
      <w:r>
        <w:t xml:space="preserve"> </w:t>
      </w:r>
      <w:r w:rsidR="00ED29AD" w:rsidRPr="002776E8">
        <w:rPr>
          <w:rFonts w:eastAsia="Calibri"/>
        </w:rPr>
        <w:t>The Indo</w:t>
      </w:r>
      <w:r w:rsidR="00E009B2">
        <w:rPr>
          <w:rFonts w:eastAsia="Calibri"/>
        </w:rPr>
        <w:t>-</w:t>
      </w:r>
      <w:r w:rsidR="00ED29AD" w:rsidRPr="002776E8">
        <w:rPr>
          <w:rFonts w:eastAsia="Calibri"/>
        </w:rPr>
        <w:t xml:space="preserve">Pak Subcontinent is reported to be the native land of brinjal </w:t>
      </w:r>
      <w:r w:rsidR="00ED29AD" w:rsidRPr="006639A2">
        <w:rPr>
          <w:rFonts w:eastAsia="Calibri"/>
          <w:highlight w:val="yellow"/>
        </w:rPr>
        <w:t>(Dunlop, 2006).</w:t>
      </w:r>
      <w:r w:rsidR="00ED29AD" w:rsidRPr="006639A2">
        <w:rPr>
          <w:rFonts w:eastAsia="Calibri"/>
        </w:rPr>
        <w:t xml:space="preserve"> </w:t>
      </w:r>
      <w:r w:rsidR="00ED29AD" w:rsidRPr="002776E8">
        <w:rPr>
          <w:rFonts w:eastAsia="Calibri"/>
        </w:rPr>
        <w:t xml:space="preserve">Its worldwide cultivation is more than 1,600,000 ha and production </w:t>
      </w:r>
      <w:proofErr w:type="gramStart"/>
      <w:r w:rsidR="00ED29AD" w:rsidRPr="002776E8">
        <w:rPr>
          <w:rFonts w:eastAsia="Calibri"/>
        </w:rPr>
        <w:t>is</w:t>
      </w:r>
      <w:proofErr w:type="gramEnd"/>
      <w:r w:rsidR="00ED29AD" w:rsidRPr="002776E8">
        <w:rPr>
          <w:rFonts w:eastAsia="Calibri"/>
        </w:rPr>
        <w:t xml:space="preserve"> 50 million Mt (FAO, </w:t>
      </w:r>
      <w:r w:rsidR="00ED29AD" w:rsidRPr="002776E8">
        <w:rPr>
          <w:rFonts w:eastAsia="Calibri"/>
        </w:rPr>
        <w:lastRenderedPageBreak/>
        <w:t>2012). In Pakistan it is cultivated in 9,000 ha and production is 87,000 tons per annum (FAO 2014),</w:t>
      </w:r>
      <w:r w:rsidR="00ED29AD">
        <w:rPr>
          <w:rFonts w:eastAsia="Calibri"/>
        </w:rPr>
        <w:t xml:space="preserve"> </w:t>
      </w:r>
      <w:r w:rsidR="00ED29AD" w:rsidRPr="006639A2">
        <w:rPr>
          <w:rFonts w:eastAsia="Calibri"/>
          <w:highlight w:val="yellow"/>
        </w:rPr>
        <w:t xml:space="preserve">(Aslam </w:t>
      </w:r>
      <w:r w:rsidR="00ED29AD" w:rsidRPr="006639A2">
        <w:rPr>
          <w:rFonts w:eastAsia="Calibri"/>
          <w:i/>
          <w:iCs/>
          <w:highlight w:val="yellow"/>
        </w:rPr>
        <w:t xml:space="preserve">et al., </w:t>
      </w:r>
      <w:r w:rsidR="00ED29AD" w:rsidRPr="006639A2">
        <w:rPr>
          <w:rFonts w:eastAsia="Calibri"/>
          <w:highlight w:val="yellow"/>
        </w:rPr>
        <w:t>2015).</w:t>
      </w:r>
    </w:p>
    <w:p w14:paraId="1DA47B21" w14:textId="77777777" w:rsidR="00ED29AD" w:rsidRPr="00BC6060" w:rsidRDefault="00ED29AD" w:rsidP="00E2354F">
      <w:pPr>
        <w:spacing w:after="200" w:line="360" w:lineRule="auto"/>
        <w:jc w:val="both"/>
        <w:rPr>
          <w:rFonts w:eastAsia="Calibri"/>
          <w:sz w:val="24"/>
          <w:szCs w:val="24"/>
        </w:rPr>
      </w:pPr>
      <w:r w:rsidRPr="003874F8">
        <w:rPr>
          <w:sz w:val="24"/>
          <w:szCs w:val="24"/>
        </w:rPr>
        <w:t xml:space="preserve">Annual production of eggplants in China is first ranked the country accounts for 64.41% of total world eggplant production, cultivated over 781,695 hectares, producing 454,852 hg/ha. Followed by India which accounts for 22.97% of total world eggplant production cultivated over 727,000 hectares with a yield of 174,415 hg/ha and Egypt which accounts for 2.14% of total world eggplant production, cultivated over 43,818 hectares with a yield of 269,350 hg/ha. </w:t>
      </w:r>
    </w:p>
    <w:p w14:paraId="4A1451B1" w14:textId="21E097BC" w:rsidR="00ED29AD" w:rsidRPr="008610AD" w:rsidRDefault="008610AD" w:rsidP="00E2354F">
      <w:pPr>
        <w:spacing w:line="360" w:lineRule="auto"/>
        <w:jc w:val="both"/>
      </w:pPr>
      <w:r w:rsidRPr="008610AD">
        <w:rPr>
          <w:sz w:val="24"/>
          <w:szCs w:val="24"/>
          <w:highlight w:val="yellow"/>
        </w:rPr>
        <w:t xml:space="preserve">The brinjal shoot and fruit borer (BSFB), </w:t>
      </w:r>
      <w:proofErr w:type="spellStart"/>
      <w:r w:rsidRPr="008610AD">
        <w:rPr>
          <w:rStyle w:val="Emphasis"/>
          <w:sz w:val="24"/>
          <w:szCs w:val="24"/>
          <w:highlight w:val="yellow"/>
        </w:rPr>
        <w:t>Leucinodes</w:t>
      </w:r>
      <w:proofErr w:type="spellEnd"/>
      <w:r w:rsidRPr="008610AD">
        <w:rPr>
          <w:rStyle w:val="Emphasis"/>
          <w:sz w:val="24"/>
          <w:szCs w:val="24"/>
          <w:highlight w:val="yellow"/>
        </w:rPr>
        <w:t xml:space="preserve"> </w:t>
      </w:r>
      <w:proofErr w:type="spellStart"/>
      <w:r w:rsidRPr="008610AD">
        <w:rPr>
          <w:rStyle w:val="Emphasis"/>
          <w:sz w:val="24"/>
          <w:szCs w:val="24"/>
          <w:highlight w:val="yellow"/>
        </w:rPr>
        <w:t>orbonalis</w:t>
      </w:r>
      <w:proofErr w:type="spellEnd"/>
      <w:r w:rsidRPr="008610AD">
        <w:rPr>
          <w:sz w:val="24"/>
          <w:szCs w:val="24"/>
          <w:highlight w:val="yellow"/>
        </w:rPr>
        <w:t xml:space="preserve"> </w:t>
      </w:r>
      <w:proofErr w:type="spellStart"/>
      <w:r w:rsidRPr="008610AD">
        <w:rPr>
          <w:sz w:val="24"/>
          <w:szCs w:val="24"/>
          <w:highlight w:val="yellow"/>
        </w:rPr>
        <w:t>Guenée</w:t>
      </w:r>
      <w:proofErr w:type="spellEnd"/>
      <w:r w:rsidRPr="008610AD">
        <w:rPr>
          <w:sz w:val="24"/>
          <w:szCs w:val="24"/>
          <w:highlight w:val="yellow"/>
        </w:rPr>
        <w:t xml:space="preserve"> (Lepidoptera: </w:t>
      </w:r>
      <w:proofErr w:type="spellStart"/>
      <w:r w:rsidRPr="008610AD">
        <w:rPr>
          <w:sz w:val="24"/>
          <w:szCs w:val="24"/>
          <w:highlight w:val="yellow"/>
        </w:rPr>
        <w:t>Pyralidae</w:t>
      </w:r>
      <w:proofErr w:type="spellEnd"/>
      <w:r w:rsidRPr="008610AD">
        <w:rPr>
          <w:sz w:val="24"/>
          <w:szCs w:val="24"/>
          <w:highlight w:val="yellow"/>
        </w:rPr>
        <w:t>), is one of the most destructive pests affecting brinjal crops. It is a chewing insect that can cause significant losses, damaging up to 50–70% of the fruits. This pest attacks the plant at nearly every growth stage, targeting both the shoots and fruits. The most severe damage is caused during its larval stage, as the larvae bore inside the tender shoots and fruits, making control difficult and often leading to major yield losses.</w:t>
      </w:r>
      <w:r w:rsidR="00ED29AD" w:rsidRPr="008610AD">
        <w:rPr>
          <w:sz w:val="28"/>
          <w:szCs w:val="28"/>
        </w:rPr>
        <w:t xml:space="preserve"> </w:t>
      </w:r>
      <w:r w:rsidR="00ED29AD" w:rsidRPr="003874F8">
        <w:rPr>
          <w:sz w:val="24"/>
          <w:szCs w:val="24"/>
        </w:rPr>
        <w:t xml:space="preserve">Adult moth having dirty whitish wings and speckled markings lays eggs on young leaves/ flowers/ calyx of the fruits. After hatching the larvae starts boring into the petiole/ midrib of the leaves/ growing shoots/ flower buds/ fruits and closes the bore hole with frays. </w:t>
      </w:r>
      <w:r w:rsidR="003B3994" w:rsidRPr="003874F8">
        <w:rPr>
          <w:sz w:val="24"/>
          <w:szCs w:val="24"/>
        </w:rPr>
        <w:t>Growth</w:t>
      </w:r>
      <w:r w:rsidR="00ED29AD" w:rsidRPr="003874F8">
        <w:rPr>
          <w:sz w:val="24"/>
          <w:szCs w:val="24"/>
        </w:rPr>
        <w:t>, yield and fruit quality of crop and thus make it unfit for feeding purpose</w:t>
      </w:r>
      <w:r w:rsidR="006639A2">
        <w:rPr>
          <w:sz w:val="24"/>
          <w:szCs w:val="24"/>
        </w:rPr>
        <w:t xml:space="preserve"> </w:t>
      </w:r>
      <w:r w:rsidR="00ED29AD" w:rsidRPr="006639A2">
        <w:rPr>
          <w:sz w:val="24"/>
          <w:szCs w:val="24"/>
          <w:highlight w:val="yellow"/>
        </w:rPr>
        <w:t>(</w:t>
      </w:r>
      <w:r w:rsidR="002A3586" w:rsidRPr="006639A2">
        <w:rPr>
          <w:sz w:val="24"/>
          <w:szCs w:val="24"/>
          <w:highlight w:val="yellow"/>
        </w:rPr>
        <w:t>Kolhe</w:t>
      </w:r>
      <w:r w:rsidR="00ED29AD" w:rsidRPr="006639A2">
        <w:rPr>
          <w:i/>
          <w:iCs/>
          <w:sz w:val="24"/>
          <w:szCs w:val="24"/>
          <w:highlight w:val="yellow"/>
        </w:rPr>
        <w:t xml:space="preserve"> et al.,</w:t>
      </w:r>
      <w:r w:rsidR="00ED29AD" w:rsidRPr="006639A2">
        <w:rPr>
          <w:sz w:val="24"/>
          <w:szCs w:val="24"/>
          <w:highlight w:val="yellow"/>
        </w:rPr>
        <w:t xml:space="preserve"> 2017).</w:t>
      </w:r>
    </w:p>
    <w:p w14:paraId="088ECFB1" w14:textId="77777777" w:rsidR="003B33C8" w:rsidRPr="006639A2" w:rsidRDefault="003B33C8" w:rsidP="00E2354F">
      <w:pPr>
        <w:spacing w:line="360" w:lineRule="auto"/>
        <w:jc w:val="both"/>
        <w:rPr>
          <w:b/>
          <w:bCs/>
          <w:spacing w:val="-4"/>
          <w:sz w:val="28"/>
        </w:rPr>
      </w:pPr>
      <w:r w:rsidRPr="006639A2">
        <w:rPr>
          <w:b/>
          <w:bCs/>
          <w:spacing w:val="-4"/>
          <w:sz w:val="28"/>
        </w:rPr>
        <w:t xml:space="preserve">                              </w:t>
      </w:r>
    </w:p>
    <w:p w14:paraId="69C26B5A" w14:textId="77777777" w:rsidR="003B33C8" w:rsidRDefault="003B33C8" w:rsidP="000544DE">
      <w:pPr>
        <w:jc w:val="both"/>
        <w:rPr>
          <w:b/>
          <w:spacing w:val="-4"/>
          <w:sz w:val="28"/>
        </w:rPr>
      </w:pPr>
    </w:p>
    <w:p w14:paraId="629D426C" w14:textId="77777777" w:rsidR="00F51307" w:rsidRPr="003073CB" w:rsidRDefault="00F51307" w:rsidP="00E2354F">
      <w:pPr>
        <w:pBdr>
          <w:bottom w:val="single" w:sz="4" w:space="2" w:color="auto"/>
        </w:pBdr>
        <w:spacing w:line="360" w:lineRule="auto"/>
        <w:outlineLvl w:val="1"/>
        <w:rPr>
          <w:b/>
          <w:bCs/>
          <w:sz w:val="24"/>
          <w:szCs w:val="24"/>
          <w:lang w:eastAsia="en-IN"/>
        </w:rPr>
      </w:pPr>
      <w:r w:rsidRPr="003073CB">
        <w:rPr>
          <w:color w:val="000000"/>
          <w:sz w:val="24"/>
          <w:szCs w:val="24"/>
          <w:lang w:bidi="mr-IN"/>
        </w:rPr>
        <w:t xml:space="preserve">2. </w:t>
      </w:r>
      <w:r w:rsidRPr="003073CB">
        <w:rPr>
          <w:b/>
          <w:bCs/>
          <w:sz w:val="24"/>
          <w:szCs w:val="24"/>
          <w:lang w:eastAsia="en-IN"/>
        </w:rPr>
        <w:t>MATERIALS AND METHODS</w:t>
      </w:r>
    </w:p>
    <w:p w14:paraId="23DC120D" w14:textId="77777777" w:rsidR="00C4303D" w:rsidRPr="004B0C0A" w:rsidRDefault="00C4303D" w:rsidP="00C4303D">
      <w:pPr>
        <w:spacing w:line="360" w:lineRule="auto"/>
        <w:jc w:val="both"/>
      </w:pPr>
      <w:r w:rsidRPr="004B0C0A">
        <w:rPr>
          <w:highlight w:val="yellow"/>
        </w:rPr>
        <w:t xml:space="preserve">The experiment was carried out during the </w:t>
      </w:r>
      <w:r w:rsidRPr="004B0C0A">
        <w:rPr>
          <w:i/>
          <w:iCs/>
          <w:highlight w:val="yellow"/>
        </w:rPr>
        <w:t>Kharif</w:t>
      </w:r>
      <w:r w:rsidRPr="004B0C0A">
        <w:rPr>
          <w:highlight w:val="yellow"/>
        </w:rPr>
        <w:t xml:space="preserve"> season of 2024 at the Central Research Farm in Naini, Prayagraj, Uttar Pradesh, India. It was set up using a randomized block design with eight different treatments, each replicated three times. The brinjal variety used was Banaras Purple Round, planted in plots measuring 3 meters by 2 meters, with spacing of 60 cm between rows and 45 cm between plants. Recommended agronomic practices were followed throughout the trial, except for plant protection measures.</w:t>
      </w:r>
      <w:r>
        <w:t xml:space="preserve"> </w:t>
      </w:r>
      <w:r w:rsidR="005E5031" w:rsidRPr="005E5031">
        <w:t>In the experiment, eight different treatments used</w:t>
      </w:r>
      <w:r w:rsidR="005E5031">
        <w:t xml:space="preserve"> </w:t>
      </w:r>
      <w:r w:rsidR="005E5031" w:rsidRPr="00F87483">
        <w:rPr>
          <w:i/>
          <w:iCs/>
        </w:rPr>
        <w:t>viz</w:t>
      </w:r>
      <w:r w:rsidR="005E5031">
        <w:t>. (T</w:t>
      </w:r>
      <w:r w:rsidR="005E5031">
        <w:rPr>
          <w:vertAlign w:val="subscript"/>
        </w:rPr>
        <w:t>1</w:t>
      </w:r>
      <w:r w:rsidR="005E5031">
        <w:t>)</w:t>
      </w:r>
      <w:r w:rsidR="00F56F23">
        <w:t xml:space="preserve"> Cypermethrin</w:t>
      </w:r>
      <w:r w:rsidR="00F87483">
        <w:t xml:space="preserve"> </w:t>
      </w:r>
      <w:r w:rsidR="00F56F23">
        <w:t>25</w:t>
      </w:r>
      <w:r w:rsidR="00F87483" w:rsidRPr="001451BC">
        <w:t xml:space="preserve">% </w:t>
      </w:r>
      <w:r w:rsidR="00F56F23">
        <w:t>EC, (T</w:t>
      </w:r>
      <w:r w:rsidR="00F56F23">
        <w:rPr>
          <w:vertAlign w:val="subscript"/>
        </w:rPr>
        <w:t>2</w:t>
      </w:r>
      <w:r w:rsidR="00F56F23">
        <w:t>) Neem oil 2%, (T</w:t>
      </w:r>
      <w:r w:rsidR="00F56F23">
        <w:rPr>
          <w:vertAlign w:val="subscript"/>
        </w:rPr>
        <w:t>3</w:t>
      </w:r>
      <w:r w:rsidR="00F56F23">
        <w:t>) Spinosad</w:t>
      </w:r>
      <w:r w:rsidR="00F87483">
        <w:t xml:space="preserve"> </w:t>
      </w:r>
      <w:r w:rsidR="00F56F23">
        <w:t>45</w:t>
      </w:r>
      <w:r w:rsidR="00F87483" w:rsidRPr="001451BC">
        <w:t>%</w:t>
      </w:r>
      <w:r w:rsidR="00F56F23">
        <w:t xml:space="preserve"> SC, (T</w:t>
      </w:r>
      <w:r w:rsidR="00F56F23">
        <w:rPr>
          <w:vertAlign w:val="subscript"/>
        </w:rPr>
        <w:t>4</w:t>
      </w:r>
      <w:r w:rsidR="00F56F23">
        <w:t>) NSKE 5%, (T</w:t>
      </w:r>
      <w:r w:rsidR="00F56F23">
        <w:rPr>
          <w:vertAlign w:val="subscript"/>
        </w:rPr>
        <w:t>5</w:t>
      </w:r>
      <w:r w:rsidR="00F56F23">
        <w:t xml:space="preserve">) </w:t>
      </w:r>
      <w:r w:rsidR="00F56F23" w:rsidRPr="00F87483">
        <w:rPr>
          <w:i/>
          <w:iCs/>
        </w:rPr>
        <w:t>Beauveria</w:t>
      </w:r>
      <w:r w:rsidR="00F56F23">
        <w:t xml:space="preserve"> </w:t>
      </w:r>
      <w:r w:rsidR="00F56F23" w:rsidRPr="00F87483">
        <w:rPr>
          <w:i/>
          <w:iCs/>
        </w:rPr>
        <w:t>bassiana</w:t>
      </w:r>
      <w:r w:rsidR="00F56F23">
        <w:t>, (T</w:t>
      </w:r>
      <w:r w:rsidR="00F56F23">
        <w:rPr>
          <w:vertAlign w:val="subscript"/>
        </w:rPr>
        <w:t>6</w:t>
      </w:r>
      <w:r w:rsidR="00F56F23">
        <w:t xml:space="preserve">) </w:t>
      </w:r>
      <w:proofErr w:type="spellStart"/>
      <w:r w:rsidR="00F56F23" w:rsidRPr="007B26EC">
        <w:rPr>
          <w:i/>
          <w:iCs/>
          <w:highlight w:val="yellow"/>
        </w:rPr>
        <w:t>Emamectin</w:t>
      </w:r>
      <w:proofErr w:type="spellEnd"/>
      <w:r w:rsidR="00F56F23" w:rsidRPr="007B26EC">
        <w:rPr>
          <w:highlight w:val="yellow"/>
        </w:rPr>
        <w:t xml:space="preserve"> </w:t>
      </w:r>
      <w:r w:rsidR="00F56F23" w:rsidRPr="007B26EC">
        <w:rPr>
          <w:i/>
          <w:iCs/>
          <w:highlight w:val="yellow"/>
        </w:rPr>
        <w:t>benzoate</w:t>
      </w:r>
      <w:r w:rsidR="00F56F23">
        <w:t xml:space="preserve"> 5</w:t>
      </w:r>
      <w:r w:rsidR="00F87483" w:rsidRPr="001451BC">
        <w:t xml:space="preserve">% </w:t>
      </w:r>
      <w:r w:rsidR="00F56F23">
        <w:t>SG, (T</w:t>
      </w:r>
      <w:r w:rsidR="00F56F23">
        <w:rPr>
          <w:vertAlign w:val="subscript"/>
        </w:rPr>
        <w:t>7</w:t>
      </w:r>
      <w:r w:rsidR="00F56F23">
        <w:t>) Chlorantraniliprole, (T</w:t>
      </w:r>
      <w:r w:rsidR="00F56F23">
        <w:rPr>
          <w:vertAlign w:val="subscript"/>
        </w:rPr>
        <w:t>0</w:t>
      </w:r>
      <w:r w:rsidR="00F56F23">
        <w:t xml:space="preserve">) Control were tested to compare the </w:t>
      </w:r>
      <w:r w:rsidR="00F56F23" w:rsidRPr="00C4303D">
        <w:rPr>
          <w:sz w:val="24"/>
          <w:szCs w:val="24"/>
        </w:rPr>
        <w:t>efficac</w:t>
      </w:r>
      <w:r w:rsidR="00F56F23" w:rsidRPr="00C4303D">
        <w:rPr>
          <w:b/>
          <w:spacing w:val="-4"/>
          <w:sz w:val="24"/>
          <w:szCs w:val="24"/>
        </w:rPr>
        <w:t xml:space="preserve">y </w:t>
      </w:r>
      <w:r w:rsidR="00F56F23" w:rsidRPr="00C4303D">
        <w:rPr>
          <w:bCs/>
          <w:spacing w:val="-4"/>
          <w:sz w:val="24"/>
          <w:szCs w:val="24"/>
        </w:rPr>
        <w:t>against shoot and fruit borer (</w:t>
      </w:r>
      <w:proofErr w:type="spellStart"/>
      <w:r w:rsidR="00B33C62" w:rsidRPr="00C4303D">
        <w:rPr>
          <w:bCs/>
          <w:i/>
          <w:iCs/>
          <w:spacing w:val="-4"/>
          <w:sz w:val="24"/>
          <w:szCs w:val="24"/>
        </w:rPr>
        <w:t>Leucinodes</w:t>
      </w:r>
      <w:proofErr w:type="spellEnd"/>
      <w:r w:rsidR="00B33C62" w:rsidRPr="00C4303D">
        <w:rPr>
          <w:bCs/>
          <w:i/>
          <w:iCs/>
          <w:spacing w:val="-4"/>
          <w:sz w:val="24"/>
          <w:szCs w:val="24"/>
        </w:rPr>
        <w:t xml:space="preserve"> </w:t>
      </w:r>
      <w:proofErr w:type="spellStart"/>
      <w:r w:rsidR="00F56F23" w:rsidRPr="00C4303D">
        <w:rPr>
          <w:bCs/>
          <w:i/>
          <w:iCs/>
          <w:spacing w:val="-4"/>
          <w:sz w:val="24"/>
          <w:szCs w:val="24"/>
        </w:rPr>
        <w:t>orbonalis</w:t>
      </w:r>
      <w:proofErr w:type="spellEnd"/>
      <w:r w:rsidR="00F56F23" w:rsidRPr="00C4303D">
        <w:rPr>
          <w:bCs/>
          <w:spacing w:val="-4"/>
          <w:sz w:val="24"/>
          <w:szCs w:val="24"/>
        </w:rPr>
        <w:t xml:space="preserve"> </w:t>
      </w:r>
      <w:proofErr w:type="spellStart"/>
      <w:r w:rsidR="00EB1482" w:rsidRPr="00C4303D">
        <w:rPr>
          <w:bCs/>
          <w:spacing w:val="-4"/>
          <w:sz w:val="24"/>
          <w:szCs w:val="24"/>
        </w:rPr>
        <w:t>Guenee</w:t>
      </w:r>
      <w:proofErr w:type="spellEnd"/>
      <w:r w:rsidR="00F56F23" w:rsidRPr="00C4303D">
        <w:rPr>
          <w:bCs/>
          <w:spacing w:val="-4"/>
          <w:sz w:val="24"/>
          <w:szCs w:val="24"/>
        </w:rPr>
        <w:t>)</w:t>
      </w:r>
      <w:r w:rsidR="00EB1482" w:rsidRPr="00C4303D">
        <w:rPr>
          <w:bCs/>
          <w:spacing w:val="-4"/>
          <w:sz w:val="24"/>
          <w:szCs w:val="24"/>
        </w:rPr>
        <w:t xml:space="preserve"> their influences on yield of brinjal.</w:t>
      </w:r>
      <w:r w:rsidR="00F56F23" w:rsidRPr="00C4303D">
        <w:rPr>
          <w:b/>
          <w:spacing w:val="-4"/>
          <w:sz w:val="24"/>
          <w:szCs w:val="24"/>
        </w:rPr>
        <w:t xml:space="preserve"> </w:t>
      </w:r>
      <w:r w:rsidRPr="00C4303D">
        <w:rPr>
          <w:sz w:val="24"/>
          <w:szCs w:val="24"/>
          <w:highlight w:val="yellow"/>
        </w:rPr>
        <w:t xml:space="preserve">Spraying was carried out once the population of the borer reached the economic threshold level. This was assessed by examining the presence of the pest on shoots and fruits of five plants chosen at random. Observations were taken one day before spraying, and then again at 3, 7, and 14 days after the treatment. To assess shoot damage, the number of </w:t>
      </w:r>
      <w:r w:rsidRPr="00C4303D">
        <w:rPr>
          <w:sz w:val="24"/>
          <w:szCs w:val="24"/>
          <w:highlight w:val="yellow"/>
        </w:rPr>
        <w:lastRenderedPageBreak/>
        <w:t>damaged and healthy shoots was counted on these five plants per plot, and the damage was expressed as a percentage.</w:t>
      </w:r>
      <w:r w:rsidRPr="00C4303D">
        <w:rPr>
          <w:sz w:val="24"/>
          <w:szCs w:val="24"/>
        </w:rPr>
        <w:t xml:space="preserve"> </w:t>
      </w:r>
      <w:r w:rsidR="00ED0E8F" w:rsidRPr="00C4303D">
        <w:rPr>
          <w:sz w:val="24"/>
          <w:szCs w:val="24"/>
        </w:rPr>
        <w:t>Brinjal fruits were harve</w:t>
      </w:r>
      <w:r w:rsidR="00ED0E8F">
        <w:t xml:space="preserve">sted at weekly intervals. The percent fruit damage was total number of affected fruits from each plot. </w:t>
      </w:r>
      <w:r w:rsidRPr="004B0C0A">
        <w:rPr>
          <w:highlight w:val="yellow"/>
        </w:rPr>
        <w:t>The total yield of marketable fruits from each treatment was calculated, taking into account the additional costs such as insecticides and labor. The benefits were then evaluated by comparing these yields to the untreated control. The percentage of shoot and fruit infestation was determined using the following equations.</w:t>
      </w:r>
    </w:p>
    <w:p w14:paraId="094FDFA3" w14:textId="4CAD4D7F" w:rsidR="00F56F23" w:rsidRDefault="00F56F23" w:rsidP="00C4303D">
      <w:pPr>
        <w:spacing w:line="360" w:lineRule="auto"/>
        <w:jc w:val="both"/>
        <w:rPr>
          <w:b/>
          <w:spacing w:val="-4"/>
          <w:sz w:val="24"/>
          <w:szCs w:val="24"/>
        </w:rPr>
      </w:pPr>
    </w:p>
    <w:p w14:paraId="58433227" w14:textId="77777777" w:rsidR="00ED0E8F" w:rsidRPr="00F46660" w:rsidRDefault="005E5031" w:rsidP="000544DE">
      <w:pPr>
        <w:spacing w:after="200" w:line="276" w:lineRule="auto"/>
        <w:jc w:val="both"/>
        <w:rPr>
          <w:rFonts w:eastAsia="Calibri"/>
          <w:sz w:val="24"/>
          <w:szCs w:val="24"/>
        </w:rPr>
      </w:pPr>
      <w:r>
        <w:rPr>
          <w:sz w:val="24"/>
          <w:szCs w:val="24"/>
        </w:rPr>
        <w:tab/>
      </w:r>
    </w:p>
    <w:p w14:paraId="24E7D604" w14:textId="77777777" w:rsidR="00ED0E8F" w:rsidRPr="00F46660" w:rsidRDefault="00ED0E8F" w:rsidP="000544DE">
      <w:pPr>
        <w:spacing w:after="200" w:line="276" w:lineRule="auto"/>
        <w:ind w:left="720" w:firstLine="720"/>
        <w:contextualSpacing/>
        <w:jc w:val="both"/>
        <w:rPr>
          <w:sz w:val="24"/>
          <w:szCs w:val="24"/>
        </w:rPr>
      </w:pPr>
      <w:r w:rsidRPr="00F46660">
        <w:rPr>
          <w:sz w:val="24"/>
          <w:szCs w:val="24"/>
        </w:rPr>
        <w:t xml:space="preserve">                    No. of shoot infested</w:t>
      </w:r>
    </w:p>
    <w:p w14:paraId="6D0A14BE" w14:textId="77777777" w:rsidR="00ED0E8F" w:rsidRPr="007B26EC" w:rsidRDefault="00ED0E8F" w:rsidP="000544DE">
      <w:pPr>
        <w:spacing w:after="200" w:line="276" w:lineRule="auto"/>
        <w:contextualSpacing/>
        <w:jc w:val="both"/>
        <w:rPr>
          <w:sz w:val="24"/>
          <w:szCs w:val="24"/>
        </w:rPr>
      </w:pPr>
      <w:r w:rsidRPr="00F46660">
        <w:rPr>
          <w:sz w:val="24"/>
          <w:szCs w:val="24"/>
        </w:rPr>
        <w:t xml:space="preserve">% Shoot infestation = ---------------------------------------------- x </w:t>
      </w:r>
      <w:r w:rsidRPr="007B26EC">
        <w:rPr>
          <w:sz w:val="24"/>
          <w:szCs w:val="24"/>
        </w:rPr>
        <w:t>100</w:t>
      </w:r>
      <w:bookmarkStart w:id="0" w:name="_Hlk184899969"/>
      <w:r w:rsidRPr="007B26EC">
        <w:rPr>
          <w:sz w:val="24"/>
          <w:szCs w:val="24"/>
        </w:rPr>
        <w:t xml:space="preserve">         </w:t>
      </w:r>
      <w:r w:rsidRPr="007B26EC">
        <w:rPr>
          <w:sz w:val="24"/>
          <w:szCs w:val="24"/>
          <w:highlight w:val="yellow"/>
        </w:rPr>
        <w:t xml:space="preserve">(Yadav </w:t>
      </w:r>
      <w:r w:rsidRPr="007B26EC">
        <w:rPr>
          <w:i/>
          <w:iCs/>
          <w:sz w:val="24"/>
          <w:szCs w:val="24"/>
          <w:highlight w:val="yellow"/>
        </w:rPr>
        <w:t>et al</w:t>
      </w:r>
      <w:r w:rsidRPr="007B26EC">
        <w:rPr>
          <w:sz w:val="24"/>
          <w:szCs w:val="24"/>
          <w:highlight w:val="yellow"/>
        </w:rPr>
        <w:t>., 2015)</w:t>
      </w:r>
    </w:p>
    <w:bookmarkEnd w:id="0"/>
    <w:p w14:paraId="36CAAD31" w14:textId="77777777" w:rsidR="00C81736" w:rsidRDefault="00ED0E8F" w:rsidP="000544DE">
      <w:pPr>
        <w:spacing w:after="200" w:line="276" w:lineRule="auto"/>
        <w:ind w:left="720" w:firstLine="720"/>
        <w:contextualSpacing/>
        <w:jc w:val="both"/>
        <w:rPr>
          <w:sz w:val="24"/>
          <w:szCs w:val="24"/>
        </w:rPr>
      </w:pPr>
      <w:r w:rsidRPr="00F46660">
        <w:rPr>
          <w:sz w:val="24"/>
          <w:szCs w:val="24"/>
        </w:rPr>
        <w:t xml:space="preserve">                     Total no. of shoot</w:t>
      </w:r>
    </w:p>
    <w:p w14:paraId="1863077F" w14:textId="77777777" w:rsidR="00ED0E8F" w:rsidRPr="00F46660" w:rsidRDefault="00ED0E8F" w:rsidP="000544DE">
      <w:pPr>
        <w:spacing w:after="200" w:line="276" w:lineRule="auto"/>
        <w:jc w:val="both"/>
        <w:rPr>
          <w:rFonts w:eastAsia="Calibri"/>
          <w:sz w:val="24"/>
          <w:szCs w:val="24"/>
        </w:rPr>
      </w:pPr>
    </w:p>
    <w:p w14:paraId="2A234CAF" w14:textId="77777777" w:rsidR="00ED0E8F" w:rsidRPr="00F46660" w:rsidRDefault="00ED0E8F" w:rsidP="000544DE">
      <w:pPr>
        <w:ind w:left="720" w:firstLine="720"/>
        <w:contextualSpacing/>
        <w:jc w:val="both"/>
        <w:rPr>
          <w:sz w:val="24"/>
          <w:szCs w:val="24"/>
        </w:rPr>
      </w:pPr>
      <w:r w:rsidRPr="00F46660">
        <w:rPr>
          <w:sz w:val="24"/>
          <w:szCs w:val="24"/>
        </w:rPr>
        <w:t xml:space="preserve">              No. of fruit infested</w:t>
      </w:r>
    </w:p>
    <w:p w14:paraId="27419C3C" w14:textId="77777777" w:rsidR="00ED0E8F" w:rsidRPr="00F46660" w:rsidRDefault="00ED0E8F" w:rsidP="000544DE">
      <w:pPr>
        <w:spacing w:after="200" w:line="276" w:lineRule="auto"/>
        <w:contextualSpacing/>
        <w:jc w:val="both"/>
        <w:rPr>
          <w:b/>
          <w:bCs/>
          <w:sz w:val="24"/>
          <w:szCs w:val="24"/>
        </w:rPr>
      </w:pPr>
      <w:r>
        <w:rPr>
          <w:sz w:val="24"/>
          <w:szCs w:val="24"/>
        </w:rPr>
        <w:t>%</w:t>
      </w:r>
      <w:r w:rsidRPr="00F46660">
        <w:rPr>
          <w:sz w:val="24"/>
          <w:szCs w:val="24"/>
        </w:rPr>
        <w:t>Fruit infestation = ----------------------------------------- x 100</w:t>
      </w:r>
      <w:r>
        <w:rPr>
          <w:sz w:val="24"/>
          <w:szCs w:val="24"/>
        </w:rPr>
        <w:t xml:space="preserve">                   </w:t>
      </w:r>
      <w:r w:rsidRPr="007B26EC">
        <w:rPr>
          <w:sz w:val="24"/>
          <w:szCs w:val="24"/>
          <w:highlight w:val="yellow"/>
        </w:rPr>
        <w:t xml:space="preserve">(Yadav </w:t>
      </w:r>
      <w:r w:rsidRPr="007B26EC">
        <w:rPr>
          <w:i/>
          <w:iCs/>
          <w:sz w:val="24"/>
          <w:szCs w:val="24"/>
          <w:highlight w:val="yellow"/>
        </w:rPr>
        <w:t>et al</w:t>
      </w:r>
      <w:r w:rsidRPr="007B26EC">
        <w:rPr>
          <w:sz w:val="24"/>
          <w:szCs w:val="24"/>
          <w:highlight w:val="yellow"/>
        </w:rPr>
        <w:t>., 2015)</w:t>
      </w:r>
    </w:p>
    <w:p w14:paraId="1B13684A" w14:textId="77777777" w:rsidR="00ED0E8F" w:rsidRPr="00F46660" w:rsidRDefault="00ED0E8F" w:rsidP="000544DE">
      <w:pPr>
        <w:spacing w:after="200" w:line="276" w:lineRule="auto"/>
        <w:contextualSpacing/>
        <w:jc w:val="both"/>
        <w:rPr>
          <w:sz w:val="24"/>
          <w:szCs w:val="24"/>
        </w:rPr>
      </w:pPr>
      <w:r w:rsidRPr="00F46660">
        <w:rPr>
          <w:sz w:val="24"/>
          <w:szCs w:val="24"/>
        </w:rPr>
        <w:t xml:space="preserve">(Number Basis)     </w:t>
      </w:r>
      <w:r>
        <w:rPr>
          <w:sz w:val="24"/>
          <w:szCs w:val="24"/>
        </w:rPr>
        <w:t xml:space="preserve">        </w:t>
      </w:r>
      <w:r w:rsidRPr="00F46660">
        <w:rPr>
          <w:sz w:val="24"/>
          <w:szCs w:val="24"/>
        </w:rPr>
        <w:t>Total no. of fruit</w:t>
      </w:r>
    </w:p>
    <w:p w14:paraId="5294A517" w14:textId="77777777" w:rsidR="00195DD4" w:rsidRDefault="00195DD4" w:rsidP="000544DE">
      <w:pPr>
        <w:jc w:val="both"/>
        <w:rPr>
          <w:b/>
          <w:bCs/>
          <w:sz w:val="28"/>
          <w:szCs w:val="28"/>
        </w:rPr>
      </w:pPr>
    </w:p>
    <w:p w14:paraId="2B8E44C4" w14:textId="77777777" w:rsidR="00613B38" w:rsidRPr="003073CB" w:rsidRDefault="00613B38" w:rsidP="000544DE">
      <w:pPr>
        <w:spacing w:line="360" w:lineRule="auto"/>
        <w:jc w:val="both"/>
        <w:rPr>
          <w:b/>
          <w:bCs/>
          <w:sz w:val="24"/>
          <w:szCs w:val="24"/>
        </w:rPr>
      </w:pPr>
      <w:r w:rsidRPr="003073CB">
        <w:rPr>
          <w:b/>
          <w:bCs/>
          <w:sz w:val="24"/>
          <w:szCs w:val="24"/>
        </w:rPr>
        <w:t>Cost benefit ratio:</w:t>
      </w:r>
    </w:p>
    <w:p w14:paraId="0BF0CBC7" w14:textId="77777777" w:rsidR="00613B38" w:rsidRPr="003073CB" w:rsidRDefault="00613B38" w:rsidP="000544DE">
      <w:pPr>
        <w:adjustRightInd w:val="0"/>
        <w:spacing w:line="360" w:lineRule="auto"/>
        <w:jc w:val="both"/>
        <w:rPr>
          <w:color w:val="000000"/>
          <w:sz w:val="24"/>
          <w:szCs w:val="24"/>
          <w:lang w:bidi="mr-IN"/>
        </w:rPr>
      </w:pPr>
      <w:r w:rsidRPr="003073CB">
        <w:rPr>
          <w:sz w:val="24"/>
          <w:szCs w:val="24"/>
        </w:rPr>
        <w:t xml:space="preserve">Total income was calculated by multiplying the yield per hectare by the current market price. The net benefit was then determined by deducting the total plant protection costs from the total income. To find the benefit over the control, the income from the control treatment was subtracted from the income of each treated plot. </w:t>
      </w:r>
      <w:r w:rsidRPr="003073CB">
        <w:rPr>
          <w:color w:val="000000"/>
          <w:sz w:val="24"/>
          <w:szCs w:val="24"/>
          <w:lang w:bidi="mr-IN"/>
        </w:rPr>
        <w:t>The B: C ratio was calculated by following formula:</w:t>
      </w:r>
    </w:p>
    <w:tbl>
      <w:tblPr>
        <w:tblpPr w:leftFromText="180" w:rightFromText="180" w:vertAnchor="text" w:horzAnchor="page" w:tblpX="2404"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2"/>
      </w:tblGrid>
      <w:tr w:rsidR="00613B38" w:rsidRPr="003073CB" w14:paraId="6515220E" w14:textId="77777777" w:rsidTr="00BF3E01">
        <w:trPr>
          <w:trHeight w:val="720"/>
        </w:trPr>
        <w:tc>
          <w:tcPr>
            <w:tcW w:w="5012" w:type="dxa"/>
            <w:vAlign w:val="center"/>
          </w:tcPr>
          <w:p w14:paraId="2FC64A17" w14:textId="77777777" w:rsidR="00613B38" w:rsidRPr="003073CB" w:rsidRDefault="00613B38" w:rsidP="000544DE">
            <w:pPr>
              <w:adjustRightInd w:val="0"/>
              <w:spacing w:line="360" w:lineRule="auto"/>
              <w:jc w:val="both"/>
              <w:rPr>
                <w:color w:val="0D0D0D"/>
                <w:sz w:val="24"/>
                <w:szCs w:val="24"/>
                <w:lang w:bidi="mr-IN"/>
              </w:rPr>
            </w:pPr>
            <w:r w:rsidRPr="003073CB">
              <w:rPr>
                <w:color w:val="0D0D0D"/>
                <w:sz w:val="24"/>
                <w:szCs w:val="24"/>
                <w:lang w:bidi="mr-IN"/>
              </w:rPr>
              <w:t>Gross return = Marketable yield × Market price</w:t>
            </w:r>
          </w:p>
        </w:tc>
      </w:tr>
    </w:tbl>
    <w:p w14:paraId="76C85AC9" w14:textId="77777777" w:rsidR="00613B38" w:rsidRPr="003073CB" w:rsidRDefault="00613B38" w:rsidP="000544DE">
      <w:pPr>
        <w:adjustRightInd w:val="0"/>
        <w:spacing w:line="360" w:lineRule="auto"/>
        <w:jc w:val="both"/>
        <w:rPr>
          <w:color w:val="000000"/>
          <w:sz w:val="24"/>
          <w:szCs w:val="24"/>
          <w:lang w:bidi="mr-IN"/>
        </w:rPr>
      </w:pPr>
    </w:p>
    <w:p w14:paraId="7F4FB9D7" w14:textId="77777777" w:rsidR="00613B38" w:rsidRPr="003073CB" w:rsidRDefault="00613B38" w:rsidP="000544DE">
      <w:pPr>
        <w:spacing w:line="360" w:lineRule="auto"/>
        <w:jc w:val="both"/>
        <w:rPr>
          <w:b/>
          <w:bCs/>
          <w:sz w:val="24"/>
          <w:szCs w:val="24"/>
        </w:rPr>
      </w:pPr>
    </w:p>
    <w:tbl>
      <w:tblPr>
        <w:tblpPr w:leftFromText="180" w:rightFromText="180" w:vertAnchor="text" w:horzAnchor="page" w:tblpX="2450"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tblGrid>
      <w:tr w:rsidR="00613B38" w:rsidRPr="003073CB" w14:paraId="09AFB9B1" w14:textId="77777777" w:rsidTr="00BF3E01">
        <w:trPr>
          <w:trHeight w:val="443"/>
        </w:trPr>
        <w:tc>
          <w:tcPr>
            <w:tcW w:w="4071" w:type="dxa"/>
            <w:vAlign w:val="center"/>
          </w:tcPr>
          <w:p w14:paraId="309971CE" w14:textId="77777777" w:rsidR="00613B38" w:rsidRPr="003073CB" w:rsidRDefault="00613B38" w:rsidP="000544DE">
            <w:pPr>
              <w:spacing w:line="360" w:lineRule="auto"/>
              <w:jc w:val="both"/>
              <w:rPr>
                <w:color w:val="0D0D0D"/>
                <w:sz w:val="24"/>
                <w:szCs w:val="24"/>
                <w:lang w:bidi="mr-IN"/>
              </w:rPr>
            </w:pPr>
            <w:r w:rsidRPr="003073CB">
              <w:rPr>
                <w:color w:val="0D0D0D"/>
                <w:sz w:val="24"/>
                <w:szCs w:val="24"/>
                <w:lang w:bidi="mr-IN"/>
              </w:rPr>
              <w:t>Net return = Gross return – Total cost</w:t>
            </w:r>
          </w:p>
        </w:tc>
      </w:tr>
    </w:tbl>
    <w:p w14:paraId="35736436" w14:textId="77777777" w:rsidR="00613B38" w:rsidRPr="003073CB" w:rsidRDefault="00613B38" w:rsidP="000544DE">
      <w:pPr>
        <w:spacing w:line="360" w:lineRule="auto"/>
        <w:jc w:val="both"/>
        <w:rPr>
          <w:sz w:val="24"/>
          <w:szCs w:val="24"/>
        </w:rPr>
      </w:pPr>
    </w:p>
    <w:tbl>
      <w:tblPr>
        <w:tblpPr w:leftFromText="180" w:rightFromText="180" w:vertAnchor="text" w:horzAnchor="page" w:tblpX="2450"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tblGrid>
      <w:tr w:rsidR="00613B38" w:rsidRPr="003073CB" w14:paraId="52F01F89" w14:textId="77777777" w:rsidTr="000423E9">
        <w:trPr>
          <w:trHeight w:val="1102"/>
        </w:trPr>
        <w:tc>
          <w:tcPr>
            <w:tcW w:w="4765" w:type="dxa"/>
            <w:vAlign w:val="bottom"/>
          </w:tcPr>
          <w:p w14:paraId="26D84C34" w14:textId="77777777" w:rsidR="00613B38" w:rsidRPr="003073CB" w:rsidRDefault="00613B38" w:rsidP="000544DE">
            <w:pPr>
              <w:spacing w:line="360" w:lineRule="auto"/>
              <w:jc w:val="both"/>
              <w:rPr>
                <w:bCs/>
                <w:color w:val="000000"/>
                <w:sz w:val="24"/>
                <w:szCs w:val="24"/>
              </w:rPr>
            </w:pPr>
            <w:r w:rsidRPr="003073CB">
              <w:rPr>
                <w:bCs/>
                <w:color w:val="000000"/>
                <w:sz w:val="24"/>
                <w:szCs w:val="24"/>
              </w:rPr>
              <w:t>Benefit: Cost Ratio =</w:t>
            </w:r>
            <m:oMath>
              <m:f>
                <m:fPr>
                  <m:ctrlPr>
                    <w:rPr>
                      <w:rFonts w:ascii="Cambria Math" w:hAnsi="Cambria Math"/>
                      <w:bCs/>
                      <w:iCs/>
                      <w:color w:val="000000"/>
                      <w:sz w:val="24"/>
                      <w:szCs w:val="24"/>
                    </w:rPr>
                  </m:ctrlPr>
                </m:fPr>
                <m:num>
                  <m:r>
                    <m:rPr>
                      <m:sty m:val="p"/>
                    </m:rPr>
                    <w:rPr>
                      <w:rFonts w:ascii="Cambria Math" w:hAnsi="Cambria Math"/>
                      <w:color w:val="000000"/>
                      <w:sz w:val="24"/>
                      <w:szCs w:val="24"/>
                    </w:rPr>
                    <m:t>Gross return</m:t>
                  </m:r>
                </m:num>
                <m:den>
                  <m:r>
                    <m:rPr>
                      <m:sty m:val="p"/>
                    </m:rPr>
                    <w:rPr>
                      <w:rFonts w:ascii="Cambria Math" w:hAnsi="Cambria Math"/>
                      <w:color w:val="000000"/>
                      <w:sz w:val="24"/>
                      <w:szCs w:val="24"/>
                    </w:rPr>
                    <m:t xml:space="preserve">Total Cost of cultivation </m:t>
                  </m:r>
                </m:den>
              </m:f>
            </m:oMath>
            <w:r w:rsidRPr="003073CB">
              <w:rPr>
                <w:bCs/>
                <w:color w:val="000000"/>
                <w:sz w:val="24"/>
                <w:szCs w:val="24"/>
              </w:rPr>
              <w:t xml:space="preserve"> </w:t>
            </w:r>
          </w:p>
        </w:tc>
      </w:tr>
    </w:tbl>
    <w:p w14:paraId="60F6B0E5" w14:textId="77777777" w:rsidR="00195DD4" w:rsidRDefault="00195DD4" w:rsidP="000544DE">
      <w:pPr>
        <w:jc w:val="both"/>
        <w:rPr>
          <w:b/>
          <w:bCs/>
          <w:sz w:val="28"/>
          <w:szCs w:val="28"/>
        </w:rPr>
      </w:pPr>
    </w:p>
    <w:p w14:paraId="72ED3122" w14:textId="77777777" w:rsidR="00195DD4" w:rsidRDefault="00195DD4" w:rsidP="000544DE">
      <w:pPr>
        <w:jc w:val="both"/>
        <w:rPr>
          <w:b/>
          <w:bCs/>
          <w:sz w:val="28"/>
          <w:szCs w:val="28"/>
        </w:rPr>
      </w:pPr>
    </w:p>
    <w:p w14:paraId="1082CD6E" w14:textId="77777777" w:rsidR="00195DD4" w:rsidRDefault="00195DD4" w:rsidP="000544DE">
      <w:pPr>
        <w:jc w:val="both"/>
        <w:rPr>
          <w:b/>
          <w:bCs/>
          <w:sz w:val="28"/>
          <w:szCs w:val="28"/>
        </w:rPr>
      </w:pPr>
    </w:p>
    <w:p w14:paraId="050FB3FB" w14:textId="77777777" w:rsidR="000423E9" w:rsidRDefault="000423E9" w:rsidP="000544DE">
      <w:pPr>
        <w:jc w:val="both"/>
        <w:rPr>
          <w:b/>
          <w:bCs/>
          <w:sz w:val="28"/>
          <w:szCs w:val="28"/>
        </w:rPr>
      </w:pPr>
    </w:p>
    <w:p w14:paraId="46784E71" w14:textId="77777777" w:rsidR="000423E9" w:rsidRDefault="000423E9" w:rsidP="000544DE">
      <w:pPr>
        <w:jc w:val="both"/>
        <w:rPr>
          <w:b/>
          <w:bCs/>
          <w:sz w:val="28"/>
          <w:szCs w:val="28"/>
        </w:rPr>
      </w:pPr>
    </w:p>
    <w:p w14:paraId="10662FFA" w14:textId="77777777" w:rsidR="00EB1482" w:rsidRPr="007B26EC" w:rsidRDefault="00931E02" w:rsidP="000544DE">
      <w:pPr>
        <w:jc w:val="both"/>
        <w:rPr>
          <w:sz w:val="28"/>
          <w:szCs w:val="28"/>
        </w:rPr>
      </w:pPr>
      <w:r>
        <w:rPr>
          <w:b/>
          <w:bCs/>
          <w:sz w:val="28"/>
          <w:szCs w:val="28"/>
        </w:rPr>
        <w:t xml:space="preserve">                                                                                  </w:t>
      </w:r>
      <w:r w:rsidR="007616D7" w:rsidRPr="007B26EC">
        <w:rPr>
          <w:sz w:val="24"/>
          <w:szCs w:val="24"/>
          <w:highlight w:val="yellow"/>
        </w:rPr>
        <w:t>(Naik and Kumar 2023)</w:t>
      </w:r>
      <w:r w:rsidRPr="007B26EC">
        <w:rPr>
          <w:sz w:val="24"/>
          <w:szCs w:val="24"/>
        </w:rPr>
        <w:t xml:space="preserve">           </w:t>
      </w:r>
    </w:p>
    <w:p w14:paraId="3B4B4504" w14:textId="77777777" w:rsidR="00613B38" w:rsidRDefault="00613B38" w:rsidP="000544DE">
      <w:pPr>
        <w:jc w:val="both"/>
        <w:rPr>
          <w:b/>
          <w:bCs/>
          <w:sz w:val="28"/>
          <w:szCs w:val="28"/>
        </w:rPr>
      </w:pPr>
    </w:p>
    <w:p w14:paraId="51A370F6" w14:textId="77777777" w:rsidR="00C256E6" w:rsidRPr="003073CB" w:rsidRDefault="00C256E6" w:rsidP="000544DE">
      <w:pPr>
        <w:pStyle w:val="ListParagraph"/>
        <w:numPr>
          <w:ilvl w:val="0"/>
          <w:numId w:val="1"/>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RESULT AND DISCUSSION</w:t>
      </w:r>
    </w:p>
    <w:p w14:paraId="0631644A" w14:textId="77777777" w:rsidR="00C256E6" w:rsidRDefault="00C256E6" w:rsidP="000544DE">
      <w:pPr>
        <w:jc w:val="both"/>
        <w:rPr>
          <w:b/>
          <w:bCs/>
          <w:sz w:val="24"/>
          <w:szCs w:val="24"/>
        </w:rPr>
      </w:pPr>
    </w:p>
    <w:p w14:paraId="2FE112F9" w14:textId="6B3BDD28" w:rsidR="001451BC" w:rsidRPr="00916B01" w:rsidRDefault="00916B01" w:rsidP="00916B01">
      <w:pPr>
        <w:spacing w:line="360" w:lineRule="auto"/>
        <w:ind w:firstLine="720"/>
        <w:jc w:val="both"/>
        <w:rPr>
          <w:sz w:val="24"/>
          <w:szCs w:val="24"/>
          <w:highlight w:val="yellow"/>
        </w:rPr>
      </w:pPr>
      <w:r w:rsidRPr="00916B01">
        <w:rPr>
          <w:sz w:val="24"/>
          <w:szCs w:val="24"/>
          <w:highlight w:val="yellow"/>
        </w:rPr>
        <w:t>The observations of shoot borer infestation on brinjal at 3, 7, and 14 days after spraying showed that all chemical treatments performed significantly better than the untreated control. Among these, the lowest percentage of shoot infestation was recorded in</w:t>
      </w:r>
      <w:r w:rsidRPr="00916B01">
        <w:rPr>
          <w:sz w:val="24"/>
          <w:szCs w:val="24"/>
        </w:rPr>
        <w:t xml:space="preserve"> </w:t>
      </w:r>
      <w:r w:rsidR="00F72278" w:rsidRPr="00916B01">
        <w:rPr>
          <w:sz w:val="24"/>
          <w:szCs w:val="24"/>
        </w:rPr>
        <w:lastRenderedPageBreak/>
        <w:t xml:space="preserve">Chlorantraniliprole (3.64) followed by </w:t>
      </w:r>
      <w:proofErr w:type="spellStart"/>
      <w:r w:rsidR="00F72278" w:rsidRPr="00916B01">
        <w:rPr>
          <w:i/>
          <w:iCs/>
          <w:sz w:val="24"/>
          <w:szCs w:val="24"/>
          <w:highlight w:val="yellow"/>
        </w:rPr>
        <w:t>Emamectin</w:t>
      </w:r>
      <w:proofErr w:type="spellEnd"/>
      <w:r w:rsidR="00F72278" w:rsidRPr="00916B01">
        <w:rPr>
          <w:sz w:val="24"/>
          <w:szCs w:val="24"/>
          <w:highlight w:val="yellow"/>
        </w:rPr>
        <w:t xml:space="preserve"> </w:t>
      </w:r>
      <w:r w:rsidR="00F72278" w:rsidRPr="00916B01">
        <w:rPr>
          <w:i/>
          <w:iCs/>
          <w:sz w:val="24"/>
          <w:szCs w:val="24"/>
          <w:highlight w:val="yellow"/>
        </w:rPr>
        <w:t>benzoate</w:t>
      </w:r>
      <w:r w:rsidR="00F72278" w:rsidRPr="00916B01">
        <w:rPr>
          <w:sz w:val="24"/>
          <w:szCs w:val="24"/>
        </w:rPr>
        <w:t xml:space="preserve"> 5</w:t>
      </w:r>
      <w:r w:rsidR="001E2F40" w:rsidRPr="00916B01">
        <w:rPr>
          <w:sz w:val="24"/>
          <w:szCs w:val="24"/>
        </w:rPr>
        <w:t xml:space="preserve">% </w:t>
      </w:r>
      <w:r w:rsidR="00F72278" w:rsidRPr="00916B01">
        <w:rPr>
          <w:sz w:val="24"/>
          <w:szCs w:val="24"/>
        </w:rPr>
        <w:t>SG (3.95) and Spinosad</w:t>
      </w:r>
      <w:r w:rsidR="001E2F40" w:rsidRPr="00916B01">
        <w:rPr>
          <w:sz w:val="24"/>
          <w:szCs w:val="24"/>
        </w:rPr>
        <w:t xml:space="preserve"> </w:t>
      </w:r>
      <w:r w:rsidR="00F72278" w:rsidRPr="00916B01">
        <w:rPr>
          <w:sz w:val="24"/>
          <w:szCs w:val="24"/>
        </w:rPr>
        <w:t>45</w:t>
      </w:r>
      <w:r w:rsidR="001E2F40" w:rsidRPr="00916B01">
        <w:rPr>
          <w:sz w:val="24"/>
          <w:szCs w:val="24"/>
        </w:rPr>
        <w:t xml:space="preserve">% </w:t>
      </w:r>
      <w:r w:rsidR="00F72278" w:rsidRPr="00916B01">
        <w:rPr>
          <w:sz w:val="24"/>
          <w:szCs w:val="24"/>
        </w:rPr>
        <w:t>SC (4.34). Treatment Cypermethrin</w:t>
      </w:r>
      <w:r w:rsidR="001E2F40" w:rsidRPr="00916B01">
        <w:rPr>
          <w:sz w:val="24"/>
          <w:szCs w:val="24"/>
        </w:rPr>
        <w:t xml:space="preserve"> </w:t>
      </w:r>
      <w:r w:rsidR="00F72278" w:rsidRPr="00916B01">
        <w:rPr>
          <w:sz w:val="24"/>
          <w:szCs w:val="24"/>
        </w:rPr>
        <w:t>25</w:t>
      </w:r>
      <w:r w:rsidR="001E2F40" w:rsidRPr="00916B01">
        <w:rPr>
          <w:sz w:val="24"/>
          <w:szCs w:val="24"/>
        </w:rPr>
        <w:t>%</w:t>
      </w:r>
      <w:r w:rsidR="00F72278" w:rsidRPr="00916B01">
        <w:rPr>
          <w:sz w:val="24"/>
          <w:szCs w:val="24"/>
        </w:rPr>
        <w:t xml:space="preserve"> EC (4.62), </w:t>
      </w:r>
      <w:r w:rsidR="00F72278" w:rsidRPr="00916B01">
        <w:rPr>
          <w:i/>
          <w:iCs/>
          <w:sz w:val="24"/>
          <w:szCs w:val="24"/>
        </w:rPr>
        <w:t>Beauveria</w:t>
      </w:r>
      <w:r w:rsidR="00F72278" w:rsidRPr="00916B01">
        <w:rPr>
          <w:sz w:val="24"/>
          <w:szCs w:val="24"/>
        </w:rPr>
        <w:t xml:space="preserve"> </w:t>
      </w:r>
      <w:r w:rsidR="00F72278" w:rsidRPr="00916B01">
        <w:rPr>
          <w:i/>
          <w:iCs/>
          <w:sz w:val="24"/>
          <w:szCs w:val="24"/>
        </w:rPr>
        <w:t>bassiana</w:t>
      </w:r>
      <w:r w:rsidR="00F72278" w:rsidRPr="00916B01">
        <w:rPr>
          <w:sz w:val="24"/>
          <w:szCs w:val="24"/>
        </w:rPr>
        <w:t xml:space="preserve"> (5.14) were statistically at par with each other and treatments NSKE 5% (5.62), Neem oil 2% (5.99) were found be least effective but significantly superior over the contro</w:t>
      </w:r>
      <w:r w:rsidR="001E2F40" w:rsidRPr="00916B01">
        <w:rPr>
          <w:sz w:val="24"/>
          <w:szCs w:val="24"/>
        </w:rPr>
        <w:t>l.</w:t>
      </w:r>
    </w:p>
    <w:p w14:paraId="40F58D89" w14:textId="3BAF3989" w:rsidR="00916B01" w:rsidRPr="00916B01" w:rsidRDefault="00916B01" w:rsidP="00916B01">
      <w:pPr>
        <w:spacing w:line="360" w:lineRule="auto"/>
        <w:ind w:firstLine="720"/>
        <w:jc w:val="both"/>
        <w:rPr>
          <w:sz w:val="24"/>
          <w:szCs w:val="24"/>
          <w:highlight w:val="yellow"/>
        </w:rPr>
      </w:pPr>
      <w:r w:rsidRPr="00916B01">
        <w:rPr>
          <w:sz w:val="24"/>
          <w:szCs w:val="24"/>
          <w:highlight w:val="yellow"/>
        </w:rPr>
        <w:t>The percentage of shoot borer infestation on brinjal recorded on the 3, 7 and 14 days after spraying showed that all chemical treatments were significantly more effective than the control. Among these treatments, the lowest shoot infestation was observed in</w:t>
      </w:r>
      <w:r w:rsidRPr="00916B01">
        <w:rPr>
          <w:sz w:val="24"/>
          <w:szCs w:val="24"/>
        </w:rPr>
        <w:t xml:space="preserve"> </w:t>
      </w:r>
      <w:r w:rsidR="00935731" w:rsidRPr="00916B01">
        <w:rPr>
          <w:sz w:val="24"/>
          <w:szCs w:val="24"/>
        </w:rPr>
        <w:t xml:space="preserve">Chlorantraniliprole (3.91) followed by </w:t>
      </w:r>
      <w:proofErr w:type="spellStart"/>
      <w:r w:rsidR="00935731" w:rsidRPr="00916B01">
        <w:rPr>
          <w:i/>
          <w:iCs/>
          <w:sz w:val="24"/>
          <w:szCs w:val="24"/>
        </w:rPr>
        <w:t>Emamectin</w:t>
      </w:r>
      <w:proofErr w:type="spellEnd"/>
      <w:r w:rsidR="00935731" w:rsidRPr="00916B01">
        <w:rPr>
          <w:sz w:val="24"/>
          <w:szCs w:val="24"/>
        </w:rPr>
        <w:t xml:space="preserve"> </w:t>
      </w:r>
      <w:r w:rsidR="00935731" w:rsidRPr="00916B01">
        <w:rPr>
          <w:i/>
          <w:iCs/>
          <w:sz w:val="24"/>
          <w:szCs w:val="24"/>
        </w:rPr>
        <w:t>benzoate</w:t>
      </w:r>
      <w:r w:rsidR="001E2F40" w:rsidRPr="00916B01">
        <w:rPr>
          <w:sz w:val="24"/>
          <w:szCs w:val="24"/>
        </w:rPr>
        <w:t xml:space="preserve"> </w:t>
      </w:r>
      <w:r w:rsidR="00935731" w:rsidRPr="00916B01">
        <w:rPr>
          <w:sz w:val="24"/>
          <w:szCs w:val="24"/>
        </w:rPr>
        <w:t>5</w:t>
      </w:r>
      <w:r w:rsidR="001E2F40" w:rsidRPr="00916B01">
        <w:rPr>
          <w:sz w:val="24"/>
          <w:szCs w:val="24"/>
        </w:rPr>
        <w:t xml:space="preserve">% </w:t>
      </w:r>
      <w:r w:rsidR="00935731" w:rsidRPr="00916B01">
        <w:rPr>
          <w:sz w:val="24"/>
          <w:szCs w:val="24"/>
        </w:rPr>
        <w:t>SG (4.35) and Spinosad</w:t>
      </w:r>
      <w:r w:rsidR="001E2F40" w:rsidRPr="00916B01">
        <w:rPr>
          <w:sz w:val="24"/>
          <w:szCs w:val="24"/>
        </w:rPr>
        <w:t xml:space="preserve"> </w:t>
      </w:r>
      <w:r w:rsidR="00935731" w:rsidRPr="00916B01">
        <w:rPr>
          <w:sz w:val="24"/>
          <w:szCs w:val="24"/>
        </w:rPr>
        <w:t>45</w:t>
      </w:r>
      <w:r w:rsidR="001E2F40" w:rsidRPr="00916B01">
        <w:rPr>
          <w:sz w:val="24"/>
          <w:szCs w:val="24"/>
        </w:rPr>
        <w:t xml:space="preserve">% </w:t>
      </w:r>
      <w:r w:rsidR="00935731" w:rsidRPr="00916B01">
        <w:rPr>
          <w:sz w:val="24"/>
          <w:szCs w:val="24"/>
        </w:rPr>
        <w:t xml:space="preserve">SC (4.61). </w:t>
      </w:r>
      <w:r w:rsidRPr="00916B01">
        <w:rPr>
          <w:sz w:val="24"/>
          <w:szCs w:val="24"/>
          <w:highlight w:val="yellow"/>
        </w:rPr>
        <w:t xml:space="preserve">The treatments Cypermethrin 25% EC (5.13) and </w:t>
      </w:r>
      <w:r w:rsidRPr="00916B01">
        <w:rPr>
          <w:i/>
          <w:iCs/>
          <w:sz w:val="24"/>
          <w:szCs w:val="24"/>
          <w:highlight w:val="yellow"/>
        </w:rPr>
        <w:t>Beauveria bassiana</w:t>
      </w:r>
      <w:r w:rsidRPr="00916B01">
        <w:rPr>
          <w:sz w:val="24"/>
          <w:szCs w:val="24"/>
          <w:highlight w:val="yellow"/>
        </w:rPr>
        <w:t xml:space="preserve"> (5.31) showed similar effectiveness, with no significant difference between them. Meanwhile, NSKE 5% (5.57) and Neem oil 2% (5.99) were the least effective treatments but still performed significantly better than the untreated control.</w:t>
      </w:r>
    </w:p>
    <w:p w14:paraId="2C61228A" w14:textId="27438628" w:rsidR="00916B01" w:rsidRPr="00916B01" w:rsidRDefault="00916B01" w:rsidP="00916B01">
      <w:pPr>
        <w:spacing w:line="360" w:lineRule="auto"/>
        <w:ind w:firstLine="720"/>
        <w:jc w:val="both"/>
        <w:rPr>
          <w:sz w:val="24"/>
          <w:szCs w:val="24"/>
          <w:highlight w:val="yellow"/>
        </w:rPr>
      </w:pPr>
      <w:r w:rsidRPr="00916B01">
        <w:rPr>
          <w:sz w:val="24"/>
          <w:szCs w:val="24"/>
          <w:highlight w:val="yellow"/>
        </w:rPr>
        <w:t xml:space="preserve">These findings align with previous studies such as Bhagwan </w:t>
      </w:r>
      <w:r w:rsidRPr="00916B01">
        <w:rPr>
          <w:i/>
          <w:iCs/>
          <w:sz w:val="24"/>
          <w:szCs w:val="24"/>
          <w:highlight w:val="yellow"/>
        </w:rPr>
        <w:t>et al.</w:t>
      </w:r>
      <w:r w:rsidRPr="00916B01">
        <w:rPr>
          <w:sz w:val="24"/>
          <w:szCs w:val="24"/>
          <w:highlight w:val="yellow"/>
        </w:rPr>
        <w:t xml:space="preserve"> (2017), Kumar </w:t>
      </w:r>
      <w:r w:rsidRPr="00916B01">
        <w:rPr>
          <w:i/>
          <w:iCs/>
          <w:sz w:val="24"/>
          <w:szCs w:val="24"/>
          <w:highlight w:val="yellow"/>
        </w:rPr>
        <w:t>et al.</w:t>
      </w:r>
      <w:r w:rsidRPr="00916B01">
        <w:rPr>
          <w:sz w:val="24"/>
          <w:szCs w:val="24"/>
          <w:highlight w:val="yellow"/>
        </w:rPr>
        <w:t xml:space="preserve"> (2017), Tripura </w:t>
      </w:r>
      <w:r w:rsidRPr="00916B01">
        <w:rPr>
          <w:i/>
          <w:iCs/>
          <w:sz w:val="24"/>
          <w:szCs w:val="24"/>
          <w:highlight w:val="yellow"/>
        </w:rPr>
        <w:t>et al.</w:t>
      </w:r>
      <w:r w:rsidRPr="00916B01">
        <w:rPr>
          <w:sz w:val="24"/>
          <w:szCs w:val="24"/>
          <w:highlight w:val="yellow"/>
        </w:rPr>
        <w:t xml:space="preserve"> (2017), Palika </w:t>
      </w:r>
      <w:r w:rsidRPr="00916B01">
        <w:rPr>
          <w:i/>
          <w:iCs/>
          <w:sz w:val="24"/>
          <w:szCs w:val="24"/>
          <w:highlight w:val="yellow"/>
        </w:rPr>
        <w:t>et al.</w:t>
      </w:r>
      <w:r w:rsidRPr="00916B01">
        <w:rPr>
          <w:sz w:val="24"/>
          <w:szCs w:val="24"/>
          <w:highlight w:val="yellow"/>
        </w:rPr>
        <w:t xml:space="preserve"> (2019), and Reddy </w:t>
      </w:r>
      <w:r w:rsidRPr="00916B01">
        <w:rPr>
          <w:i/>
          <w:iCs/>
          <w:sz w:val="24"/>
          <w:szCs w:val="24"/>
          <w:highlight w:val="yellow"/>
        </w:rPr>
        <w:t>et al.</w:t>
      </w:r>
      <w:r w:rsidRPr="00916B01">
        <w:rPr>
          <w:sz w:val="24"/>
          <w:szCs w:val="24"/>
          <w:highlight w:val="yellow"/>
        </w:rPr>
        <w:t xml:space="preserve"> (2022), who reported that Chlorantraniliprole was highly effective in reducing the population of the shoot and fruit borer. Similarly, research by Bhagwan </w:t>
      </w:r>
      <w:r w:rsidRPr="00916B01">
        <w:rPr>
          <w:i/>
          <w:iCs/>
          <w:sz w:val="24"/>
          <w:szCs w:val="24"/>
          <w:highlight w:val="yellow"/>
        </w:rPr>
        <w:t>et al.</w:t>
      </w:r>
      <w:r w:rsidRPr="00916B01">
        <w:rPr>
          <w:sz w:val="24"/>
          <w:szCs w:val="24"/>
          <w:highlight w:val="yellow"/>
        </w:rPr>
        <w:t xml:space="preserve"> (2017), Lekha </w:t>
      </w:r>
      <w:r w:rsidRPr="00916B01">
        <w:rPr>
          <w:i/>
          <w:iCs/>
          <w:sz w:val="24"/>
          <w:szCs w:val="24"/>
          <w:highlight w:val="yellow"/>
        </w:rPr>
        <w:t>et al.</w:t>
      </w:r>
      <w:r w:rsidRPr="00916B01">
        <w:rPr>
          <w:sz w:val="24"/>
          <w:szCs w:val="24"/>
          <w:highlight w:val="yellow"/>
        </w:rPr>
        <w:t xml:space="preserve"> (2018), and Verma </w:t>
      </w:r>
      <w:r w:rsidRPr="00916B01">
        <w:rPr>
          <w:i/>
          <w:iCs/>
          <w:sz w:val="24"/>
          <w:szCs w:val="24"/>
          <w:highlight w:val="yellow"/>
        </w:rPr>
        <w:t>et al.</w:t>
      </w:r>
      <w:r w:rsidRPr="00916B01">
        <w:rPr>
          <w:sz w:val="24"/>
          <w:szCs w:val="24"/>
          <w:highlight w:val="yellow"/>
        </w:rPr>
        <w:t xml:space="preserve"> (2023) indicated that </w:t>
      </w:r>
      <w:proofErr w:type="spellStart"/>
      <w:r w:rsidRPr="00916B01">
        <w:rPr>
          <w:i/>
          <w:iCs/>
          <w:sz w:val="24"/>
          <w:szCs w:val="24"/>
          <w:highlight w:val="yellow"/>
        </w:rPr>
        <w:t>Emamectin</w:t>
      </w:r>
      <w:proofErr w:type="spellEnd"/>
      <w:r w:rsidRPr="00916B01">
        <w:rPr>
          <w:i/>
          <w:iCs/>
          <w:sz w:val="24"/>
          <w:szCs w:val="24"/>
          <w:highlight w:val="yellow"/>
        </w:rPr>
        <w:t xml:space="preserve"> benzoate</w:t>
      </w:r>
      <w:r w:rsidRPr="00916B01">
        <w:rPr>
          <w:sz w:val="24"/>
          <w:szCs w:val="24"/>
          <w:highlight w:val="yellow"/>
        </w:rPr>
        <w:t xml:space="preserve"> was among the best options for controlling this pest. Studies by Devi </w:t>
      </w:r>
      <w:r w:rsidRPr="00916B01">
        <w:rPr>
          <w:i/>
          <w:iCs/>
          <w:sz w:val="24"/>
          <w:szCs w:val="24"/>
          <w:highlight w:val="yellow"/>
        </w:rPr>
        <w:t>et al.</w:t>
      </w:r>
      <w:r w:rsidRPr="00916B01">
        <w:rPr>
          <w:sz w:val="24"/>
          <w:szCs w:val="24"/>
          <w:highlight w:val="yellow"/>
        </w:rPr>
        <w:t xml:space="preserve"> (2015), </w:t>
      </w:r>
      <w:proofErr w:type="spellStart"/>
      <w:r w:rsidRPr="00916B01">
        <w:rPr>
          <w:sz w:val="24"/>
          <w:szCs w:val="24"/>
          <w:highlight w:val="yellow"/>
        </w:rPr>
        <w:t>Marmat</w:t>
      </w:r>
      <w:proofErr w:type="spellEnd"/>
      <w:r w:rsidRPr="00916B01">
        <w:rPr>
          <w:sz w:val="24"/>
          <w:szCs w:val="24"/>
          <w:highlight w:val="yellow"/>
        </w:rPr>
        <w:t xml:space="preserve"> </w:t>
      </w:r>
      <w:r w:rsidRPr="00916B01">
        <w:rPr>
          <w:i/>
          <w:iCs/>
          <w:sz w:val="24"/>
          <w:szCs w:val="24"/>
          <w:highlight w:val="yellow"/>
        </w:rPr>
        <w:t>et al.</w:t>
      </w:r>
      <w:r w:rsidRPr="00916B01">
        <w:rPr>
          <w:sz w:val="24"/>
          <w:szCs w:val="24"/>
          <w:highlight w:val="yellow"/>
        </w:rPr>
        <w:t xml:space="preserve"> (2017), and Nail and Kumar (2023) found Spinosad to be particularly effective against the shoot and fruit borer. According to Yadav </w:t>
      </w:r>
      <w:r w:rsidRPr="00916B01">
        <w:rPr>
          <w:i/>
          <w:iCs/>
          <w:sz w:val="24"/>
          <w:szCs w:val="24"/>
          <w:highlight w:val="yellow"/>
        </w:rPr>
        <w:t>et al.</w:t>
      </w:r>
      <w:r w:rsidRPr="00916B01">
        <w:rPr>
          <w:sz w:val="24"/>
          <w:szCs w:val="24"/>
          <w:highlight w:val="yellow"/>
        </w:rPr>
        <w:t xml:space="preserve"> (2015), </w:t>
      </w:r>
      <w:proofErr w:type="spellStart"/>
      <w:r w:rsidRPr="00916B01">
        <w:rPr>
          <w:sz w:val="24"/>
          <w:szCs w:val="24"/>
          <w:highlight w:val="yellow"/>
        </w:rPr>
        <w:t>Dongarajal</w:t>
      </w:r>
      <w:proofErr w:type="spellEnd"/>
      <w:r w:rsidRPr="00916B01">
        <w:rPr>
          <w:sz w:val="24"/>
          <w:szCs w:val="24"/>
          <w:highlight w:val="yellow"/>
        </w:rPr>
        <w:t xml:space="preserve"> </w:t>
      </w:r>
      <w:r w:rsidRPr="00916B01">
        <w:rPr>
          <w:i/>
          <w:iCs/>
          <w:sz w:val="24"/>
          <w:szCs w:val="24"/>
          <w:highlight w:val="yellow"/>
        </w:rPr>
        <w:t>et al.</w:t>
      </w:r>
      <w:r w:rsidRPr="00916B01">
        <w:rPr>
          <w:sz w:val="24"/>
          <w:szCs w:val="24"/>
          <w:highlight w:val="yellow"/>
        </w:rPr>
        <w:t xml:space="preserve"> (2017), Thakur </w:t>
      </w:r>
      <w:r w:rsidRPr="00916B01">
        <w:rPr>
          <w:i/>
          <w:iCs/>
          <w:sz w:val="24"/>
          <w:szCs w:val="24"/>
          <w:highlight w:val="yellow"/>
        </w:rPr>
        <w:t>et al.</w:t>
      </w:r>
      <w:r w:rsidRPr="00916B01">
        <w:rPr>
          <w:sz w:val="24"/>
          <w:szCs w:val="24"/>
          <w:highlight w:val="yellow"/>
        </w:rPr>
        <w:t xml:space="preserve"> (2017), and Sahu et al. (2017), Cypermethrin showed strong control over the pest population. </w:t>
      </w:r>
      <w:r w:rsidRPr="00916B01">
        <w:rPr>
          <w:i/>
          <w:iCs/>
          <w:sz w:val="24"/>
          <w:szCs w:val="24"/>
          <w:highlight w:val="yellow"/>
        </w:rPr>
        <w:t>Beauveria bassiana</w:t>
      </w:r>
      <w:r w:rsidRPr="00916B01">
        <w:rPr>
          <w:sz w:val="24"/>
          <w:szCs w:val="24"/>
          <w:highlight w:val="yellow"/>
        </w:rPr>
        <w:t xml:space="preserve"> also proved to be an effective treatment, consistent with the results of Sanjana </w:t>
      </w:r>
      <w:r w:rsidRPr="00916B01">
        <w:rPr>
          <w:i/>
          <w:iCs/>
          <w:sz w:val="24"/>
          <w:szCs w:val="24"/>
          <w:highlight w:val="yellow"/>
        </w:rPr>
        <w:t>et al.</w:t>
      </w:r>
      <w:r w:rsidRPr="00916B01">
        <w:rPr>
          <w:sz w:val="24"/>
          <w:szCs w:val="24"/>
          <w:highlight w:val="yellow"/>
        </w:rPr>
        <w:t xml:space="preserve"> (2019). NSKE was found to be a reasonably good treatment as well, which is supported by </w:t>
      </w:r>
      <w:proofErr w:type="spellStart"/>
      <w:r w:rsidRPr="00916B01">
        <w:rPr>
          <w:sz w:val="24"/>
          <w:szCs w:val="24"/>
          <w:highlight w:val="yellow"/>
        </w:rPr>
        <w:t>Shyamrao</w:t>
      </w:r>
      <w:proofErr w:type="spellEnd"/>
      <w:r w:rsidRPr="00916B01">
        <w:rPr>
          <w:sz w:val="24"/>
          <w:szCs w:val="24"/>
          <w:highlight w:val="yellow"/>
        </w:rPr>
        <w:t xml:space="preserve"> </w:t>
      </w:r>
      <w:r w:rsidRPr="00916B01">
        <w:rPr>
          <w:i/>
          <w:iCs/>
          <w:sz w:val="24"/>
          <w:szCs w:val="24"/>
          <w:highlight w:val="yellow"/>
        </w:rPr>
        <w:t>et al.</w:t>
      </w:r>
      <w:r w:rsidRPr="00916B01">
        <w:rPr>
          <w:sz w:val="24"/>
          <w:szCs w:val="24"/>
          <w:highlight w:val="yellow"/>
        </w:rPr>
        <w:t xml:space="preserve"> (2018) and Mourya </w:t>
      </w:r>
      <w:r w:rsidRPr="00916B01">
        <w:rPr>
          <w:i/>
          <w:iCs/>
          <w:sz w:val="24"/>
          <w:szCs w:val="24"/>
          <w:highlight w:val="yellow"/>
        </w:rPr>
        <w:t>et al.</w:t>
      </w:r>
      <w:r w:rsidRPr="00916B01">
        <w:rPr>
          <w:sz w:val="24"/>
          <w:szCs w:val="24"/>
          <w:highlight w:val="yellow"/>
        </w:rPr>
        <w:t xml:space="preserve"> (2023). On the other hand, Neem oil was the least effective in managing shoot and fruit borer infestations and was also more costly, as reported by Maru </w:t>
      </w:r>
      <w:r w:rsidRPr="00916B01">
        <w:rPr>
          <w:i/>
          <w:iCs/>
          <w:sz w:val="24"/>
          <w:szCs w:val="24"/>
          <w:highlight w:val="yellow"/>
        </w:rPr>
        <w:t>et al</w:t>
      </w:r>
      <w:r w:rsidRPr="00916B01">
        <w:rPr>
          <w:sz w:val="24"/>
          <w:szCs w:val="24"/>
          <w:highlight w:val="yellow"/>
        </w:rPr>
        <w:t xml:space="preserve">. (2018) and Ghosh </w:t>
      </w:r>
      <w:r w:rsidRPr="00916B01">
        <w:rPr>
          <w:i/>
          <w:iCs/>
          <w:sz w:val="24"/>
          <w:szCs w:val="24"/>
          <w:highlight w:val="yellow"/>
        </w:rPr>
        <w:t>et al.</w:t>
      </w:r>
      <w:r w:rsidRPr="00916B01">
        <w:rPr>
          <w:sz w:val="24"/>
          <w:szCs w:val="24"/>
          <w:highlight w:val="yellow"/>
        </w:rPr>
        <w:t xml:space="preserve"> (2022).</w:t>
      </w:r>
    </w:p>
    <w:p w14:paraId="6BCF6E4A" w14:textId="77777777" w:rsidR="00916B01" w:rsidRPr="00916B01" w:rsidRDefault="00916B01" w:rsidP="00916B01">
      <w:pPr>
        <w:spacing w:line="360" w:lineRule="auto"/>
        <w:ind w:firstLine="720"/>
        <w:jc w:val="both"/>
        <w:rPr>
          <w:sz w:val="24"/>
          <w:szCs w:val="24"/>
          <w:highlight w:val="yellow"/>
        </w:rPr>
      </w:pPr>
      <w:r w:rsidRPr="00916B01">
        <w:rPr>
          <w:sz w:val="24"/>
          <w:szCs w:val="24"/>
          <w:highlight w:val="yellow"/>
        </w:rPr>
        <w:t xml:space="preserve">The percentage of fruit borer infestation on brinjal was recorded on the 3rd, 7th, and 14th days after spraying, showing that all chemical treatments performed significantly better than the untreated control. Among these, Chlorantraniliprole recorded the lowest infestation at 3.91%, followed by </w:t>
      </w:r>
      <w:proofErr w:type="spellStart"/>
      <w:r w:rsidRPr="00916B01">
        <w:rPr>
          <w:i/>
          <w:iCs/>
          <w:sz w:val="24"/>
          <w:szCs w:val="24"/>
          <w:highlight w:val="yellow"/>
        </w:rPr>
        <w:t>Emamectin</w:t>
      </w:r>
      <w:proofErr w:type="spellEnd"/>
      <w:r w:rsidRPr="00916B01">
        <w:rPr>
          <w:i/>
          <w:iCs/>
          <w:sz w:val="24"/>
          <w:szCs w:val="24"/>
          <w:highlight w:val="yellow"/>
        </w:rPr>
        <w:t xml:space="preserve"> benzoate</w:t>
      </w:r>
      <w:r w:rsidRPr="00916B01">
        <w:rPr>
          <w:sz w:val="24"/>
          <w:szCs w:val="24"/>
          <w:highlight w:val="yellow"/>
        </w:rPr>
        <w:t xml:space="preserve"> 5% SG at 4.35% and Spinosad 45% SC at 4.61%. Cypermethrin 25% EC (5.13%) and </w:t>
      </w:r>
      <w:r w:rsidRPr="00916B01">
        <w:rPr>
          <w:i/>
          <w:iCs/>
          <w:sz w:val="24"/>
          <w:szCs w:val="24"/>
          <w:highlight w:val="yellow"/>
        </w:rPr>
        <w:t>Beauveria bassiana</w:t>
      </w:r>
      <w:r w:rsidRPr="00916B01">
        <w:rPr>
          <w:sz w:val="24"/>
          <w:szCs w:val="24"/>
          <w:highlight w:val="yellow"/>
        </w:rPr>
        <w:t xml:space="preserve"> (5.31%) showed similar levels of control. The treatments NSKE 5% (5.57%) and Neem oil 2% (5.99%) were the least effective but still offered better control compared to the control group.</w:t>
      </w:r>
    </w:p>
    <w:p w14:paraId="74553BB8" w14:textId="2289110A" w:rsidR="001451BC" w:rsidRPr="00916B01" w:rsidRDefault="00916B01" w:rsidP="00916B01">
      <w:pPr>
        <w:pStyle w:val="NormalWeb"/>
        <w:spacing w:line="360" w:lineRule="auto"/>
        <w:ind w:firstLine="720"/>
        <w:jc w:val="both"/>
        <w:rPr>
          <w:highlight w:val="yellow"/>
        </w:rPr>
      </w:pPr>
      <w:r w:rsidRPr="00916B01">
        <w:rPr>
          <w:highlight w:val="yellow"/>
        </w:rPr>
        <w:lastRenderedPageBreak/>
        <w:t xml:space="preserve">There were significant differences in yields among the treatments. The highest yield was obtained with treatment </w:t>
      </w:r>
      <w:r w:rsidR="00C256E6" w:rsidRPr="00916B01">
        <w:t>T</w:t>
      </w:r>
      <w:r w:rsidR="00C256E6" w:rsidRPr="00916B01">
        <w:rPr>
          <w:vertAlign w:val="subscript"/>
        </w:rPr>
        <w:t>7</w:t>
      </w:r>
      <w:r w:rsidR="00C256E6" w:rsidRPr="00916B01">
        <w:t xml:space="preserve"> Chlorantraniliprole (220q/ha) followed by T</w:t>
      </w:r>
      <w:r w:rsidR="00C256E6" w:rsidRPr="00916B01">
        <w:rPr>
          <w:vertAlign w:val="subscript"/>
        </w:rPr>
        <w:t>6</w:t>
      </w:r>
      <w:r w:rsidR="00F860F8" w:rsidRPr="00916B01">
        <w:rPr>
          <w:vertAlign w:val="subscript"/>
        </w:rPr>
        <w:t xml:space="preserve"> </w:t>
      </w:r>
      <w:proofErr w:type="spellStart"/>
      <w:r w:rsidR="00C256E6" w:rsidRPr="00916B01">
        <w:rPr>
          <w:i/>
          <w:iCs/>
        </w:rPr>
        <w:t>Emamectin</w:t>
      </w:r>
      <w:proofErr w:type="spellEnd"/>
      <w:r w:rsidR="00C256E6" w:rsidRPr="00916B01">
        <w:t xml:space="preserve"> </w:t>
      </w:r>
      <w:r w:rsidR="00C256E6" w:rsidRPr="00916B01">
        <w:rPr>
          <w:i/>
          <w:iCs/>
        </w:rPr>
        <w:t>benzoate</w:t>
      </w:r>
      <w:r w:rsidR="00C256E6" w:rsidRPr="00916B01">
        <w:t xml:space="preserve"> 5</w:t>
      </w:r>
      <w:r w:rsidR="00F860F8" w:rsidRPr="00916B01">
        <w:t>%</w:t>
      </w:r>
      <w:r w:rsidR="00C256E6" w:rsidRPr="00916B01">
        <w:t xml:space="preserve"> SG (205 q/ha), T</w:t>
      </w:r>
      <w:r w:rsidR="00C256E6" w:rsidRPr="00916B01">
        <w:rPr>
          <w:vertAlign w:val="subscript"/>
        </w:rPr>
        <w:t>3</w:t>
      </w:r>
      <w:r w:rsidR="00C256E6" w:rsidRPr="00916B01">
        <w:t xml:space="preserve"> Spinosad</w:t>
      </w:r>
      <w:r w:rsidR="00F860F8" w:rsidRPr="00916B01">
        <w:t xml:space="preserve"> </w:t>
      </w:r>
      <w:r w:rsidR="00C256E6" w:rsidRPr="00916B01">
        <w:t>45</w:t>
      </w:r>
      <w:r w:rsidR="00F860F8" w:rsidRPr="00916B01">
        <w:t xml:space="preserve">% </w:t>
      </w:r>
      <w:r w:rsidR="00C256E6" w:rsidRPr="00916B01">
        <w:t>SC (190 q/ha), T</w:t>
      </w:r>
      <w:r w:rsidR="00C256E6" w:rsidRPr="00916B01">
        <w:rPr>
          <w:vertAlign w:val="subscript"/>
        </w:rPr>
        <w:t xml:space="preserve">1 </w:t>
      </w:r>
      <w:r w:rsidR="00C256E6" w:rsidRPr="00916B01">
        <w:t>Cypermethrin</w:t>
      </w:r>
      <w:r w:rsidR="00F860F8" w:rsidRPr="00916B01">
        <w:t xml:space="preserve"> </w:t>
      </w:r>
      <w:r w:rsidR="00C256E6" w:rsidRPr="00916B01">
        <w:t>25</w:t>
      </w:r>
      <w:r w:rsidR="00F860F8" w:rsidRPr="00916B01">
        <w:t xml:space="preserve">% </w:t>
      </w:r>
      <w:r w:rsidR="00C256E6" w:rsidRPr="00916B01">
        <w:t>EC (160 q/ha), T</w:t>
      </w:r>
      <w:r w:rsidR="00C256E6" w:rsidRPr="00916B01">
        <w:rPr>
          <w:vertAlign w:val="subscript"/>
        </w:rPr>
        <w:t>5</w:t>
      </w:r>
      <w:r w:rsidR="00F860F8" w:rsidRPr="00916B01">
        <w:rPr>
          <w:vertAlign w:val="subscript"/>
        </w:rPr>
        <w:t xml:space="preserve"> </w:t>
      </w:r>
      <w:r w:rsidR="00C256E6" w:rsidRPr="00916B01">
        <w:rPr>
          <w:i/>
        </w:rPr>
        <w:t xml:space="preserve">Beauveria bassiana </w:t>
      </w:r>
      <w:r w:rsidR="00C256E6" w:rsidRPr="00916B01">
        <w:t>(140q/ha), T</w:t>
      </w:r>
      <w:r w:rsidR="00C256E6" w:rsidRPr="00916B01">
        <w:rPr>
          <w:vertAlign w:val="subscript"/>
        </w:rPr>
        <w:t xml:space="preserve">4 </w:t>
      </w:r>
      <w:r w:rsidR="00C256E6" w:rsidRPr="00916B01">
        <w:t>NSKE 5% (120q/ha) and the treatment T</w:t>
      </w:r>
      <w:r w:rsidR="00C256E6" w:rsidRPr="00916B01">
        <w:rPr>
          <w:vertAlign w:val="subscript"/>
        </w:rPr>
        <w:t>2</w:t>
      </w:r>
      <w:r w:rsidR="00C256E6" w:rsidRPr="00916B01">
        <w:t xml:space="preserve"> Neem oil 2% (112.5 q/ha) was least effective among all the treatments. Control plot T</w:t>
      </w:r>
      <w:r w:rsidR="00C256E6" w:rsidRPr="00916B01">
        <w:rPr>
          <w:vertAlign w:val="subscript"/>
        </w:rPr>
        <w:t>0</w:t>
      </w:r>
      <w:r w:rsidR="00C256E6" w:rsidRPr="00916B01">
        <w:t xml:space="preserve"> (90.00 q/ha) yield. </w:t>
      </w:r>
    </w:p>
    <w:p w14:paraId="04E0E667" w14:textId="77777777" w:rsidR="00DE17D8" w:rsidRPr="00916B01" w:rsidRDefault="00C256E6" w:rsidP="00F860F8">
      <w:pPr>
        <w:spacing w:line="360" w:lineRule="auto"/>
        <w:ind w:firstLine="720"/>
        <w:jc w:val="both"/>
        <w:rPr>
          <w:sz w:val="24"/>
          <w:szCs w:val="24"/>
        </w:rPr>
      </w:pPr>
      <w:r w:rsidRPr="00916B01">
        <w:rPr>
          <w:sz w:val="24"/>
          <w:szCs w:val="24"/>
        </w:rPr>
        <w:t>When cost benefit ratio was worked out, interesting result was achieved. Among the treatment studied, the best and most economical treatment was T</w:t>
      </w:r>
      <w:r w:rsidRPr="00916B01">
        <w:rPr>
          <w:sz w:val="24"/>
          <w:szCs w:val="24"/>
          <w:vertAlign w:val="subscript"/>
        </w:rPr>
        <w:t>7</w:t>
      </w:r>
      <w:r w:rsidR="00F860F8" w:rsidRPr="00916B01">
        <w:rPr>
          <w:sz w:val="24"/>
          <w:szCs w:val="24"/>
          <w:vertAlign w:val="subscript"/>
        </w:rPr>
        <w:t xml:space="preserve"> </w:t>
      </w:r>
      <w:r w:rsidRPr="00916B01">
        <w:rPr>
          <w:sz w:val="24"/>
          <w:szCs w:val="24"/>
        </w:rPr>
        <w:t>Chlorantraniliprole</w:t>
      </w:r>
      <w:r w:rsidR="00F860F8" w:rsidRPr="00916B01">
        <w:rPr>
          <w:sz w:val="24"/>
          <w:szCs w:val="24"/>
        </w:rPr>
        <w:t xml:space="preserve"> </w:t>
      </w:r>
      <w:r w:rsidRPr="00916B01">
        <w:rPr>
          <w:sz w:val="24"/>
          <w:szCs w:val="24"/>
        </w:rPr>
        <w:t>(1:8.89) followed by T</w:t>
      </w:r>
      <w:r w:rsidRPr="00916B01">
        <w:rPr>
          <w:sz w:val="24"/>
          <w:szCs w:val="24"/>
          <w:vertAlign w:val="subscript"/>
        </w:rPr>
        <w:t>6</w:t>
      </w:r>
      <w:r w:rsidR="00F860F8" w:rsidRPr="00916B01">
        <w:rPr>
          <w:sz w:val="24"/>
          <w:szCs w:val="24"/>
          <w:vertAlign w:val="subscript"/>
        </w:rPr>
        <w:t xml:space="preserve"> </w:t>
      </w:r>
      <w:proofErr w:type="spellStart"/>
      <w:r w:rsidRPr="00916B01">
        <w:rPr>
          <w:i/>
          <w:iCs/>
          <w:sz w:val="24"/>
          <w:szCs w:val="24"/>
        </w:rPr>
        <w:t>Emamectin</w:t>
      </w:r>
      <w:proofErr w:type="spellEnd"/>
      <w:r w:rsidRPr="00916B01">
        <w:rPr>
          <w:sz w:val="24"/>
          <w:szCs w:val="24"/>
        </w:rPr>
        <w:t xml:space="preserve"> </w:t>
      </w:r>
      <w:r w:rsidRPr="00916B01">
        <w:rPr>
          <w:i/>
          <w:iCs/>
          <w:sz w:val="24"/>
          <w:szCs w:val="24"/>
        </w:rPr>
        <w:t>benzoate</w:t>
      </w:r>
      <w:r w:rsidRPr="00916B01">
        <w:rPr>
          <w:sz w:val="24"/>
          <w:szCs w:val="24"/>
        </w:rPr>
        <w:t xml:space="preserve"> 5</w:t>
      </w:r>
      <w:r w:rsidR="00F860F8" w:rsidRPr="00916B01">
        <w:rPr>
          <w:sz w:val="24"/>
          <w:szCs w:val="24"/>
        </w:rPr>
        <w:t xml:space="preserve">% </w:t>
      </w:r>
      <w:r w:rsidRPr="00916B01">
        <w:rPr>
          <w:sz w:val="24"/>
          <w:szCs w:val="24"/>
        </w:rPr>
        <w:t>SG (1:7.89), T</w:t>
      </w:r>
      <w:r w:rsidRPr="00916B01">
        <w:rPr>
          <w:sz w:val="24"/>
          <w:szCs w:val="24"/>
          <w:vertAlign w:val="subscript"/>
        </w:rPr>
        <w:t>3</w:t>
      </w:r>
      <w:r w:rsidRPr="00916B01">
        <w:rPr>
          <w:sz w:val="24"/>
          <w:szCs w:val="24"/>
        </w:rPr>
        <w:t xml:space="preserve"> Spinosad</w:t>
      </w:r>
      <w:r w:rsidR="00F860F8" w:rsidRPr="00916B01">
        <w:rPr>
          <w:sz w:val="24"/>
          <w:szCs w:val="24"/>
        </w:rPr>
        <w:t xml:space="preserve"> </w:t>
      </w:r>
      <w:r w:rsidRPr="00916B01">
        <w:rPr>
          <w:sz w:val="24"/>
          <w:szCs w:val="24"/>
        </w:rPr>
        <w:t>45</w:t>
      </w:r>
      <w:r w:rsidR="00F860F8" w:rsidRPr="00916B01">
        <w:rPr>
          <w:sz w:val="24"/>
          <w:szCs w:val="24"/>
        </w:rPr>
        <w:t xml:space="preserve">% </w:t>
      </w:r>
      <w:r w:rsidRPr="00916B01">
        <w:rPr>
          <w:sz w:val="24"/>
          <w:szCs w:val="24"/>
        </w:rPr>
        <w:t>SC (1:7.80), T</w:t>
      </w:r>
      <w:r w:rsidRPr="00916B01">
        <w:rPr>
          <w:sz w:val="24"/>
          <w:szCs w:val="24"/>
          <w:vertAlign w:val="subscript"/>
        </w:rPr>
        <w:t xml:space="preserve">1 </w:t>
      </w:r>
      <w:r w:rsidRPr="00916B01">
        <w:rPr>
          <w:sz w:val="24"/>
          <w:szCs w:val="24"/>
        </w:rPr>
        <w:t>Cypermethrin</w:t>
      </w:r>
      <w:r w:rsidR="00F860F8" w:rsidRPr="00916B01">
        <w:rPr>
          <w:sz w:val="24"/>
          <w:szCs w:val="24"/>
        </w:rPr>
        <w:t xml:space="preserve"> </w:t>
      </w:r>
      <w:r w:rsidRPr="00916B01">
        <w:rPr>
          <w:sz w:val="24"/>
          <w:szCs w:val="24"/>
        </w:rPr>
        <w:t>25</w:t>
      </w:r>
      <w:r w:rsidR="00F860F8" w:rsidRPr="00916B01">
        <w:rPr>
          <w:sz w:val="24"/>
          <w:szCs w:val="24"/>
        </w:rPr>
        <w:t xml:space="preserve">% </w:t>
      </w:r>
      <w:r w:rsidRPr="00916B01">
        <w:rPr>
          <w:sz w:val="24"/>
          <w:szCs w:val="24"/>
        </w:rPr>
        <w:t>EC (1:6.49), T</w:t>
      </w:r>
      <w:r w:rsidRPr="00916B01">
        <w:rPr>
          <w:sz w:val="24"/>
          <w:szCs w:val="24"/>
          <w:vertAlign w:val="subscript"/>
        </w:rPr>
        <w:t xml:space="preserve">5 </w:t>
      </w:r>
      <w:r w:rsidRPr="00916B01">
        <w:rPr>
          <w:i/>
          <w:sz w:val="24"/>
          <w:szCs w:val="24"/>
        </w:rPr>
        <w:t xml:space="preserve">Beauveria bassiana </w:t>
      </w:r>
      <w:r w:rsidRPr="00916B01">
        <w:rPr>
          <w:sz w:val="24"/>
          <w:szCs w:val="24"/>
        </w:rPr>
        <w:t>(1:5.81), T</w:t>
      </w:r>
      <w:r w:rsidRPr="00916B01">
        <w:rPr>
          <w:sz w:val="24"/>
          <w:szCs w:val="24"/>
          <w:vertAlign w:val="subscript"/>
        </w:rPr>
        <w:t xml:space="preserve">4 </w:t>
      </w:r>
      <w:r w:rsidRPr="00916B01">
        <w:rPr>
          <w:sz w:val="24"/>
          <w:szCs w:val="24"/>
        </w:rPr>
        <w:t>NSKE 5% (1:4.89) and the treatment T</w:t>
      </w:r>
      <w:r w:rsidRPr="00916B01">
        <w:rPr>
          <w:sz w:val="24"/>
          <w:szCs w:val="24"/>
          <w:vertAlign w:val="subscript"/>
        </w:rPr>
        <w:t>2</w:t>
      </w:r>
      <w:r w:rsidRPr="00916B01">
        <w:rPr>
          <w:sz w:val="24"/>
          <w:szCs w:val="24"/>
        </w:rPr>
        <w:t xml:space="preserve"> Neem oil 2% (1:4.45) as compared to Control T</w:t>
      </w:r>
      <w:r w:rsidRPr="00916B01">
        <w:rPr>
          <w:sz w:val="24"/>
          <w:szCs w:val="24"/>
          <w:vertAlign w:val="subscript"/>
        </w:rPr>
        <w:t>0</w:t>
      </w:r>
      <w:r w:rsidRPr="00916B01">
        <w:rPr>
          <w:sz w:val="24"/>
          <w:szCs w:val="24"/>
        </w:rPr>
        <w:t xml:space="preserve"> (1:3.86) .</w:t>
      </w:r>
    </w:p>
    <w:p w14:paraId="42F3A7E7" w14:textId="77777777" w:rsidR="00DE17D8" w:rsidRPr="00916B01" w:rsidRDefault="00DE17D8" w:rsidP="00E2354F">
      <w:pPr>
        <w:spacing w:line="360" w:lineRule="auto"/>
        <w:jc w:val="both"/>
        <w:rPr>
          <w:color w:val="000000"/>
          <w:sz w:val="24"/>
          <w:szCs w:val="24"/>
          <w:lang w:bidi="mr-IN"/>
        </w:rPr>
      </w:pPr>
    </w:p>
    <w:p w14:paraId="187D2263" w14:textId="77777777" w:rsidR="001451BC" w:rsidRPr="007B26EC" w:rsidRDefault="00613B38" w:rsidP="00F860F8">
      <w:pPr>
        <w:spacing w:line="360" w:lineRule="auto"/>
        <w:ind w:firstLine="720"/>
        <w:jc w:val="both"/>
        <w:rPr>
          <w:sz w:val="24"/>
          <w:szCs w:val="24"/>
        </w:rPr>
      </w:pPr>
      <w:r w:rsidRPr="00916B01">
        <w:rPr>
          <w:color w:val="000000"/>
          <w:sz w:val="24"/>
          <w:szCs w:val="24"/>
          <w:lang w:bidi="mr-IN"/>
        </w:rPr>
        <w:t>M</w:t>
      </w:r>
      <w:r w:rsidR="00DE17D8" w:rsidRPr="00916B01">
        <w:rPr>
          <w:color w:val="000000"/>
          <w:sz w:val="24"/>
          <w:szCs w:val="24"/>
          <w:lang w:bidi="mr-IN"/>
        </w:rPr>
        <w:t>aximum cost benefit ratio (1:8.</w:t>
      </w:r>
      <w:r w:rsidRPr="00916B01">
        <w:rPr>
          <w:color w:val="000000"/>
          <w:sz w:val="24"/>
          <w:szCs w:val="24"/>
          <w:lang w:bidi="mr-IN"/>
        </w:rPr>
        <w:t>8</w:t>
      </w:r>
      <w:r w:rsidR="00DE17D8" w:rsidRPr="00916B01">
        <w:rPr>
          <w:color w:val="000000"/>
          <w:sz w:val="24"/>
          <w:szCs w:val="24"/>
          <w:lang w:bidi="mr-IN"/>
        </w:rPr>
        <w:t>9</w:t>
      </w:r>
      <w:r w:rsidRPr="00916B01">
        <w:rPr>
          <w:color w:val="000000"/>
          <w:sz w:val="24"/>
          <w:szCs w:val="24"/>
          <w:lang w:bidi="mr-IN"/>
        </w:rPr>
        <w:t xml:space="preserve">) was obtained in </w:t>
      </w:r>
      <w:r w:rsidRPr="00916B01">
        <w:rPr>
          <w:color w:val="000000"/>
          <w:sz w:val="24"/>
          <w:szCs w:val="24"/>
          <w:lang w:eastAsia="en-IN"/>
        </w:rPr>
        <w:t>Chlorantranili</w:t>
      </w:r>
      <w:r w:rsidR="00DE17D8" w:rsidRPr="00916B01">
        <w:rPr>
          <w:color w:val="000000"/>
          <w:sz w:val="24"/>
          <w:szCs w:val="24"/>
          <w:lang w:eastAsia="en-IN"/>
        </w:rPr>
        <w:t xml:space="preserve">prole </w:t>
      </w:r>
      <w:r w:rsidRPr="00916B01">
        <w:rPr>
          <w:color w:val="000000"/>
          <w:sz w:val="24"/>
          <w:szCs w:val="24"/>
          <w:lang w:bidi="mr-IN"/>
        </w:rPr>
        <w:t xml:space="preserve">which was </w:t>
      </w:r>
      <w:r w:rsidRPr="00916B01">
        <w:rPr>
          <w:sz w:val="24"/>
          <w:szCs w:val="24"/>
          <w:lang w:bidi="mr-IN"/>
        </w:rPr>
        <w:t xml:space="preserve">supported by </w:t>
      </w:r>
      <w:r w:rsidR="008D4257" w:rsidRPr="00916B01">
        <w:rPr>
          <w:sz w:val="24"/>
          <w:szCs w:val="24"/>
          <w:highlight w:val="yellow"/>
          <w:lang w:bidi="mr-IN"/>
        </w:rPr>
        <w:t xml:space="preserve">Reddy </w:t>
      </w:r>
      <w:r w:rsidR="008D4257" w:rsidRPr="00916B01">
        <w:rPr>
          <w:i/>
          <w:iCs/>
          <w:sz w:val="24"/>
          <w:szCs w:val="24"/>
          <w:highlight w:val="yellow"/>
          <w:lang w:bidi="mr-IN"/>
        </w:rPr>
        <w:t>et al.,</w:t>
      </w:r>
      <w:r w:rsidR="008D4257" w:rsidRPr="00916B01">
        <w:rPr>
          <w:sz w:val="24"/>
          <w:szCs w:val="24"/>
          <w:highlight w:val="yellow"/>
          <w:lang w:bidi="mr-IN"/>
        </w:rPr>
        <w:t xml:space="preserve"> (2022</w:t>
      </w:r>
      <w:r w:rsidRPr="00916B01">
        <w:rPr>
          <w:sz w:val="24"/>
          <w:szCs w:val="24"/>
          <w:highlight w:val="yellow"/>
          <w:lang w:bidi="mr-IN"/>
        </w:rPr>
        <w:t>)</w:t>
      </w:r>
      <w:r w:rsidRPr="00916B01">
        <w:rPr>
          <w:sz w:val="24"/>
          <w:szCs w:val="24"/>
          <w:lang w:bidi="mr-IN"/>
        </w:rPr>
        <w:t xml:space="preserve"> who reported that the </w:t>
      </w:r>
      <w:r w:rsidRPr="00916B01">
        <w:rPr>
          <w:color w:val="000000"/>
          <w:sz w:val="24"/>
          <w:szCs w:val="24"/>
          <w:lang w:eastAsia="en-IN"/>
        </w:rPr>
        <w:t>Chlorantranili</w:t>
      </w:r>
      <w:r w:rsidR="00DE17D8" w:rsidRPr="00916B01">
        <w:rPr>
          <w:color w:val="000000"/>
          <w:sz w:val="24"/>
          <w:szCs w:val="24"/>
          <w:lang w:eastAsia="en-IN"/>
        </w:rPr>
        <w:t xml:space="preserve">prole </w:t>
      </w:r>
      <w:r w:rsidRPr="00916B01">
        <w:rPr>
          <w:sz w:val="24"/>
          <w:szCs w:val="24"/>
          <w:lang w:bidi="mr-IN"/>
        </w:rPr>
        <w:t>recorded the high yield followed by</w:t>
      </w:r>
      <w:r w:rsidR="00DE17D8" w:rsidRPr="00916B01">
        <w:rPr>
          <w:color w:val="000000"/>
          <w:sz w:val="24"/>
          <w:szCs w:val="24"/>
          <w:lang w:eastAsia="en-IN"/>
        </w:rPr>
        <w:t xml:space="preserve"> </w:t>
      </w:r>
      <w:proofErr w:type="spellStart"/>
      <w:r w:rsidR="00DE17D8" w:rsidRPr="00916B01">
        <w:rPr>
          <w:i/>
          <w:iCs/>
          <w:color w:val="000000"/>
          <w:sz w:val="24"/>
          <w:szCs w:val="24"/>
          <w:highlight w:val="yellow"/>
          <w:lang w:eastAsia="en-IN"/>
        </w:rPr>
        <w:t>Emamectin</w:t>
      </w:r>
      <w:proofErr w:type="spellEnd"/>
      <w:r w:rsidR="00DE17D8" w:rsidRPr="00916B01">
        <w:rPr>
          <w:color w:val="000000"/>
          <w:sz w:val="24"/>
          <w:szCs w:val="24"/>
          <w:highlight w:val="yellow"/>
          <w:lang w:eastAsia="en-IN"/>
        </w:rPr>
        <w:t xml:space="preserve"> </w:t>
      </w:r>
      <w:r w:rsidR="00DE17D8" w:rsidRPr="00916B01">
        <w:rPr>
          <w:i/>
          <w:iCs/>
          <w:color w:val="000000"/>
          <w:sz w:val="24"/>
          <w:szCs w:val="24"/>
          <w:highlight w:val="yellow"/>
          <w:lang w:eastAsia="en-IN"/>
        </w:rPr>
        <w:t>benzoate</w:t>
      </w:r>
      <w:r w:rsidR="00DE17D8" w:rsidRPr="00916B01">
        <w:rPr>
          <w:color w:val="000000"/>
          <w:sz w:val="24"/>
          <w:szCs w:val="24"/>
          <w:lang w:eastAsia="en-IN"/>
        </w:rPr>
        <w:t xml:space="preserve"> 5</w:t>
      </w:r>
      <w:r w:rsidR="00F860F8" w:rsidRPr="00916B01">
        <w:rPr>
          <w:sz w:val="24"/>
          <w:szCs w:val="24"/>
        </w:rPr>
        <w:t xml:space="preserve">% </w:t>
      </w:r>
      <w:r w:rsidR="00DE17D8" w:rsidRPr="00916B01">
        <w:rPr>
          <w:color w:val="000000"/>
          <w:sz w:val="24"/>
          <w:szCs w:val="24"/>
          <w:lang w:eastAsia="en-IN"/>
        </w:rPr>
        <w:t>SG</w:t>
      </w:r>
      <w:r w:rsidRPr="00916B01">
        <w:rPr>
          <w:sz w:val="24"/>
          <w:szCs w:val="24"/>
          <w:lang w:bidi="mr-IN"/>
        </w:rPr>
        <w:t xml:space="preserve"> findings were supported by </w:t>
      </w:r>
      <w:proofErr w:type="spellStart"/>
      <w:r w:rsidR="007D1309" w:rsidRPr="00916B01">
        <w:rPr>
          <w:sz w:val="24"/>
          <w:szCs w:val="24"/>
          <w:highlight w:val="yellow"/>
          <w:lang w:bidi="mr-IN"/>
        </w:rPr>
        <w:t>Paneru</w:t>
      </w:r>
      <w:proofErr w:type="spellEnd"/>
      <w:r w:rsidR="007D1309" w:rsidRPr="00916B01">
        <w:rPr>
          <w:sz w:val="24"/>
          <w:szCs w:val="24"/>
          <w:highlight w:val="yellow"/>
          <w:lang w:bidi="mr-IN"/>
        </w:rPr>
        <w:t xml:space="preserve"> </w:t>
      </w:r>
      <w:r w:rsidR="007D1309" w:rsidRPr="00916B01">
        <w:rPr>
          <w:i/>
          <w:iCs/>
          <w:sz w:val="24"/>
          <w:szCs w:val="24"/>
          <w:highlight w:val="yellow"/>
          <w:lang w:bidi="mr-IN"/>
        </w:rPr>
        <w:t>et al.,</w:t>
      </w:r>
      <w:r w:rsidR="00E07525" w:rsidRPr="00916B01">
        <w:rPr>
          <w:sz w:val="24"/>
          <w:szCs w:val="24"/>
          <w:highlight w:val="yellow"/>
          <w:lang w:bidi="mr-IN"/>
        </w:rPr>
        <w:t xml:space="preserve"> </w:t>
      </w:r>
      <w:r w:rsidR="007D1309" w:rsidRPr="00916B01">
        <w:rPr>
          <w:sz w:val="24"/>
          <w:szCs w:val="24"/>
          <w:highlight w:val="yellow"/>
          <w:lang w:bidi="mr-IN"/>
        </w:rPr>
        <w:t>(2020</w:t>
      </w:r>
      <w:r w:rsidRPr="00916B01">
        <w:rPr>
          <w:sz w:val="24"/>
          <w:szCs w:val="24"/>
          <w:highlight w:val="yellow"/>
          <w:lang w:bidi="mr-IN"/>
        </w:rPr>
        <w:t>).</w:t>
      </w:r>
      <w:r w:rsidR="00DE17D8" w:rsidRPr="00916B01">
        <w:rPr>
          <w:sz w:val="24"/>
          <w:szCs w:val="24"/>
          <w:lang w:bidi="mr-IN"/>
        </w:rPr>
        <w:t xml:space="preserve"> </w:t>
      </w:r>
      <w:r w:rsidRPr="00916B01">
        <w:rPr>
          <w:color w:val="000000"/>
          <w:sz w:val="24"/>
          <w:szCs w:val="24"/>
          <w:lang w:eastAsia="en-IN"/>
        </w:rPr>
        <w:t>Spinosad 45</w:t>
      </w:r>
      <w:r w:rsidR="00F860F8" w:rsidRPr="00916B01">
        <w:rPr>
          <w:sz w:val="24"/>
          <w:szCs w:val="24"/>
        </w:rPr>
        <w:t>%</w:t>
      </w:r>
      <w:r w:rsidRPr="00916B01">
        <w:rPr>
          <w:color w:val="000000"/>
          <w:sz w:val="24"/>
          <w:szCs w:val="24"/>
          <w:lang w:eastAsia="en-IN"/>
        </w:rPr>
        <w:t xml:space="preserve"> SC</w:t>
      </w:r>
      <w:r w:rsidR="00DE17D8" w:rsidRPr="00916B01">
        <w:rPr>
          <w:color w:val="000000"/>
          <w:sz w:val="24"/>
          <w:szCs w:val="24"/>
          <w:lang w:eastAsia="en-IN"/>
        </w:rPr>
        <w:t xml:space="preserve"> </w:t>
      </w:r>
      <w:r w:rsidRPr="00916B01">
        <w:rPr>
          <w:sz w:val="24"/>
          <w:szCs w:val="24"/>
          <w:lang w:bidi="mr-IN"/>
        </w:rPr>
        <w:t>findings reported</w:t>
      </w:r>
      <w:r w:rsidRPr="007B26EC">
        <w:rPr>
          <w:sz w:val="24"/>
          <w:szCs w:val="24"/>
          <w:lang w:bidi="mr-IN"/>
        </w:rPr>
        <w:t xml:space="preserve"> by </w:t>
      </w:r>
      <w:proofErr w:type="spellStart"/>
      <w:r w:rsidR="005C74DF" w:rsidRPr="007B26EC">
        <w:rPr>
          <w:sz w:val="24"/>
          <w:szCs w:val="24"/>
          <w:highlight w:val="yellow"/>
          <w:lang w:bidi="mr-IN"/>
        </w:rPr>
        <w:t>Warghat</w:t>
      </w:r>
      <w:proofErr w:type="spellEnd"/>
      <w:r w:rsidRPr="007B26EC">
        <w:rPr>
          <w:sz w:val="24"/>
          <w:szCs w:val="24"/>
          <w:highlight w:val="yellow"/>
          <w:lang w:bidi="mr-IN"/>
        </w:rPr>
        <w:t xml:space="preserve"> </w:t>
      </w:r>
      <w:r w:rsidRPr="007B26EC">
        <w:rPr>
          <w:i/>
          <w:iCs/>
          <w:sz w:val="24"/>
          <w:szCs w:val="24"/>
          <w:highlight w:val="yellow"/>
          <w:lang w:bidi="mr-IN"/>
        </w:rPr>
        <w:t xml:space="preserve">et al., </w:t>
      </w:r>
      <w:r w:rsidRPr="007B26EC">
        <w:rPr>
          <w:sz w:val="24"/>
          <w:szCs w:val="24"/>
          <w:highlight w:val="yellow"/>
          <w:lang w:bidi="mr-IN"/>
        </w:rPr>
        <w:t>(</w:t>
      </w:r>
      <w:r w:rsidR="002C2EB3" w:rsidRPr="007B26EC">
        <w:rPr>
          <w:sz w:val="24"/>
          <w:szCs w:val="24"/>
          <w:highlight w:val="yellow"/>
          <w:lang w:bidi="mr-IN"/>
        </w:rPr>
        <w:t>2020</w:t>
      </w:r>
      <w:r w:rsidRPr="007B26EC">
        <w:rPr>
          <w:sz w:val="24"/>
          <w:szCs w:val="24"/>
          <w:highlight w:val="yellow"/>
          <w:lang w:bidi="mr-IN"/>
        </w:rPr>
        <w:t>)</w:t>
      </w:r>
      <w:r w:rsidR="00DE17D8" w:rsidRPr="007B26EC">
        <w:rPr>
          <w:color w:val="000000"/>
          <w:sz w:val="24"/>
          <w:szCs w:val="24"/>
          <w:lang w:eastAsia="en-IN"/>
        </w:rPr>
        <w:t xml:space="preserve"> Cypermethrin</w:t>
      </w:r>
      <w:r w:rsidRPr="007B26EC">
        <w:rPr>
          <w:color w:val="000000"/>
          <w:sz w:val="24"/>
          <w:szCs w:val="24"/>
          <w:lang w:eastAsia="en-IN"/>
        </w:rPr>
        <w:t xml:space="preserve"> 25</w:t>
      </w:r>
      <w:r w:rsidR="00F860F8" w:rsidRPr="007B26EC">
        <w:rPr>
          <w:sz w:val="24"/>
          <w:szCs w:val="24"/>
        </w:rPr>
        <w:t>%</w:t>
      </w:r>
      <w:r w:rsidRPr="007B26EC">
        <w:rPr>
          <w:color w:val="000000"/>
          <w:sz w:val="24"/>
          <w:szCs w:val="24"/>
          <w:lang w:eastAsia="en-IN"/>
        </w:rPr>
        <w:t xml:space="preserve"> </w:t>
      </w:r>
      <w:r w:rsidR="00DE17D8" w:rsidRPr="007B26EC">
        <w:rPr>
          <w:color w:val="000000"/>
          <w:sz w:val="24"/>
          <w:szCs w:val="24"/>
          <w:lang w:eastAsia="en-IN"/>
        </w:rPr>
        <w:t xml:space="preserve">EC </w:t>
      </w:r>
      <w:r w:rsidRPr="007B26EC">
        <w:rPr>
          <w:sz w:val="24"/>
          <w:szCs w:val="24"/>
          <w:lang w:bidi="mr-IN"/>
        </w:rPr>
        <w:t>was</w:t>
      </w:r>
      <w:r w:rsidR="005B2739" w:rsidRPr="007B26EC">
        <w:rPr>
          <w:sz w:val="24"/>
          <w:szCs w:val="24"/>
          <w:lang w:bidi="mr-IN"/>
        </w:rPr>
        <w:t xml:space="preserve"> </w:t>
      </w:r>
      <w:r w:rsidRPr="007B26EC">
        <w:rPr>
          <w:sz w:val="24"/>
          <w:szCs w:val="24"/>
          <w:lang w:bidi="mr-IN"/>
        </w:rPr>
        <w:t xml:space="preserve">supported by </w:t>
      </w:r>
      <w:r w:rsidR="00A871EC" w:rsidRPr="007B26EC">
        <w:rPr>
          <w:sz w:val="24"/>
          <w:szCs w:val="24"/>
          <w:highlight w:val="yellow"/>
          <w:lang w:bidi="mr-IN"/>
        </w:rPr>
        <w:t xml:space="preserve">Sharma </w:t>
      </w:r>
      <w:r w:rsidR="00A871EC" w:rsidRPr="007B26EC">
        <w:rPr>
          <w:i/>
          <w:iCs/>
          <w:sz w:val="24"/>
          <w:szCs w:val="24"/>
          <w:highlight w:val="yellow"/>
          <w:lang w:bidi="mr-IN"/>
        </w:rPr>
        <w:t>et</w:t>
      </w:r>
      <w:r w:rsidR="00A871EC" w:rsidRPr="007B26EC">
        <w:rPr>
          <w:sz w:val="24"/>
          <w:szCs w:val="24"/>
          <w:highlight w:val="yellow"/>
          <w:lang w:bidi="mr-IN"/>
        </w:rPr>
        <w:t xml:space="preserve"> </w:t>
      </w:r>
      <w:r w:rsidR="00A871EC" w:rsidRPr="007B26EC">
        <w:rPr>
          <w:i/>
          <w:iCs/>
          <w:sz w:val="24"/>
          <w:szCs w:val="24"/>
          <w:highlight w:val="yellow"/>
          <w:lang w:bidi="mr-IN"/>
        </w:rPr>
        <w:t>al</w:t>
      </w:r>
      <w:r w:rsidR="00A871EC" w:rsidRPr="007B26EC">
        <w:rPr>
          <w:sz w:val="24"/>
          <w:szCs w:val="24"/>
          <w:highlight w:val="yellow"/>
          <w:lang w:bidi="mr-IN"/>
        </w:rPr>
        <w:t>., (2017</w:t>
      </w:r>
      <w:r w:rsidRPr="007B26EC">
        <w:rPr>
          <w:sz w:val="24"/>
          <w:szCs w:val="24"/>
          <w:highlight w:val="yellow"/>
          <w:lang w:bidi="mr-IN"/>
        </w:rPr>
        <w:t>).</w:t>
      </w:r>
      <w:r w:rsidRPr="007B26EC">
        <w:rPr>
          <w:color w:val="000000"/>
          <w:sz w:val="24"/>
          <w:szCs w:val="24"/>
          <w:lang w:eastAsia="en-IN"/>
        </w:rPr>
        <w:t xml:space="preserve"> </w:t>
      </w:r>
      <w:r w:rsidR="00DE17D8" w:rsidRPr="007B26EC">
        <w:rPr>
          <w:i/>
          <w:iCs/>
          <w:color w:val="000000"/>
          <w:sz w:val="24"/>
          <w:szCs w:val="24"/>
          <w:lang w:eastAsia="en-IN"/>
        </w:rPr>
        <w:t>Beauveria bassiana</w:t>
      </w:r>
      <w:r w:rsidR="00DE17D8" w:rsidRPr="007B26EC">
        <w:rPr>
          <w:color w:val="000000"/>
          <w:sz w:val="24"/>
          <w:szCs w:val="24"/>
        </w:rPr>
        <w:t xml:space="preserve"> </w:t>
      </w:r>
      <w:r w:rsidRPr="007B26EC">
        <w:rPr>
          <w:sz w:val="24"/>
          <w:szCs w:val="24"/>
          <w:lang w:bidi="mr-IN"/>
        </w:rPr>
        <w:t xml:space="preserve">was supported by </w:t>
      </w:r>
      <w:proofErr w:type="spellStart"/>
      <w:r w:rsidR="00A871EC" w:rsidRPr="007B26EC">
        <w:rPr>
          <w:sz w:val="24"/>
          <w:szCs w:val="24"/>
          <w:highlight w:val="yellow"/>
          <w:lang w:bidi="mr-IN"/>
        </w:rPr>
        <w:t>Sarsaiya</w:t>
      </w:r>
      <w:proofErr w:type="spellEnd"/>
      <w:r w:rsidR="007D1309" w:rsidRPr="007B26EC">
        <w:rPr>
          <w:sz w:val="24"/>
          <w:szCs w:val="24"/>
          <w:highlight w:val="yellow"/>
          <w:lang w:bidi="mr-IN"/>
        </w:rPr>
        <w:t xml:space="preserve"> </w:t>
      </w:r>
      <w:r w:rsidR="00E07525" w:rsidRPr="007B26EC">
        <w:rPr>
          <w:i/>
          <w:iCs/>
          <w:sz w:val="24"/>
          <w:szCs w:val="24"/>
          <w:highlight w:val="yellow"/>
          <w:lang w:bidi="mr-IN"/>
        </w:rPr>
        <w:t>et al.,</w:t>
      </w:r>
      <w:r w:rsidR="002C2EB3" w:rsidRPr="007B26EC">
        <w:rPr>
          <w:sz w:val="24"/>
          <w:szCs w:val="24"/>
          <w:highlight w:val="yellow"/>
          <w:lang w:bidi="mr-IN"/>
        </w:rPr>
        <w:t xml:space="preserve"> (2020</w:t>
      </w:r>
      <w:r w:rsidRPr="007B26EC">
        <w:rPr>
          <w:sz w:val="24"/>
          <w:szCs w:val="24"/>
          <w:highlight w:val="yellow"/>
          <w:lang w:bidi="mr-IN"/>
        </w:rPr>
        <w:t>).</w:t>
      </w:r>
      <w:r w:rsidRPr="007B26EC">
        <w:rPr>
          <w:i/>
          <w:iCs/>
          <w:color w:val="000000"/>
          <w:sz w:val="24"/>
          <w:szCs w:val="24"/>
          <w:lang w:eastAsia="en-IN"/>
        </w:rPr>
        <w:t xml:space="preserve"> </w:t>
      </w:r>
      <w:r w:rsidR="00DE17D8" w:rsidRPr="007B26EC">
        <w:rPr>
          <w:color w:val="000000"/>
          <w:sz w:val="24"/>
          <w:szCs w:val="24"/>
          <w:lang w:eastAsia="en-IN"/>
        </w:rPr>
        <w:t>NSKE</w:t>
      </w:r>
      <w:r w:rsidR="00DE17D8" w:rsidRPr="007B26EC">
        <w:rPr>
          <w:i/>
          <w:iCs/>
          <w:color w:val="000000"/>
          <w:sz w:val="24"/>
          <w:szCs w:val="24"/>
          <w:lang w:eastAsia="en-IN"/>
        </w:rPr>
        <w:t xml:space="preserve"> </w:t>
      </w:r>
      <w:r w:rsidR="00DE17D8" w:rsidRPr="007B26EC">
        <w:rPr>
          <w:color w:val="000000"/>
          <w:sz w:val="24"/>
          <w:szCs w:val="24"/>
          <w:lang w:eastAsia="en-IN"/>
        </w:rPr>
        <w:t>5%</w:t>
      </w:r>
      <w:r w:rsidR="00F860F8" w:rsidRPr="007B26EC">
        <w:rPr>
          <w:color w:val="000000"/>
          <w:sz w:val="24"/>
          <w:szCs w:val="24"/>
          <w:lang w:eastAsia="en-IN"/>
        </w:rPr>
        <w:t xml:space="preserve"> </w:t>
      </w:r>
      <w:r w:rsidRPr="007B26EC">
        <w:rPr>
          <w:color w:val="000000"/>
          <w:sz w:val="24"/>
          <w:szCs w:val="24"/>
        </w:rPr>
        <w:t xml:space="preserve">was supported by </w:t>
      </w:r>
      <w:r w:rsidR="00A871EC" w:rsidRPr="007B26EC">
        <w:rPr>
          <w:color w:val="000000"/>
          <w:sz w:val="24"/>
          <w:szCs w:val="24"/>
          <w:highlight w:val="yellow"/>
        </w:rPr>
        <w:t>Singh</w:t>
      </w:r>
      <w:r w:rsidR="00E07525" w:rsidRPr="007B26EC">
        <w:rPr>
          <w:color w:val="000000"/>
          <w:sz w:val="24"/>
          <w:szCs w:val="24"/>
          <w:highlight w:val="yellow"/>
        </w:rPr>
        <w:t xml:space="preserve"> </w:t>
      </w:r>
      <w:r w:rsidR="00E07525" w:rsidRPr="007B26EC">
        <w:rPr>
          <w:i/>
          <w:iCs/>
          <w:color w:val="000000"/>
          <w:sz w:val="24"/>
          <w:szCs w:val="24"/>
          <w:highlight w:val="yellow"/>
        </w:rPr>
        <w:t>et al.,</w:t>
      </w:r>
      <w:r w:rsidRPr="007B26EC">
        <w:rPr>
          <w:sz w:val="24"/>
          <w:szCs w:val="24"/>
          <w:highlight w:val="yellow"/>
          <w:lang w:bidi="mr-IN"/>
        </w:rPr>
        <w:t xml:space="preserve"> </w:t>
      </w:r>
      <w:r w:rsidR="00E07525" w:rsidRPr="007B26EC">
        <w:rPr>
          <w:sz w:val="24"/>
          <w:szCs w:val="24"/>
          <w:highlight w:val="yellow"/>
          <w:lang w:bidi="mr-IN"/>
        </w:rPr>
        <w:t>(2020</w:t>
      </w:r>
      <w:r w:rsidRPr="007B26EC">
        <w:rPr>
          <w:sz w:val="24"/>
          <w:szCs w:val="24"/>
          <w:highlight w:val="yellow"/>
          <w:lang w:bidi="mr-IN"/>
        </w:rPr>
        <w:t>).</w:t>
      </w:r>
      <w:r w:rsidRPr="007B26EC">
        <w:rPr>
          <w:sz w:val="24"/>
          <w:szCs w:val="24"/>
          <w:lang w:bidi="mr-IN"/>
        </w:rPr>
        <w:t xml:space="preserve"> At least the cost benefit </w:t>
      </w:r>
      <w:r w:rsidR="00DE17D8" w:rsidRPr="007B26EC">
        <w:rPr>
          <w:color w:val="000000"/>
          <w:sz w:val="24"/>
          <w:szCs w:val="24"/>
          <w:lang w:eastAsia="en-IN"/>
        </w:rPr>
        <w:t>Neem oil 2%</w:t>
      </w:r>
      <w:r w:rsidRPr="007B26EC">
        <w:rPr>
          <w:color w:val="000000"/>
          <w:sz w:val="24"/>
          <w:szCs w:val="24"/>
          <w:lang w:eastAsia="en-IN"/>
        </w:rPr>
        <w:t xml:space="preserve"> </w:t>
      </w:r>
      <w:r w:rsidRPr="007B26EC">
        <w:rPr>
          <w:color w:val="000000"/>
          <w:sz w:val="24"/>
          <w:szCs w:val="24"/>
        </w:rPr>
        <w:t>which</w:t>
      </w:r>
      <w:r w:rsidRPr="007B26EC">
        <w:rPr>
          <w:sz w:val="24"/>
          <w:szCs w:val="24"/>
          <w:lang w:bidi="mr-IN"/>
        </w:rPr>
        <w:t xml:space="preserve"> were supported by </w:t>
      </w:r>
      <w:r w:rsidR="00E07525" w:rsidRPr="007B26EC">
        <w:rPr>
          <w:color w:val="000000"/>
          <w:sz w:val="24"/>
          <w:szCs w:val="24"/>
          <w:highlight w:val="yellow"/>
        </w:rPr>
        <w:t>Naik and Kumar</w:t>
      </w:r>
      <w:r w:rsidRPr="007B26EC">
        <w:rPr>
          <w:i/>
          <w:iCs/>
          <w:sz w:val="24"/>
          <w:szCs w:val="24"/>
          <w:highlight w:val="yellow"/>
          <w:lang w:bidi="mr-IN"/>
        </w:rPr>
        <w:t xml:space="preserve"> </w:t>
      </w:r>
      <w:r w:rsidRPr="007B26EC">
        <w:rPr>
          <w:sz w:val="24"/>
          <w:szCs w:val="24"/>
          <w:highlight w:val="yellow"/>
          <w:lang w:bidi="mr-IN"/>
        </w:rPr>
        <w:t>(</w:t>
      </w:r>
      <w:r w:rsidR="00E07525" w:rsidRPr="007B26EC">
        <w:rPr>
          <w:sz w:val="24"/>
          <w:szCs w:val="24"/>
          <w:highlight w:val="yellow"/>
          <w:lang w:bidi="mr-IN"/>
        </w:rPr>
        <w:t>2023</w:t>
      </w:r>
      <w:r w:rsidRPr="007B26EC">
        <w:rPr>
          <w:sz w:val="24"/>
          <w:szCs w:val="24"/>
          <w:highlight w:val="yellow"/>
          <w:lang w:bidi="mr-IN"/>
        </w:rPr>
        <w:t>)</w:t>
      </w:r>
    </w:p>
    <w:p w14:paraId="139CDECC" w14:textId="77777777" w:rsidR="005B2739" w:rsidRDefault="005B2739" w:rsidP="000544DE">
      <w:pPr>
        <w:pStyle w:val="BodyText"/>
        <w:spacing w:line="360" w:lineRule="auto"/>
        <w:jc w:val="both"/>
        <w:rPr>
          <w:b/>
        </w:rPr>
      </w:pPr>
    </w:p>
    <w:p w14:paraId="041BFFBF" w14:textId="77777777" w:rsidR="00905ADD" w:rsidRDefault="00905ADD" w:rsidP="000544DE">
      <w:pPr>
        <w:pStyle w:val="BodyText"/>
        <w:spacing w:line="360" w:lineRule="auto"/>
        <w:jc w:val="both"/>
      </w:pPr>
      <w:r>
        <w:rPr>
          <w:b/>
        </w:rPr>
        <w:t>Table1: To evaluate the efficacy of chemical insecticides and bio-pesticides on infestation of brinjal shoot and fruit borer (</w:t>
      </w:r>
      <w:proofErr w:type="spellStart"/>
      <w:r w:rsidRPr="006932AD">
        <w:rPr>
          <w:b/>
          <w:i/>
          <w:iCs/>
        </w:rPr>
        <w:t>Leucinodes</w:t>
      </w:r>
      <w:proofErr w:type="spellEnd"/>
      <w:r>
        <w:rPr>
          <w:b/>
          <w:i/>
          <w:iCs/>
        </w:rPr>
        <w:t xml:space="preserve"> </w:t>
      </w:r>
      <w:proofErr w:type="spellStart"/>
      <w:r w:rsidRPr="006932AD">
        <w:rPr>
          <w:b/>
          <w:i/>
          <w:iCs/>
        </w:rPr>
        <w:t>orbonalis</w:t>
      </w:r>
      <w:proofErr w:type="spellEnd"/>
      <w:r>
        <w:rPr>
          <w:b/>
          <w:i/>
          <w:iCs/>
        </w:rPr>
        <w:t xml:space="preserve"> </w:t>
      </w:r>
      <w:proofErr w:type="spellStart"/>
      <w:r>
        <w:rPr>
          <w:b/>
        </w:rPr>
        <w:t>Guenee</w:t>
      </w:r>
      <w:proofErr w:type="spellEnd"/>
      <w:r>
        <w:rPr>
          <w:b/>
        </w:rPr>
        <w:t>) on Brinjal.</w:t>
      </w:r>
    </w:p>
    <w:p w14:paraId="412EE860" w14:textId="77777777" w:rsidR="00905ADD" w:rsidRDefault="00905ADD" w:rsidP="000544DE">
      <w:pPr>
        <w:pStyle w:val="BodyText"/>
        <w:spacing w:line="360" w:lineRule="auto"/>
        <w:jc w:val="both"/>
      </w:pPr>
    </w:p>
    <w:tbl>
      <w:tblPr>
        <w:tblpPr w:leftFromText="180" w:rightFromText="180" w:vertAnchor="text" w:horzAnchor="margin" w:tblpY="-46"/>
        <w:tblOverlap w:val="neve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
        <w:gridCol w:w="1864"/>
        <w:gridCol w:w="576"/>
        <w:gridCol w:w="567"/>
        <w:gridCol w:w="709"/>
        <w:gridCol w:w="567"/>
        <w:gridCol w:w="709"/>
        <w:gridCol w:w="709"/>
        <w:gridCol w:w="567"/>
        <w:gridCol w:w="615"/>
        <w:gridCol w:w="797"/>
        <w:gridCol w:w="714"/>
        <w:gridCol w:w="850"/>
        <w:gridCol w:w="8"/>
      </w:tblGrid>
      <w:tr w:rsidR="00905ADD" w14:paraId="7976422E" w14:textId="77777777" w:rsidTr="00B85EF5">
        <w:trPr>
          <w:trHeight w:val="691"/>
        </w:trPr>
        <w:tc>
          <w:tcPr>
            <w:tcW w:w="400" w:type="dxa"/>
            <w:vMerge w:val="restart"/>
            <w:tcBorders>
              <w:right w:val="single" w:sz="4" w:space="0" w:color="auto"/>
            </w:tcBorders>
          </w:tcPr>
          <w:p w14:paraId="3F95883C" w14:textId="77777777" w:rsidR="00905ADD" w:rsidRPr="005448F6" w:rsidRDefault="00905ADD" w:rsidP="00B85EF5">
            <w:pPr>
              <w:pStyle w:val="TableParagraph"/>
              <w:jc w:val="both"/>
              <w:rPr>
                <w:b/>
              </w:rPr>
            </w:pPr>
            <w:r w:rsidRPr="005448F6">
              <w:rPr>
                <w:b/>
              </w:rPr>
              <w:t xml:space="preserve">                    </w:t>
            </w:r>
          </w:p>
          <w:p w14:paraId="66984C12" w14:textId="77777777" w:rsidR="00905ADD" w:rsidRPr="005448F6" w:rsidRDefault="00905ADD" w:rsidP="00B85EF5">
            <w:pPr>
              <w:pStyle w:val="TableParagraph"/>
              <w:spacing w:before="123"/>
              <w:jc w:val="both"/>
              <w:rPr>
                <w:b/>
              </w:rPr>
            </w:pPr>
          </w:p>
          <w:p w14:paraId="7BAB4C6A" w14:textId="77777777" w:rsidR="00905ADD" w:rsidRPr="005448F6" w:rsidRDefault="00905ADD" w:rsidP="00B85EF5">
            <w:pPr>
              <w:pStyle w:val="TableParagraph"/>
              <w:spacing w:before="1"/>
              <w:jc w:val="both"/>
              <w:rPr>
                <w:b/>
              </w:rPr>
            </w:pPr>
            <w:r>
              <w:rPr>
                <w:b/>
              </w:rPr>
              <w:t xml:space="preserve"> Sr.  No.</w:t>
            </w:r>
          </w:p>
        </w:tc>
        <w:tc>
          <w:tcPr>
            <w:tcW w:w="1864" w:type="dxa"/>
            <w:vMerge w:val="restart"/>
            <w:tcBorders>
              <w:right w:val="single" w:sz="4" w:space="0" w:color="auto"/>
            </w:tcBorders>
          </w:tcPr>
          <w:p w14:paraId="759F84B4" w14:textId="77777777" w:rsidR="00905ADD" w:rsidRPr="005448F6" w:rsidRDefault="00905ADD" w:rsidP="00B85EF5">
            <w:pPr>
              <w:widowControl/>
              <w:autoSpaceDE/>
              <w:autoSpaceDN/>
              <w:spacing w:after="200"/>
              <w:jc w:val="both"/>
              <w:rPr>
                <w:b/>
              </w:rPr>
            </w:pPr>
          </w:p>
          <w:p w14:paraId="03B2D386" w14:textId="77777777" w:rsidR="00905ADD" w:rsidRPr="005448F6" w:rsidRDefault="00905ADD" w:rsidP="00B85EF5">
            <w:pPr>
              <w:widowControl/>
              <w:autoSpaceDE/>
              <w:autoSpaceDN/>
              <w:spacing w:after="200"/>
              <w:jc w:val="both"/>
              <w:rPr>
                <w:b/>
              </w:rPr>
            </w:pPr>
          </w:p>
          <w:p w14:paraId="7E695EF8" w14:textId="77777777" w:rsidR="00905ADD" w:rsidRPr="005448F6" w:rsidRDefault="00905ADD" w:rsidP="00B85EF5">
            <w:pPr>
              <w:widowControl/>
              <w:autoSpaceDE/>
              <w:autoSpaceDN/>
              <w:spacing w:after="200"/>
              <w:jc w:val="both"/>
              <w:rPr>
                <w:b/>
              </w:rPr>
            </w:pPr>
          </w:p>
          <w:p w14:paraId="2B6D3F24" w14:textId="77777777" w:rsidR="00905ADD" w:rsidRPr="005448F6" w:rsidRDefault="00905ADD" w:rsidP="00B85EF5">
            <w:pPr>
              <w:pStyle w:val="TableParagraph"/>
              <w:spacing w:before="1"/>
              <w:ind w:left="248"/>
              <w:jc w:val="both"/>
              <w:rPr>
                <w:b/>
              </w:rPr>
            </w:pPr>
            <w:r w:rsidRPr="005448F6">
              <w:rPr>
                <w:b/>
                <w:spacing w:val="-2"/>
              </w:rPr>
              <w:t>Treatments</w:t>
            </w:r>
          </w:p>
        </w:tc>
        <w:tc>
          <w:tcPr>
            <w:tcW w:w="5816" w:type="dxa"/>
            <w:gridSpan w:val="9"/>
            <w:tcBorders>
              <w:top w:val="single" w:sz="4" w:space="0" w:color="auto"/>
              <w:bottom w:val="single" w:sz="4" w:space="0" w:color="auto"/>
              <w:right w:val="single" w:sz="4" w:space="0" w:color="auto"/>
            </w:tcBorders>
            <w:shd w:val="clear" w:color="auto" w:fill="auto"/>
          </w:tcPr>
          <w:p w14:paraId="191C030D" w14:textId="77777777" w:rsidR="00905ADD" w:rsidRPr="00F739FF" w:rsidRDefault="00905ADD" w:rsidP="00B85EF5">
            <w:pPr>
              <w:widowControl/>
              <w:autoSpaceDE/>
              <w:autoSpaceDN/>
              <w:spacing w:after="200" w:line="276" w:lineRule="auto"/>
              <w:rPr>
                <w:b/>
                <w:bCs/>
              </w:rPr>
            </w:pPr>
            <w:r>
              <w:t xml:space="preserve">     </w:t>
            </w:r>
            <w:r w:rsidRPr="00F739FF">
              <w:rPr>
                <w:b/>
                <w:bCs/>
              </w:rPr>
              <w:t xml:space="preserve">Percent shoot and fruit infestation of </w:t>
            </w:r>
            <w:proofErr w:type="spellStart"/>
            <w:r w:rsidRPr="00F739FF">
              <w:rPr>
                <w:b/>
                <w:bCs/>
              </w:rPr>
              <w:t>Leucinodes</w:t>
            </w:r>
            <w:proofErr w:type="spellEnd"/>
            <w:r w:rsidRPr="00F739FF">
              <w:rPr>
                <w:b/>
                <w:bCs/>
              </w:rPr>
              <w:t xml:space="preserve"> </w:t>
            </w:r>
            <w:proofErr w:type="spellStart"/>
            <w:r w:rsidRPr="00F739FF">
              <w:rPr>
                <w:b/>
                <w:bCs/>
              </w:rPr>
              <w:t>orbonalis</w:t>
            </w:r>
            <w:proofErr w:type="spellEnd"/>
          </w:p>
        </w:tc>
        <w:tc>
          <w:tcPr>
            <w:tcW w:w="714" w:type="dxa"/>
            <w:vMerge w:val="restart"/>
            <w:tcBorders>
              <w:top w:val="single" w:sz="4" w:space="0" w:color="auto"/>
              <w:right w:val="single" w:sz="4" w:space="0" w:color="auto"/>
            </w:tcBorders>
            <w:shd w:val="clear" w:color="auto" w:fill="auto"/>
          </w:tcPr>
          <w:p w14:paraId="62ADBB53" w14:textId="77777777" w:rsidR="00905ADD" w:rsidRDefault="00905ADD" w:rsidP="00B85EF5">
            <w:pPr>
              <w:widowControl/>
              <w:autoSpaceDE/>
              <w:autoSpaceDN/>
              <w:spacing w:after="200" w:line="276" w:lineRule="auto"/>
              <w:rPr>
                <w:b/>
                <w:bCs/>
                <w:color w:val="000000"/>
                <w:lang w:eastAsia="en-IN" w:bidi="mr-IN"/>
              </w:rPr>
            </w:pPr>
          </w:p>
          <w:p w14:paraId="3DF8426F" w14:textId="77777777" w:rsidR="00905ADD" w:rsidRDefault="00905ADD" w:rsidP="00B85EF5">
            <w:pPr>
              <w:widowControl/>
              <w:autoSpaceDE/>
              <w:autoSpaceDN/>
              <w:spacing w:after="200" w:line="276" w:lineRule="auto"/>
            </w:pPr>
            <w:r w:rsidRPr="003073CB">
              <w:rPr>
                <w:b/>
                <w:bCs/>
                <w:color w:val="000000"/>
                <w:lang w:eastAsia="en-IN" w:bidi="mr-IN"/>
              </w:rPr>
              <w:t>YIELD q/ha</w:t>
            </w:r>
          </w:p>
        </w:tc>
        <w:tc>
          <w:tcPr>
            <w:tcW w:w="858" w:type="dxa"/>
            <w:gridSpan w:val="2"/>
            <w:vMerge w:val="restart"/>
            <w:tcBorders>
              <w:top w:val="single" w:sz="4" w:space="0" w:color="auto"/>
              <w:right w:val="single" w:sz="4" w:space="0" w:color="auto"/>
            </w:tcBorders>
            <w:shd w:val="clear" w:color="auto" w:fill="auto"/>
          </w:tcPr>
          <w:p w14:paraId="781969A6" w14:textId="77777777" w:rsidR="00905ADD" w:rsidRDefault="00905ADD" w:rsidP="00B85EF5">
            <w:pPr>
              <w:widowControl/>
              <w:autoSpaceDE/>
              <w:autoSpaceDN/>
              <w:spacing w:after="200" w:line="276" w:lineRule="auto"/>
              <w:rPr>
                <w:b/>
                <w:bCs/>
                <w:color w:val="000000"/>
                <w:lang w:eastAsia="en-IN" w:bidi="mr-IN"/>
              </w:rPr>
            </w:pPr>
          </w:p>
          <w:p w14:paraId="01F6F088" w14:textId="77777777" w:rsidR="00905ADD" w:rsidRDefault="00905ADD" w:rsidP="00B85EF5">
            <w:pPr>
              <w:widowControl/>
              <w:autoSpaceDE/>
              <w:autoSpaceDN/>
              <w:spacing w:after="200" w:line="276" w:lineRule="auto"/>
            </w:pPr>
            <w:r>
              <w:rPr>
                <w:b/>
                <w:bCs/>
                <w:color w:val="000000"/>
                <w:lang w:eastAsia="en-IN" w:bidi="mr-IN"/>
              </w:rPr>
              <w:t xml:space="preserve">   </w:t>
            </w:r>
            <w:r w:rsidRPr="003073CB">
              <w:rPr>
                <w:b/>
                <w:bCs/>
                <w:color w:val="000000"/>
                <w:lang w:eastAsia="en-IN" w:bidi="mr-IN"/>
              </w:rPr>
              <w:t>B:C RATIO</w:t>
            </w:r>
          </w:p>
        </w:tc>
      </w:tr>
      <w:tr w:rsidR="00905ADD" w14:paraId="7FB9BFE5" w14:textId="77777777" w:rsidTr="00B85EF5">
        <w:trPr>
          <w:trHeight w:val="534"/>
        </w:trPr>
        <w:tc>
          <w:tcPr>
            <w:tcW w:w="400" w:type="dxa"/>
            <w:vMerge/>
            <w:tcBorders>
              <w:top w:val="nil"/>
              <w:right w:val="single" w:sz="4" w:space="0" w:color="auto"/>
            </w:tcBorders>
          </w:tcPr>
          <w:p w14:paraId="48D5E86E" w14:textId="77777777" w:rsidR="00905ADD" w:rsidRPr="005448F6" w:rsidRDefault="00905ADD" w:rsidP="00B85EF5">
            <w:pPr>
              <w:jc w:val="both"/>
            </w:pPr>
          </w:p>
        </w:tc>
        <w:tc>
          <w:tcPr>
            <w:tcW w:w="1864" w:type="dxa"/>
            <w:vMerge/>
            <w:tcBorders>
              <w:top w:val="nil"/>
              <w:right w:val="single" w:sz="4" w:space="0" w:color="auto"/>
            </w:tcBorders>
          </w:tcPr>
          <w:p w14:paraId="5142AF55" w14:textId="77777777" w:rsidR="00905ADD" w:rsidRPr="005448F6" w:rsidRDefault="00905ADD" w:rsidP="00B85EF5">
            <w:pPr>
              <w:jc w:val="both"/>
            </w:pPr>
          </w:p>
        </w:tc>
        <w:tc>
          <w:tcPr>
            <w:tcW w:w="3128" w:type="dxa"/>
            <w:gridSpan w:val="5"/>
            <w:tcBorders>
              <w:top w:val="single" w:sz="4" w:space="0" w:color="auto"/>
              <w:bottom w:val="nil"/>
              <w:right w:val="single" w:sz="4" w:space="0" w:color="auto"/>
            </w:tcBorders>
            <w:shd w:val="clear" w:color="auto" w:fill="auto"/>
          </w:tcPr>
          <w:p w14:paraId="064D34E3" w14:textId="77777777" w:rsidR="00905ADD" w:rsidRPr="005448F6" w:rsidRDefault="00905ADD" w:rsidP="00B85EF5">
            <w:pPr>
              <w:widowControl/>
              <w:autoSpaceDE/>
              <w:autoSpaceDN/>
              <w:spacing w:after="200"/>
              <w:jc w:val="both"/>
            </w:pPr>
            <w:r>
              <w:t xml:space="preserve"> </w:t>
            </w:r>
            <w:r w:rsidRPr="003073CB">
              <w:rPr>
                <w:b/>
                <w:bCs/>
                <w:color w:val="000000"/>
                <w:lang w:eastAsia="en-IN" w:bidi="mr-IN"/>
              </w:rPr>
              <w:t xml:space="preserve"> FIRST SPRAY</w:t>
            </w:r>
          </w:p>
        </w:tc>
        <w:tc>
          <w:tcPr>
            <w:tcW w:w="2688" w:type="dxa"/>
            <w:gridSpan w:val="4"/>
            <w:tcBorders>
              <w:top w:val="single" w:sz="4" w:space="0" w:color="auto"/>
              <w:bottom w:val="single" w:sz="4" w:space="0" w:color="auto"/>
              <w:right w:val="single" w:sz="4" w:space="0" w:color="auto"/>
            </w:tcBorders>
            <w:shd w:val="clear" w:color="auto" w:fill="auto"/>
          </w:tcPr>
          <w:p w14:paraId="5AF2963F" w14:textId="77777777" w:rsidR="00905ADD" w:rsidRDefault="00905ADD" w:rsidP="00B85EF5">
            <w:pPr>
              <w:widowControl/>
              <w:autoSpaceDE/>
              <w:autoSpaceDN/>
              <w:spacing w:after="200"/>
              <w:jc w:val="both"/>
            </w:pPr>
            <w:r>
              <w:rPr>
                <w:b/>
                <w:bCs/>
                <w:color w:val="000000"/>
                <w:lang w:eastAsia="en-IN" w:bidi="mr-IN"/>
              </w:rPr>
              <w:t xml:space="preserve">   </w:t>
            </w:r>
            <w:r w:rsidRPr="003073CB">
              <w:rPr>
                <w:b/>
                <w:bCs/>
                <w:color w:val="000000"/>
                <w:lang w:eastAsia="en-IN" w:bidi="mr-IN"/>
              </w:rPr>
              <w:t>SECOND SPRAY</w:t>
            </w:r>
          </w:p>
        </w:tc>
        <w:tc>
          <w:tcPr>
            <w:tcW w:w="714" w:type="dxa"/>
            <w:vMerge/>
            <w:tcBorders>
              <w:right w:val="single" w:sz="4" w:space="0" w:color="auto"/>
            </w:tcBorders>
            <w:shd w:val="clear" w:color="auto" w:fill="auto"/>
          </w:tcPr>
          <w:p w14:paraId="277AC80E" w14:textId="77777777" w:rsidR="00905ADD" w:rsidRDefault="00905ADD" w:rsidP="00B85EF5">
            <w:pPr>
              <w:widowControl/>
              <w:autoSpaceDE/>
              <w:autoSpaceDN/>
              <w:spacing w:after="200" w:line="276" w:lineRule="auto"/>
            </w:pPr>
          </w:p>
        </w:tc>
        <w:tc>
          <w:tcPr>
            <w:tcW w:w="858" w:type="dxa"/>
            <w:gridSpan w:val="2"/>
            <w:vMerge/>
            <w:tcBorders>
              <w:right w:val="single" w:sz="4" w:space="0" w:color="auto"/>
            </w:tcBorders>
            <w:shd w:val="clear" w:color="auto" w:fill="auto"/>
          </w:tcPr>
          <w:p w14:paraId="2C597A68" w14:textId="77777777" w:rsidR="00905ADD" w:rsidRDefault="00905ADD" w:rsidP="00B85EF5">
            <w:pPr>
              <w:widowControl/>
              <w:autoSpaceDE/>
              <w:autoSpaceDN/>
              <w:spacing w:after="200" w:line="276" w:lineRule="auto"/>
            </w:pPr>
          </w:p>
        </w:tc>
      </w:tr>
      <w:tr w:rsidR="00905ADD" w14:paraId="242541FB" w14:textId="77777777" w:rsidTr="00B85EF5">
        <w:trPr>
          <w:trHeight w:val="541"/>
        </w:trPr>
        <w:tc>
          <w:tcPr>
            <w:tcW w:w="400" w:type="dxa"/>
            <w:vMerge/>
            <w:tcBorders>
              <w:top w:val="nil"/>
              <w:right w:val="single" w:sz="4" w:space="0" w:color="auto"/>
            </w:tcBorders>
          </w:tcPr>
          <w:p w14:paraId="1403A569" w14:textId="77777777" w:rsidR="00905ADD" w:rsidRPr="005448F6" w:rsidRDefault="00905ADD" w:rsidP="00B85EF5">
            <w:pPr>
              <w:jc w:val="both"/>
            </w:pPr>
          </w:p>
        </w:tc>
        <w:tc>
          <w:tcPr>
            <w:tcW w:w="1864" w:type="dxa"/>
            <w:vMerge/>
            <w:tcBorders>
              <w:top w:val="nil"/>
              <w:right w:val="single" w:sz="4" w:space="0" w:color="auto"/>
            </w:tcBorders>
          </w:tcPr>
          <w:p w14:paraId="6AED724D" w14:textId="77777777" w:rsidR="00905ADD" w:rsidRPr="005448F6" w:rsidRDefault="00905ADD" w:rsidP="00B85EF5">
            <w:pPr>
              <w:jc w:val="both"/>
            </w:pPr>
          </w:p>
        </w:tc>
        <w:tc>
          <w:tcPr>
            <w:tcW w:w="576" w:type="dxa"/>
            <w:tcBorders>
              <w:top w:val="single" w:sz="4" w:space="0" w:color="auto"/>
              <w:left w:val="single" w:sz="4" w:space="0" w:color="auto"/>
            </w:tcBorders>
          </w:tcPr>
          <w:p w14:paraId="3246E6EA" w14:textId="77777777" w:rsidR="00905ADD" w:rsidRPr="00F739FF" w:rsidRDefault="00905ADD" w:rsidP="00B85EF5">
            <w:pPr>
              <w:jc w:val="both"/>
              <w:rPr>
                <w:bCs/>
              </w:rPr>
            </w:pPr>
            <w:r w:rsidRPr="00F739FF">
              <w:rPr>
                <w:bCs/>
              </w:rPr>
              <w:t xml:space="preserve">  </w:t>
            </w:r>
          </w:p>
          <w:p w14:paraId="65156B0F" w14:textId="77777777" w:rsidR="00905ADD" w:rsidRPr="00F739FF" w:rsidRDefault="00905ADD" w:rsidP="00B85EF5">
            <w:pPr>
              <w:jc w:val="both"/>
              <w:rPr>
                <w:bCs/>
              </w:rPr>
            </w:pPr>
            <w:r w:rsidRPr="00F739FF">
              <w:rPr>
                <w:bCs/>
              </w:rPr>
              <w:t xml:space="preserve">  1</w:t>
            </w:r>
            <w:r w:rsidRPr="00F739FF">
              <w:rPr>
                <w:bCs/>
                <w:vertAlign w:val="superscript"/>
              </w:rPr>
              <w:t>st</w:t>
            </w:r>
            <w:r w:rsidRPr="00F739FF">
              <w:rPr>
                <w:bCs/>
              </w:rPr>
              <w:t xml:space="preserve">  DBS</w:t>
            </w:r>
          </w:p>
        </w:tc>
        <w:tc>
          <w:tcPr>
            <w:tcW w:w="567" w:type="dxa"/>
          </w:tcPr>
          <w:p w14:paraId="01B9064E" w14:textId="77777777" w:rsidR="00905ADD" w:rsidRPr="00F739FF" w:rsidRDefault="00905ADD" w:rsidP="00B85EF5">
            <w:pPr>
              <w:pStyle w:val="TableParagraph"/>
              <w:spacing w:before="183"/>
              <w:ind w:right="4"/>
              <w:jc w:val="both"/>
              <w:rPr>
                <w:bCs/>
              </w:rPr>
            </w:pPr>
            <w:r w:rsidRPr="00F739FF">
              <w:rPr>
                <w:bCs/>
              </w:rPr>
              <w:t xml:space="preserve">  3</w:t>
            </w:r>
            <w:proofErr w:type="spellStart"/>
            <w:r w:rsidRPr="00F739FF">
              <w:rPr>
                <w:bCs/>
                <w:position w:val="8"/>
                <w:vertAlign w:val="superscript"/>
              </w:rPr>
              <w:t>rd</w:t>
            </w:r>
            <w:proofErr w:type="spellEnd"/>
            <w:r w:rsidRPr="00F739FF">
              <w:rPr>
                <w:bCs/>
                <w:position w:val="8"/>
                <w:vertAlign w:val="superscript"/>
              </w:rPr>
              <w:t xml:space="preserve"> </w:t>
            </w:r>
            <w:r w:rsidRPr="00F739FF">
              <w:rPr>
                <w:bCs/>
                <w:spacing w:val="-5"/>
              </w:rPr>
              <w:t xml:space="preserve">  DAS</w:t>
            </w:r>
          </w:p>
        </w:tc>
        <w:tc>
          <w:tcPr>
            <w:tcW w:w="709" w:type="dxa"/>
          </w:tcPr>
          <w:p w14:paraId="3233885F" w14:textId="77777777" w:rsidR="00905ADD" w:rsidRPr="00F739FF" w:rsidRDefault="00905ADD" w:rsidP="00B85EF5">
            <w:pPr>
              <w:pStyle w:val="TableParagraph"/>
              <w:spacing w:before="183"/>
              <w:ind w:right="11"/>
              <w:jc w:val="both"/>
              <w:rPr>
                <w:bCs/>
              </w:rPr>
            </w:pPr>
            <w:r w:rsidRPr="00F739FF">
              <w:rPr>
                <w:bCs/>
              </w:rPr>
              <w:t xml:space="preserve">  7</w:t>
            </w:r>
            <w:proofErr w:type="spellStart"/>
            <w:r w:rsidRPr="00F739FF">
              <w:rPr>
                <w:bCs/>
                <w:position w:val="8"/>
                <w:vertAlign w:val="superscript"/>
              </w:rPr>
              <w:t>th</w:t>
            </w:r>
            <w:proofErr w:type="spellEnd"/>
            <w:r w:rsidRPr="00F739FF">
              <w:rPr>
                <w:bCs/>
                <w:position w:val="8"/>
                <w:vertAlign w:val="superscript"/>
              </w:rPr>
              <w:t xml:space="preserve"> </w:t>
            </w:r>
            <w:r w:rsidRPr="00F739FF">
              <w:rPr>
                <w:bCs/>
                <w:spacing w:val="-5"/>
              </w:rPr>
              <w:t>DAS</w:t>
            </w:r>
          </w:p>
        </w:tc>
        <w:tc>
          <w:tcPr>
            <w:tcW w:w="567" w:type="dxa"/>
          </w:tcPr>
          <w:p w14:paraId="7E037A87" w14:textId="77777777" w:rsidR="00905ADD" w:rsidRPr="00F739FF" w:rsidRDefault="00905ADD" w:rsidP="00B85EF5">
            <w:pPr>
              <w:pStyle w:val="TableParagraph"/>
              <w:spacing w:before="183"/>
              <w:ind w:right="6"/>
              <w:jc w:val="both"/>
              <w:rPr>
                <w:bCs/>
              </w:rPr>
            </w:pPr>
            <w:r w:rsidRPr="00F739FF">
              <w:rPr>
                <w:bCs/>
              </w:rPr>
              <w:t>14</w:t>
            </w:r>
            <w:proofErr w:type="spellStart"/>
            <w:r w:rsidRPr="00F739FF">
              <w:rPr>
                <w:bCs/>
                <w:position w:val="8"/>
                <w:vertAlign w:val="superscript"/>
              </w:rPr>
              <w:t>th</w:t>
            </w:r>
            <w:proofErr w:type="spellEnd"/>
            <w:r w:rsidRPr="00F739FF">
              <w:rPr>
                <w:bCs/>
                <w:position w:val="8"/>
                <w:vertAlign w:val="superscript"/>
              </w:rPr>
              <w:t xml:space="preserve"> </w:t>
            </w:r>
            <w:r w:rsidRPr="00F739FF">
              <w:rPr>
                <w:bCs/>
              </w:rPr>
              <w:t>DAS</w:t>
            </w:r>
          </w:p>
        </w:tc>
        <w:tc>
          <w:tcPr>
            <w:tcW w:w="709" w:type="dxa"/>
            <w:tcBorders>
              <w:right w:val="single" w:sz="4" w:space="0" w:color="auto"/>
            </w:tcBorders>
          </w:tcPr>
          <w:p w14:paraId="668091F7" w14:textId="77777777" w:rsidR="00905ADD" w:rsidRPr="00F739FF" w:rsidRDefault="00905ADD" w:rsidP="00B85EF5">
            <w:pPr>
              <w:pStyle w:val="TableParagraph"/>
              <w:spacing w:before="219"/>
              <w:ind w:left="3" w:right="5"/>
              <w:jc w:val="both"/>
              <w:rPr>
                <w:bCs/>
              </w:rPr>
            </w:pPr>
            <w:r>
              <w:rPr>
                <w:bCs/>
                <w:spacing w:val="-4"/>
              </w:rPr>
              <w:t xml:space="preserve"> MEAN</w:t>
            </w:r>
          </w:p>
        </w:tc>
        <w:tc>
          <w:tcPr>
            <w:tcW w:w="709" w:type="dxa"/>
            <w:tcBorders>
              <w:top w:val="single" w:sz="4" w:space="0" w:color="auto"/>
              <w:bottom w:val="single" w:sz="4" w:space="0" w:color="auto"/>
              <w:right w:val="single" w:sz="4" w:space="0" w:color="auto"/>
            </w:tcBorders>
            <w:shd w:val="clear" w:color="auto" w:fill="auto"/>
          </w:tcPr>
          <w:p w14:paraId="6D6C938F" w14:textId="77777777" w:rsidR="00905ADD" w:rsidRDefault="00905ADD" w:rsidP="00B85EF5">
            <w:pPr>
              <w:widowControl/>
              <w:autoSpaceDE/>
              <w:autoSpaceDN/>
              <w:spacing w:after="200"/>
              <w:jc w:val="both"/>
            </w:pPr>
            <w:r w:rsidRPr="003073CB">
              <w:rPr>
                <w:color w:val="000000"/>
                <w:lang w:eastAsia="en-IN" w:bidi="mr-IN"/>
              </w:rPr>
              <w:t>3</w:t>
            </w:r>
            <w:r w:rsidRPr="003073CB">
              <w:rPr>
                <w:color w:val="000000"/>
                <w:vertAlign w:val="superscript"/>
                <w:lang w:eastAsia="en-IN" w:bidi="mr-IN"/>
              </w:rPr>
              <w:t>rd</w:t>
            </w:r>
            <w:r w:rsidRPr="003073CB">
              <w:rPr>
                <w:color w:val="000000"/>
                <w:lang w:eastAsia="en-IN" w:bidi="mr-IN"/>
              </w:rPr>
              <w:t xml:space="preserve"> DAS</w:t>
            </w:r>
          </w:p>
        </w:tc>
        <w:tc>
          <w:tcPr>
            <w:tcW w:w="567" w:type="dxa"/>
            <w:tcBorders>
              <w:top w:val="single" w:sz="4" w:space="0" w:color="auto"/>
              <w:bottom w:val="single" w:sz="4" w:space="0" w:color="auto"/>
              <w:right w:val="single" w:sz="4" w:space="0" w:color="auto"/>
            </w:tcBorders>
            <w:shd w:val="clear" w:color="auto" w:fill="auto"/>
          </w:tcPr>
          <w:p w14:paraId="7965C530" w14:textId="77777777" w:rsidR="00905ADD" w:rsidRDefault="00905ADD" w:rsidP="00B85EF5">
            <w:pPr>
              <w:widowControl/>
              <w:autoSpaceDE/>
              <w:autoSpaceDN/>
              <w:spacing w:after="200"/>
              <w:jc w:val="both"/>
            </w:pPr>
            <w:r>
              <w:rPr>
                <w:color w:val="000000"/>
                <w:lang w:eastAsia="en-IN" w:bidi="mr-IN"/>
              </w:rPr>
              <w:t xml:space="preserve"> 7</w:t>
            </w:r>
            <w:r w:rsidRPr="0014673B">
              <w:rPr>
                <w:color w:val="000000"/>
                <w:vertAlign w:val="superscript"/>
                <w:lang w:eastAsia="en-IN" w:bidi="mr-IN"/>
              </w:rPr>
              <w:t>th</w:t>
            </w:r>
            <w:r>
              <w:rPr>
                <w:color w:val="000000"/>
                <w:lang w:eastAsia="en-IN" w:bidi="mr-IN"/>
              </w:rPr>
              <w:t xml:space="preserve">  </w:t>
            </w:r>
            <w:r w:rsidRPr="003073CB">
              <w:rPr>
                <w:color w:val="000000"/>
                <w:lang w:eastAsia="en-IN" w:bidi="mr-IN"/>
              </w:rPr>
              <w:t>DAS</w:t>
            </w:r>
          </w:p>
        </w:tc>
        <w:tc>
          <w:tcPr>
            <w:tcW w:w="615" w:type="dxa"/>
            <w:tcBorders>
              <w:top w:val="single" w:sz="4" w:space="0" w:color="auto"/>
              <w:bottom w:val="single" w:sz="4" w:space="0" w:color="auto"/>
              <w:right w:val="single" w:sz="4" w:space="0" w:color="auto"/>
            </w:tcBorders>
            <w:shd w:val="clear" w:color="auto" w:fill="auto"/>
          </w:tcPr>
          <w:p w14:paraId="504AC689" w14:textId="77777777" w:rsidR="00905ADD" w:rsidRPr="00F739FF" w:rsidRDefault="00905ADD" w:rsidP="00B85EF5">
            <w:pPr>
              <w:widowControl/>
              <w:autoSpaceDE/>
              <w:autoSpaceDN/>
              <w:spacing w:after="200"/>
              <w:jc w:val="both"/>
              <w:rPr>
                <w:color w:val="000000"/>
                <w:lang w:eastAsia="en-IN" w:bidi="mr-IN"/>
              </w:rPr>
            </w:pPr>
            <w:r w:rsidRPr="003073CB">
              <w:rPr>
                <w:color w:val="000000"/>
                <w:lang w:eastAsia="en-IN" w:bidi="mr-IN"/>
              </w:rPr>
              <w:t>14</w:t>
            </w:r>
            <w:r w:rsidRPr="003073CB">
              <w:rPr>
                <w:color w:val="000000"/>
                <w:vertAlign w:val="superscript"/>
                <w:lang w:eastAsia="en-IN" w:bidi="mr-IN"/>
              </w:rPr>
              <w:t>th</w:t>
            </w:r>
            <w:r w:rsidRPr="003073CB">
              <w:rPr>
                <w:color w:val="000000"/>
                <w:lang w:eastAsia="en-IN" w:bidi="mr-IN"/>
              </w:rPr>
              <w:t xml:space="preserve"> DAS</w:t>
            </w:r>
          </w:p>
        </w:tc>
        <w:tc>
          <w:tcPr>
            <w:tcW w:w="797" w:type="dxa"/>
            <w:tcBorders>
              <w:top w:val="single" w:sz="4" w:space="0" w:color="auto"/>
              <w:bottom w:val="single" w:sz="4" w:space="0" w:color="auto"/>
              <w:right w:val="single" w:sz="4" w:space="0" w:color="auto"/>
            </w:tcBorders>
            <w:shd w:val="clear" w:color="auto" w:fill="auto"/>
          </w:tcPr>
          <w:p w14:paraId="5FAF5899" w14:textId="77777777" w:rsidR="00905ADD" w:rsidRDefault="00905ADD" w:rsidP="00B85EF5">
            <w:pPr>
              <w:widowControl/>
              <w:autoSpaceDE/>
              <w:autoSpaceDN/>
              <w:spacing w:after="200"/>
              <w:jc w:val="both"/>
            </w:pPr>
            <w:r>
              <w:rPr>
                <w:color w:val="000000"/>
                <w:lang w:eastAsia="en-IN" w:bidi="mr-IN"/>
              </w:rPr>
              <w:t xml:space="preserve"> </w:t>
            </w:r>
            <w:r w:rsidRPr="003073CB">
              <w:rPr>
                <w:color w:val="000000"/>
                <w:lang w:eastAsia="en-IN" w:bidi="mr-IN"/>
              </w:rPr>
              <w:t>MEAN</w:t>
            </w:r>
          </w:p>
        </w:tc>
        <w:tc>
          <w:tcPr>
            <w:tcW w:w="714" w:type="dxa"/>
            <w:vMerge/>
            <w:tcBorders>
              <w:bottom w:val="single" w:sz="4" w:space="0" w:color="auto"/>
              <w:right w:val="single" w:sz="4" w:space="0" w:color="auto"/>
            </w:tcBorders>
            <w:shd w:val="clear" w:color="auto" w:fill="auto"/>
          </w:tcPr>
          <w:p w14:paraId="64E6D5D3" w14:textId="77777777" w:rsidR="00905ADD" w:rsidRDefault="00905ADD" w:rsidP="00B85EF5">
            <w:pPr>
              <w:widowControl/>
              <w:autoSpaceDE/>
              <w:autoSpaceDN/>
              <w:spacing w:after="200" w:line="276" w:lineRule="auto"/>
            </w:pPr>
          </w:p>
        </w:tc>
        <w:tc>
          <w:tcPr>
            <w:tcW w:w="858" w:type="dxa"/>
            <w:gridSpan w:val="2"/>
            <w:vMerge/>
            <w:tcBorders>
              <w:bottom w:val="single" w:sz="4" w:space="0" w:color="auto"/>
              <w:right w:val="single" w:sz="4" w:space="0" w:color="auto"/>
            </w:tcBorders>
            <w:shd w:val="clear" w:color="auto" w:fill="auto"/>
          </w:tcPr>
          <w:p w14:paraId="06A5DD3E" w14:textId="77777777" w:rsidR="00905ADD" w:rsidRDefault="00905ADD" w:rsidP="00B85EF5">
            <w:pPr>
              <w:widowControl/>
              <w:autoSpaceDE/>
              <w:autoSpaceDN/>
              <w:spacing w:after="200" w:line="276" w:lineRule="auto"/>
            </w:pPr>
          </w:p>
        </w:tc>
      </w:tr>
      <w:tr w:rsidR="00905ADD" w14:paraId="543D4DE8" w14:textId="77777777" w:rsidTr="00B85EF5">
        <w:trPr>
          <w:gridAfter w:val="1"/>
          <w:wAfter w:w="8" w:type="dxa"/>
          <w:trHeight w:val="740"/>
        </w:trPr>
        <w:tc>
          <w:tcPr>
            <w:tcW w:w="400" w:type="dxa"/>
            <w:tcBorders>
              <w:right w:val="single" w:sz="4" w:space="0" w:color="auto"/>
            </w:tcBorders>
          </w:tcPr>
          <w:p w14:paraId="44610556" w14:textId="77777777" w:rsidR="00905ADD" w:rsidRPr="005448F6" w:rsidRDefault="00905ADD" w:rsidP="00B85EF5">
            <w:pPr>
              <w:pStyle w:val="TableParagraph"/>
              <w:spacing w:before="75"/>
              <w:jc w:val="both"/>
              <w:rPr>
                <w:b/>
              </w:rPr>
            </w:pPr>
          </w:p>
          <w:p w14:paraId="59169533"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0</w:t>
            </w:r>
          </w:p>
        </w:tc>
        <w:tc>
          <w:tcPr>
            <w:tcW w:w="1864" w:type="dxa"/>
            <w:tcBorders>
              <w:left w:val="single" w:sz="4" w:space="0" w:color="auto"/>
            </w:tcBorders>
          </w:tcPr>
          <w:p w14:paraId="5266A104" w14:textId="77777777" w:rsidR="00905ADD" w:rsidRPr="005448F6" w:rsidRDefault="00905ADD" w:rsidP="00B85EF5">
            <w:pPr>
              <w:pStyle w:val="TableParagraph"/>
              <w:spacing w:before="219"/>
              <w:ind w:right="7"/>
              <w:jc w:val="both"/>
            </w:pPr>
            <w:r>
              <w:t xml:space="preserve">  </w:t>
            </w:r>
            <w:r w:rsidRPr="005448F6">
              <w:t>Control</w:t>
            </w:r>
          </w:p>
        </w:tc>
        <w:tc>
          <w:tcPr>
            <w:tcW w:w="576" w:type="dxa"/>
          </w:tcPr>
          <w:p w14:paraId="463BE7FA" w14:textId="77777777" w:rsidR="00905ADD" w:rsidRPr="005448F6" w:rsidRDefault="00905ADD" w:rsidP="00B85EF5">
            <w:pPr>
              <w:pStyle w:val="TableParagraph"/>
              <w:spacing w:before="219"/>
              <w:ind w:right="3"/>
              <w:jc w:val="both"/>
            </w:pPr>
            <w:r>
              <w:t xml:space="preserve">  </w:t>
            </w:r>
            <w:r w:rsidRPr="005448F6">
              <w:t>6.53</w:t>
            </w:r>
          </w:p>
        </w:tc>
        <w:tc>
          <w:tcPr>
            <w:tcW w:w="567" w:type="dxa"/>
          </w:tcPr>
          <w:p w14:paraId="033F2D47" w14:textId="77777777" w:rsidR="00905ADD" w:rsidRPr="005448F6" w:rsidRDefault="00905ADD" w:rsidP="00B85EF5">
            <w:pPr>
              <w:pStyle w:val="TableParagraph"/>
              <w:spacing w:before="219"/>
              <w:ind w:right="4"/>
              <w:jc w:val="both"/>
            </w:pPr>
            <w:r>
              <w:t xml:space="preserve"> </w:t>
            </w:r>
            <w:r w:rsidRPr="005448F6">
              <w:t>7.02</w:t>
            </w:r>
          </w:p>
          <w:p w14:paraId="29B8ACE6" w14:textId="77777777" w:rsidR="00905ADD" w:rsidRPr="005448F6" w:rsidRDefault="00905ADD" w:rsidP="00B85EF5">
            <w:pPr>
              <w:pStyle w:val="TableParagraph"/>
              <w:spacing w:before="219"/>
              <w:ind w:right="4"/>
              <w:jc w:val="both"/>
            </w:pPr>
          </w:p>
        </w:tc>
        <w:tc>
          <w:tcPr>
            <w:tcW w:w="709" w:type="dxa"/>
          </w:tcPr>
          <w:p w14:paraId="2CCDBE90" w14:textId="77777777" w:rsidR="00905ADD" w:rsidRPr="005448F6" w:rsidRDefault="00905ADD" w:rsidP="00B85EF5">
            <w:pPr>
              <w:pStyle w:val="TableParagraph"/>
              <w:spacing w:before="219"/>
              <w:ind w:right="11"/>
              <w:jc w:val="both"/>
            </w:pPr>
            <w:r>
              <w:t xml:space="preserve"> </w:t>
            </w:r>
            <w:r w:rsidRPr="005448F6">
              <w:t>7.42</w:t>
            </w:r>
          </w:p>
        </w:tc>
        <w:tc>
          <w:tcPr>
            <w:tcW w:w="567" w:type="dxa"/>
          </w:tcPr>
          <w:p w14:paraId="6C145DF8" w14:textId="77777777" w:rsidR="00905ADD" w:rsidRPr="005448F6" w:rsidRDefault="00905ADD" w:rsidP="00B85EF5">
            <w:pPr>
              <w:pStyle w:val="TableParagraph"/>
              <w:spacing w:before="219"/>
              <w:ind w:left="3" w:right="6"/>
              <w:jc w:val="both"/>
            </w:pPr>
            <w:r>
              <w:t xml:space="preserve"> </w:t>
            </w:r>
            <w:r w:rsidRPr="005448F6">
              <w:t>7.51</w:t>
            </w:r>
          </w:p>
        </w:tc>
        <w:tc>
          <w:tcPr>
            <w:tcW w:w="709" w:type="dxa"/>
            <w:tcBorders>
              <w:right w:val="single" w:sz="6" w:space="0" w:color="000000"/>
            </w:tcBorders>
          </w:tcPr>
          <w:p w14:paraId="6465F41E" w14:textId="77777777" w:rsidR="00905ADD" w:rsidRPr="005448F6" w:rsidRDefault="00905ADD" w:rsidP="00B85EF5">
            <w:pPr>
              <w:pStyle w:val="TableParagraph"/>
              <w:spacing w:before="219"/>
              <w:ind w:left="5" w:right="5"/>
              <w:jc w:val="both"/>
            </w:pPr>
            <w:r>
              <w:t xml:space="preserve">  </w:t>
            </w:r>
            <w:r w:rsidRPr="005448F6">
              <w:t>7.32</w:t>
            </w:r>
          </w:p>
        </w:tc>
        <w:tc>
          <w:tcPr>
            <w:tcW w:w="709" w:type="dxa"/>
            <w:tcBorders>
              <w:top w:val="single" w:sz="4" w:space="0" w:color="auto"/>
              <w:bottom w:val="single" w:sz="4" w:space="0" w:color="auto"/>
              <w:right w:val="single" w:sz="4" w:space="0" w:color="auto"/>
            </w:tcBorders>
            <w:shd w:val="clear" w:color="auto" w:fill="auto"/>
          </w:tcPr>
          <w:p w14:paraId="36531B02" w14:textId="77777777" w:rsidR="00905ADD" w:rsidRDefault="00905ADD" w:rsidP="00B85EF5">
            <w:pPr>
              <w:widowControl/>
              <w:autoSpaceDE/>
              <w:autoSpaceDN/>
              <w:spacing w:after="200"/>
              <w:jc w:val="both"/>
            </w:pPr>
            <w:r>
              <w:t xml:space="preserve"> 7.54</w:t>
            </w:r>
          </w:p>
        </w:tc>
        <w:tc>
          <w:tcPr>
            <w:tcW w:w="567" w:type="dxa"/>
            <w:tcBorders>
              <w:top w:val="single" w:sz="4" w:space="0" w:color="auto"/>
              <w:bottom w:val="single" w:sz="4" w:space="0" w:color="auto"/>
              <w:right w:val="single" w:sz="4" w:space="0" w:color="auto"/>
            </w:tcBorders>
            <w:shd w:val="clear" w:color="auto" w:fill="auto"/>
          </w:tcPr>
          <w:p w14:paraId="2D3FFC16" w14:textId="77777777" w:rsidR="00905ADD" w:rsidRDefault="00905ADD" w:rsidP="00B85EF5">
            <w:pPr>
              <w:widowControl/>
              <w:autoSpaceDE/>
              <w:autoSpaceDN/>
              <w:spacing w:after="200"/>
              <w:jc w:val="both"/>
            </w:pPr>
            <w:r>
              <w:t xml:space="preserve"> 7.89</w:t>
            </w:r>
          </w:p>
        </w:tc>
        <w:tc>
          <w:tcPr>
            <w:tcW w:w="615" w:type="dxa"/>
            <w:tcBorders>
              <w:top w:val="single" w:sz="4" w:space="0" w:color="auto"/>
              <w:bottom w:val="single" w:sz="4" w:space="0" w:color="auto"/>
              <w:right w:val="single" w:sz="4" w:space="0" w:color="auto"/>
            </w:tcBorders>
            <w:shd w:val="clear" w:color="auto" w:fill="auto"/>
          </w:tcPr>
          <w:p w14:paraId="0AB6A21A" w14:textId="77777777" w:rsidR="00905ADD" w:rsidRDefault="00905ADD" w:rsidP="00B85EF5">
            <w:pPr>
              <w:widowControl/>
              <w:autoSpaceDE/>
              <w:autoSpaceDN/>
              <w:spacing w:after="200"/>
              <w:jc w:val="both"/>
            </w:pPr>
            <w:r>
              <w:t xml:space="preserve"> 7.90</w:t>
            </w:r>
          </w:p>
        </w:tc>
        <w:tc>
          <w:tcPr>
            <w:tcW w:w="797" w:type="dxa"/>
            <w:tcBorders>
              <w:top w:val="single" w:sz="4" w:space="0" w:color="auto"/>
              <w:bottom w:val="single" w:sz="4" w:space="0" w:color="auto"/>
              <w:right w:val="single" w:sz="4" w:space="0" w:color="auto"/>
            </w:tcBorders>
            <w:shd w:val="clear" w:color="auto" w:fill="auto"/>
          </w:tcPr>
          <w:p w14:paraId="1B756536" w14:textId="77777777" w:rsidR="00905ADD" w:rsidRDefault="00905ADD" w:rsidP="00B85EF5">
            <w:pPr>
              <w:widowControl/>
              <w:autoSpaceDE/>
              <w:autoSpaceDN/>
              <w:spacing w:after="200"/>
              <w:jc w:val="both"/>
            </w:pPr>
            <w:r>
              <w:t xml:space="preserve"> 7.76</w:t>
            </w:r>
          </w:p>
        </w:tc>
        <w:tc>
          <w:tcPr>
            <w:tcW w:w="714" w:type="dxa"/>
            <w:tcBorders>
              <w:top w:val="single" w:sz="4" w:space="0" w:color="auto"/>
              <w:bottom w:val="single" w:sz="4" w:space="0" w:color="auto"/>
              <w:right w:val="single" w:sz="4" w:space="0" w:color="auto"/>
            </w:tcBorders>
            <w:shd w:val="clear" w:color="auto" w:fill="auto"/>
          </w:tcPr>
          <w:p w14:paraId="01B89114" w14:textId="77777777" w:rsidR="00905ADD" w:rsidRPr="007B106D" w:rsidRDefault="00905ADD" w:rsidP="00B85EF5">
            <w:pPr>
              <w:pStyle w:val="TableParagraph"/>
              <w:spacing w:before="130"/>
              <w:jc w:val="both"/>
              <w:rPr>
                <w:b/>
                <w:sz w:val="24"/>
                <w:szCs w:val="24"/>
              </w:rPr>
            </w:pPr>
          </w:p>
          <w:p w14:paraId="20A2522E" w14:textId="77777777" w:rsidR="00905ADD" w:rsidRPr="007B106D" w:rsidRDefault="00905ADD" w:rsidP="00B85EF5">
            <w:pPr>
              <w:pStyle w:val="TableParagraph"/>
              <w:ind w:left="2" w:right="14"/>
              <w:jc w:val="both"/>
              <w:rPr>
                <w:sz w:val="24"/>
                <w:szCs w:val="24"/>
              </w:rPr>
            </w:pPr>
            <w:r>
              <w:rPr>
                <w:spacing w:val="-2"/>
                <w:sz w:val="24"/>
                <w:szCs w:val="24"/>
              </w:rPr>
              <w:t xml:space="preserve">    </w:t>
            </w:r>
            <w:r w:rsidRPr="007B106D">
              <w:rPr>
                <w:spacing w:val="-2"/>
                <w:sz w:val="24"/>
                <w:szCs w:val="24"/>
              </w:rPr>
              <w:t>90</w:t>
            </w:r>
          </w:p>
        </w:tc>
        <w:tc>
          <w:tcPr>
            <w:tcW w:w="850" w:type="dxa"/>
            <w:tcBorders>
              <w:top w:val="single" w:sz="4" w:space="0" w:color="auto"/>
              <w:bottom w:val="single" w:sz="4" w:space="0" w:color="auto"/>
              <w:right w:val="single" w:sz="4" w:space="0" w:color="auto"/>
            </w:tcBorders>
            <w:shd w:val="clear" w:color="auto" w:fill="auto"/>
          </w:tcPr>
          <w:p w14:paraId="0E37851C" w14:textId="77777777" w:rsidR="00905ADD" w:rsidRPr="007B106D" w:rsidRDefault="00905ADD" w:rsidP="00B85EF5">
            <w:pPr>
              <w:pStyle w:val="TableParagraph"/>
              <w:spacing w:before="130"/>
              <w:jc w:val="both"/>
              <w:rPr>
                <w:b/>
                <w:sz w:val="24"/>
                <w:szCs w:val="24"/>
              </w:rPr>
            </w:pPr>
          </w:p>
          <w:p w14:paraId="02FA37DA"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1:3.86</w:t>
            </w:r>
          </w:p>
        </w:tc>
      </w:tr>
      <w:tr w:rsidR="00905ADD" w14:paraId="718C03DB" w14:textId="77777777" w:rsidTr="00B85EF5">
        <w:trPr>
          <w:gridAfter w:val="1"/>
          <w:wAfter w:w="8" w:type="dxa"/>
          <w:trHeight w:val="770"/>
        </w:trPr>
        <w:tc>
          <w:tcPr>
            <w:tcW w:w="400" w:type="dxa"/>
          </w:tcPr>
          <w:p w14:paraId="4EE2A176" w14:textId="77777777" w:rsidR="00905ADD" w:rsidRPr="005448F6" w:rsidRDefault="00905ADD" w:rsidP="00B85EF5">
            <w:pPr>
              <w:pStyle w:val="TableParagraph"/>
              <w:spacing w:before="217"/>
              <w:ind w:right="4"/>
              <w:jc w:val="both"/>
              <w:rPr>
                <w:b/>
              </w:rPr>
            </w:pPr>
            <w:r w:rsidRPr="005448F6">
              <w:rPr>
                <w:b/>
                <w:spacing w:val="-5"/>
                <w:position w:val="1"/>
              </w:rPr>
              <w:t>T</w:t>
            </w:r>
            <w:r w:rsidRPr="005448F6">
              <w:rPr>
                <w:b/>
                <w:spacing w:val="-5"/>
              </w:rPr>
              <w:t>1</w:t>
            </w:r>
          </w:p>
        </w:tc>
        <w:tc>
          <w:tcPr>
            <w:tcW w:w="1864" w:type="dxa"/>
          </w:tcPr>
          <w:p w14:paraId="67591716" w14:textId="77777777" w:rsidR="00905ADD" w:rsidRPr="005448F6" w:rsidRDefault="00905ADD" w:rsidP="00B85EF5">
            <w:pPr>
              <w:pStyle w:val="TableParagraph"/>
              <w:spacing w:before="219"/>
              <w:ind w:left="7" w:right="7"/>
              <w:jc w:val="both"/>
            </w:pPr>
            <w:r w:rsidRPr="005448F6">
              <w:t>Cypermethrin25EC</w:t>
            </w:r>
          </w:p>
        </w:tc>
        <w:tc>
          <w:tcPr>
            <w:tcW w:w="576" w:type="dxa"/>
          </w:tcPr>
          <w:p w14:paraId="5FD7A46C" w14:textId="77777777" w:rsidR="00905ADD" w:rsidRPr="005448F6" w:rsidRDefault="00905ADD" w:rsidP="00B85EF5">
            <w:pPr>
              <w:pStyle w:val="TableParagraph"/>
              <w:spacing w:before="80"/>
              <w:jc w:val="both"/>
              <w:rPr>
                <w:bCs/>
              </w:rPr>
            </w:pPr>
            <w:r>
              <w:rPr>
                <w:bCs/>
              </w:rPr>
              <w:t xml:space="preserve">  </w:t>
            </w:r>
            <w:r w:rsidRPr="005448F6">
              <w:rPr>
                <w:bCs/>
              </w:rPr>
              <w:t>5.82</w:t>
            </w:r>
          </w:p>
          <w:p w14:paraId="6ECB9F9E" w14:textId="77777777" w:rsidR="00905ADD" w:rsidRPr="005448F6" w:rsidRDefault="00905ADD" w:rsidP="00B85EF5">
            <w:pPr>
              <w:pStyle w:val="TableParagraph"/>
              <w:ind w:right="3"/>
              <w:jc w:val="both"/>
            </w:pPr>
          </w:p>
        </w:tc>
        <w:tc>
          <w:tcPr>
            <w:tcW w:w="567" w:type="dxa"/>
          </w:tcPr>
          <w:p w14:paraId="14B76F2E" w14:textId="77777777" w:rsidR="00905ADD" w:rsidRPr="005448F6" w:rsidRDefault="00905ADD" w:rsidP="00B85EF5">
            <w:pPr>
              <w:pStyle w:val="TableParagraph"/>
              <w:spacing w:before="219"/>
              <w:ind w:right="4"/>
              <w:jc w:val="both"/>
            </w:pPr>
            <w:r>
              <w:t xml:space="preserve"> </w:t>
            </w:r>
            <w:r w:rsidRPr="005448F6">
              <w:t>5.39</w:t>
            </w:r>
          </w:p>
        </w:tc>
        <w:tc>
          <w:tcPr>
            <w:tcW w:w="709" w:type="dxa"/>
          </w:tcPr>
          <w:p w14:paraId="5C30F813" w14:textId="77777777" w:rsidR="00905ADD" w:rsidRPr="005448F6" w:rsidRDefault="00905ADD" w:rsidP="00B85EF5">
            <w:pPr>
              <w:pStyle w:val="TableParagraph"/>
              <w:spacing w:before="219"/>
              <w:ind w:left="7" w:right="11"/>
              <w:jc w:val="both"/>
            </w:pPr>
            <w:r>
              <w:t xml:space="preserve"> </w:t>
            </w:r>
            <w:r w:rsidRPr="005448F6">
              <w:t>3.78</w:t>
            </w:r>
          </w:p>
        </w:tc>
        <w:tc>
          <w:tcPr>
            <w:tcW w:w="567" w:type="dxa"/>
          </w:tcPr>
          <w:p w14:paraId="5DA9CBDD" w14:textId="77777777" w:rsidR="00905ADD" w:rsidRPr="005448F6" w:rsidRDefault="00905ADD" w:rsidP="00B85EF5">
            <w:pPr>
              <w:pStyle w:val="TableParagraph"/>
              <w:spacing w:before="219"/>
              <w:ind w:right="6"/>
              <w:jc w:val="both"/>
            </w:pPr>
            <w:r>
              <w:t xml:space="preserve"> </w:t>
            </w:r>
            <w:r w:rsidRPr="005448F6">
              <w:t>4.68</w:t>
            </w:r>
          </w:p>
        </w:tc>
        <w:tc>
          <w:tcPr>
            <w:tcW w:w="709" w:type="dxa"/>
            <w:tcBorders>
              <w:bottom w:val="single" w:sz="4" w:space="0" w:color="auto"/>
              <w:right w:val="single" w:sz="6" w:space="0" w:color="000000"/>
            </w:tcBorders>
          </w:tcPr>
          <w:p w14:paraId="55FECAC1" w14:textId="77777777" w:rsidR="00905ADD" w:rsidRPr="005448F6" w:rsidRDefault="00905ADD" w:rsidP="00B85EF5">
            <w:pPr>
              <w:pStyle w:val="TableParagraph"/>
              <w:spacing w:before="219"/>
              <w:ind w:left="5" w:right="5"/>
              <w:jc w:val="both"/>
            </w:pPr>
            <w:r>
              <w:t xml:space="preserve">  </w:t>
            </w:r>
            <w:r w:rsidRPr="005448F6">
              <w:t>4.62</w:t>
            </w:r>
          </w:p>
        </w:tc>
        <w:tc>
          <w:tcPr>
            <w:tcW w:w="709" w:type="dxa"/>
            <w:tcBorders>
              <w:top w:val="single" w:sz="4" w:space="0" w:color="auto"/>
              <w:bottom w:val="single" w:sz="4" w:space="0" w:color="auto"/>
              <w:right w:val="single" w:sz="4" w:space="0" w:color="auto"/>
            </w:tcBorders>
            <w:shd w:val="clear" w:color="auto" w:fill="auto"/>
          </w:tcPr>
          <w:p w14:paraId="2AB5366A" w14:textId="77777777" w:rsidR="00905ADD" w:rsidRDefault="00905ADD" w:rsidP="00B85EF5">
            <w:pPr>
              <w:widowControl/>
              <w:autoSpaceDE/>
              <w:autoSpaceDN/>
              <w:spacing w:after="200"/>
              <w:jc w:val="both"/>
            </w:pPr>
            <w:r>
              <w:t xml:space="preserve"> 5.22</w:t>
            </w:r>
          </w:p>
        </w:tc>
        <w:tc>
          <w:tcPr>
            <w:tcW w:w="567" w:type="dxa"/>
            <w:tcBorders>
              <w:top w:val="single" w:sz="4" w:space="0" w:color="auto"/>
              <w:bottom w:val="single" w:sz="4" w:space="0" w:color="auto"/>
              <w:right w:val="single" w:sz="4" w:space="0" w:color="auto"/>
            </w:tcBorders>
            <w:shd w:val="clear" w:color="auto" w:fill="auto"/>
          </w:tcPr>
          <w:p w14:paraId="04F5545B" w14:textId="77777777" w:rsidR="00905ADD" w:rsidRDefault="00905ADD" w:rsidP="00B85EF5">
            <w:pPr>
              <w:widowControl/>
              <w:autoSpaceDE/>
              <w:autoSpaceDN/>
              <w:spacing w:after="200"/>
              <w:jc w:val="both"/>
            </w:pPr>
            <w:r>
              <w:t xml:space="preserve"> 5.00</w:t>
            </w:r>
          </w:p>
        </w:tc>
        <w:tc>
          <w:tcPr>
            <w:tcW w:w="615" w:type="dxa"/>
            <w:tcBorders>
              <w:top w:val="single" w:sz="4" w:space="0" w:color="auto"/>
              <w:bottom w:val="single" w:sz="4" w:space="0" w:color="auto"/>
              <w:right w:val="single" w:sz="4" w:space="0" w:color="auto"/>
            </w:tcBorders>
            <w:shd w:val="clear" w:color="auto" w:fill="auto"/>
          </w:tcPr>
          <w:p w14:paraId="52B1E459" w14:textId="77777777" w:rsidR="00905ADD" w:rsidRDefault="00905ADD" w:rsidP="00B85EF5">
            <w:pPr>
              <w:widowControl/>
              <w:autoSpaceDE/>
              <w:autoSpaceDN/>
              <w:spacing w:after="200"/>
              <w:jc w:val="both"/>
            </w:pPr>
            <w:r>
              <w:t xml:space="preserve"> 5.16</w:t>
            </w:r>
          </w:p>
        </w:tc>
        <w:tc>
          <w:tcPr>
            <w:tcW w:w="797" w:type="dxa"/>
            <w:tcBorders>
              <w:top w:val="single" w:sz="4" w:space="0" w:color="auto"/>
              <w:bottom w:val="single" w:sz="4" w:space="0" w:color="auto"/>
              <w:right w:val="single" w:sz="4" w:space="0" w:color="auto"/>
            </w:tcBorders>
            <w:shd w:val="clear" w:color="auto" w:fill="auto"/>
          </w:tcPr>
          <w:p w14:paraId="0D921A81" w14:textId="77777777" w:rsidR="00905ADD" w:rsidRDefault="00905ADD" w:rsidP="00B85EF5">
            <w:pPr>
              <w:widowControl/>
              <w:autoSpaceDE/>
              <w:autoSpaceDN/>
              <w:spacing w:after="200"/>
              <w:jc w:val="both"/>
            </w:pPr>
            <w:r>
              <w:t xml:space="preserve"> 5.13</w:t>
            </w:r>
          </w:p>
        </w:tc>
        <w:tc>
          <w:tcPr>
            <w:tcW w:w="714" w:type="dxa"/>
            <w:tcBorders>
              <w:top w:val="single" w:sz="4" w:space="0" w:color="auto"/>
              <w:bottom w:val="single" w:sz="4" w:space="0" w:color="auto"/>
              <w:right w:val="single" w:sz="4" w:space="0" w:color="auto"/>
            </w:tcBorders>
            <w:shd w:val="clear" w:color="auto" w:fill="auto"/>
          </w:tcPr>
          <w:p w14:paraId="390F771E" w14:textId="77777777" w:rsidR="00905ADD" w:rsidRPr="007B106D" w:rsidRDefault="00905ADD" w:rsidP="00B85EF5">
            <w:pPr>
              <w:pStyle w:val="TableParagraph"/>
              <w:spacing w:before="131"/>
              <w:jc w:val="both"/>
              <w:rPr>
                <w:b/>
                <w:sz w:val="24"/>
                <w:szCs w:val="24"/>
              </w:rPr>
            </w:pPr>
          </w:p>
          <w:p w14:paraId="215992D7" w14:textId="77777777" w:rsidR="00905ADD" w:rsidRPr="007B106D" w:rsidRDefault="00905ADD" w:rsidP="00B85EF5">
            <w:pPr>
              <w:pStyle w:val="TableParagraph"/>
              <w:ind w:left="5" w:right="14"/>
              <w:jc w:val="both"/>
              <w:rPr>
                <w:sz w:val="24"/>
                <w:szCs w:val="24"/>
              </w:rPr>
            </w:pPr>
            <w:r>
              <w:rPr>
                <w:spacing w:val="-5"/>
                <w:sz w:val="24"/>
                <w:szCs w:val="24"/>
              </w:rPr>
              <w:t xml:space="preserve">   </w:t>
            </w:r>
            <w:r w:rsidRPr="007B106D">
              <w:rPr>
                <w:spacing w:val="-5"/>
                <w:sz w:val="24"/>
                <w:szCs w:val="24"/>
              </w:rPr>
              <w:t>160</w:t>
            </w:r>
          </w:p>
        </w:tc>
        <w:tc>
          <w:tcPr>
            <w:tcW w:w="850" w:type="dxa"/>
            <w:tcBorders>
              <w:top w:val="single" w:sz="4" w:space="0" w:color="auto"/>
              <w:bottom w:val="single" w:sz="4" w:space="0" w:color="auto"/>
              <w:right w:val="single" w:sz="4" w:space="0" w:color="auto"/>
            </w:tcBorders>
            <w:shd w:val="clear" w:color="auto" w:fill="auto"/>
          </w:tcPr>
          <w:p w14:paraId="04630CE3" w14:textId="77777777" w:rsidR="00905ADD" w:rsidRPr="007B106D" w:rsidRDefault="00905ADD" w:rsidP="00B85EF5">
            <w:pPr>
              <w:pStyle w:val="TableParagraph"/>
              <w:spacing w:before="131"/>
              <w:jc w:val="both"/>
              <w:rPr>
                <w:b/>
                <w:sz w:val="24"/>
                <w:szCs w:val="24"/>
              </w:rPr>
            </w:pPr>
          </w:p>
          <w:p w14:paraId="66F21E94"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1:6.49</w:t>
            </w:r>
          </w:p>
        </w:tc>
      </w:tr>
      <w:tr w:rsidR="00905ADD" w14:paraId="37A2902A" w14:textId="77777777" w:rsidTr="00B85EF5">
        <w:trPr>
          <w:gridAfter w:val="1"/>
          <w:wAfter w:w="8" w:type="dxa"/>
          <w:trHeight w:val="686"/>
        </w:trPr>
        <w:tc>
          <w:tcPr>
            <w:tcW w:w="400" w:type="dxa"/>
          </w:tcPr>
          <w:p w14:paraId="237CDE93" w14:textId="77777777" w:rsidR="00905ADD" w:rsidRPr="005448F6" w:rsidRDefault="00905ADD" w:rsidP="00B85EF5">
            <w:pPr>
              <w:pStyle w:val="TableParagraph"/>
              <w:spacing w:before="75"/>
              <w:jc w:val="both"/>
              <w:rPr>
                <w:b/>
              </w:rPr>
            </w:pPr>
          </w:p>
          <w:p w14:paraId="0873642E"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2</w:t>
            </w:r>
          </w:p>
        </w:tc>
        <w:tc>
          <w:tcPr>
            <w:tcW w:w="1864" w:type="dxa"/>
          </w:tcPr>
          <w:p w14:paraId="4DD6E3B8" w14:textId="77777777" w:rsidR="00905ADD" w:rsidRPr="005448F6" w:rsidRDefault="00905ADD" w:rsidP="00B85EF5">
            <w:pPr>
              <w:pStyle w:val="TableParagraph"/>
              <w:spacing w:before="80"/>
              <w:ind w:right="322"/>
              <w:jc w:val="both"/>
            </w:pPr>
            <w:r>
              <w:t xml:space="preserve">  </w:t>
            </w:r>
            <w:r w:rsidRPr="005448F6">
              <w:t xml:space="preserve">Neem oil </w:t>
            </w:r>
            <w:r w:rsidRPr="005448F6">
              <w:rPr>
                <w:spacing w:val="-5"/>
              </w:rPr>
              <w:t>2%</w:t>
            </w:r>
          </w:p>
        </w:tc>
        <w:tc>
          <w:tcPr>
            <w:tcW w:w="576" w:type="dxa"/>
          </w:tcPr>
          <w:p w14:paraId="47EAEDB9" w14:textId="77777777" w:rsidR="00905ADD" w:rsidRPr="005448F6" w:rsidRDefault="00905ADD" w:rsidP="00B85EF5">
            <w:pPr>
              <w:pStyle w:val="TableParagraph"/>
              <w:spacing w:before="219"/>
              <w:ind w:right="3"/>
              <w:jc w:val="both"/>
            </w:pPr>
            <w:r>
              <w:t xml:space="preserve">  </w:t>
            </w:r>
            <w:r w:rsidRPr="005448F6">
              <w:t>6.03</w:t>
            </w:r>
          </w:p>
        </w:tc>
        <w:tc>
          <w:tcPr>
            <w:tcW w:w="567" w:type="dxa"/>
          </w:tcPr>
          <w:p w14:paraId="1AAEB0EB" w14:textId="77777777" w:rsidR="00905ADD" w:rsidRPr="005448F6" w:rsidRDefault="00905ADD" w:rsidP="00B85EF5">
            <w:pPr>
              <w:pStyle w:val="TableParagraph"/>
              <w:spacing w:before="219"/>
              <w:ind w:right="4"/>
              <w:jc w:val="both"/>
            </w:pPr>
            <w:r>
              <w:t xml:space="preserve"> </w:t>
            </w:r>
            <w:r w:rsidRPr="005448F6">
              <w:t>6.08</w:t>
            </w:r>
          </w:p>
        </w:tc>
        <w:tc>
          <w:tcPr>
            <w:tcW w:w="709" w:type="dxa"/>
          </w:tcPr>
          <w:p w14:paraId="3AC5F1A0" w14:textId="77777777" w:rsidR="00905ADD" w:rsidRPr="005448F6" w:rsidRDefault="00905ADD" w:rsidP="00B85EF5">
            <w:pPr>
              <w:pStyle w:val="TableParagraph"/>
              <w:spacing w:before="219"/>
              <w:ind w:right="11"/>
              <w:jc w:val="both"/>
            </w:pPr>
            <w:r>
              <w:t xml:space="preserve"> </w:t>
            </w:r>
            <w:r w:rsidRPr="005448F6">
              <w:t>5.86</w:t>
            </w:r>
          </w:p>
        </w:tc>
        <w:tc>
          <w:tcPr>
            <w:tcW w:w="567" w:type="dxa"/>
          </w:tcPr>
          <w:p w14:paraId="56D36130" w14:textId="77777777" w:rsidR="00905ADD" w:rsidRPr="005448F6" w:rsidRDefault="00905ADD" w:rsidP="00B85EF5">
            <w:pPr>
              <w:pStyle w:val="TableParagraph"/>
              <w:spacing w:before="219"/>
              <w:ind w:left="3" w:right="6"/>
              <w:jc w:val="both"/>
            </w:pPr>
            <w:r>
              <w:t xml:space="preserve"> </w:t>
            </w:r>
            <w:r w:rsidRPr="005448F6">
              <w:t>6.03</w:t>
            </w:r>
          </w:p>
        </w:tc>
        <w:tc>
          <w:tcPr>
            <w:tcW w:w="709" w:type="dxa"/>
            <w:tcBorders>
              <w:top w:val="single" w:sz="4" w:space="0" w:color="auto"/>
              <w:bottom w:val="single" w:sz="4" w:space="0" w:color="auto"/>
              <w:right w:val="single" w:sz="6" w:space="0" w:color="000000"/>
            </w:tcBorders>
          </w:tcPr>
          <w:p w14:paraId="06445505" w14:textId="77777777" w:rsidR="00905ADD" w:rsidRPr="005448F6" w:rsidRDefault="00905ADD" w:rsidP="00B85EF5">
            <w:pPr>
              <w:pStyle w:val="TableParagraph"/>
              <w:spacing w:before="219"/>
              <w:ind w:left="5" w:right="5"/>
              <w:jc w:val="both"/>
            </w:pPr>
            <w:r>
              <w:t xml:space="preserve">  </w:t>
            </w:r>
            <w:r w:rsidRPr="005448F6">
              <w:t>5.99</w:t>
            </w:r>
          </w:p>
        </w:tc>
        <w:tc>
          <w:tcPr>
            <w:tcW w:w="709" w:type="dxa"/>
            <w:tcBorders>
              <w:top w:val="single" w:sz="4" w:space="0" w:color="auto"/>
              <w:bottom w:val="single" w:sz="4" w:space="0" w:color="auto"/>
              <w:right w:val="single" w:sz="4" w:space="0" w:color="auto"/>
            </w:tcBorders>
            <w:shd w:val="clear" w:color="auto" w:fill="auto"/>
          </w:tcPr>
          <w:p w14:paraId="067E477C" w14:textId="77777777" w:rsidR="00905ADD" w:rsidRDefault="00905ADD" w:rsidP="00B85EF5">
            <w:pPr>
              <w:widowControl/>
              <w:autoSpaceDE/>
              <w:autoSpaceDN/>
              <w:spacing w:after="200"/>
              <w:jc w:val="both"/>
            </w:pPr>
            <w:r>
              <w:t xml:space="preserve"> 6.03</w:t>
            </w:r>
          </w:p>
        </w:tc>
        <w:tc>
          <w:tcPr>
            <w:tcW w:w="567" w:type="dxa"/>
            <w:tcBorders>
              <w:top w:val="single" w:sz="4" w:space="0" w:color="auto"/>
              <w:bottom w:val="single" w:sz="4" w:space="0" w:color="auto"/>
              <w:right w:val="single" w:sz="4" w:space="0" w:color="auto"/>
            </w:tcBorders>
            <w:shd w:val="clear" w:color="auto" w:fill="auto"/>
          </w:tcPr>
          <w:p w14:paraId="35890909" w14:textId="77777777" w:rsidR="00905ADD" w:rsidRDefault="00905ADD" w:rsidP="00B85EF5">
            <w:pPr>
              <w:widowControl/>
              <w:autoSpaceDE/>
              <w:autoSpaceDN/>
              <w:spacing w:after="200"/>
              <w:jc w:val="both"/>
            </w:pPr>
            <w:r>
              <w:t xml:space="preserve"> 5.92</w:t>
            </w:r>
          </w:p>
        </w:tc>
        <w:tc>
          <w:tcPr>
            <w:tcW w:w="615" w:type="dxa"/>
            <w:tcBorders>
              <w:top w:val="single" w:sz="4" w:space="0" w:color="auto"/>
              <w:bottom w:val="single" w:sz="4" w:space="0" w:color="auto"/>
              <w:right w:val="single" w:sz="4" w:space="0" w:color="auto"/>
            </w:tcBorders>
            <w:shd w:val="clear" w:color="auto" w:fill="auto"/>
          </w:tcPr>
          <w:p w14:paraId="652C5F75" w14:textId="77777777" w:rsidR="00905ADD" w:rsidRDefault="00905ADD" w:rsidP="00B85EF5">
            <w:pPr>
              <w:widowControl/>
              <w:autoSpaceDE/>
              <w:autoSpaceDN/>
              <w:spacing w:after="200"/>
              <w:jc w:val="both"/>
            </w:pPr>
            <w:r>
              <w:t xml:space="preserve"> 6.01</w:t>
            </w:r>
          </w:p>
        </w:tc>
        <w:tc>
          <w:tcPr>
            <w:tcW w:w="797" w:type="dxa"/>
            <w:tcBorders>
              <w:top w:val="single" w:sz="4" w:space="0" w:color="auto"/>
              <w:bottom w:val="single" w:sz="4" w:space="0" w:color="auto"/>
              <w:right w:val="single" w:sz="4" w:space="0" w:color="auto"/>
            </w:tcBorders>
            <w:shd w:val="clear" w:color="auto" w:fill="auto"/>
          </w:tcPr>
          <w:p w14:paraId="7256E664" w14:textId="77777777" w:rsidR="00905ADD" w:rsidRDefault="00905ADD" w:rsidP="00B85EF5">
            <w:pPr>
              <w:widowControl/>
              <w:autoSpaceDE/>
              <w:autoSpaceDN/>
              <w:spacing w:after="200"/>
              <w:jc w:val="both"/>
            </w:pPr>
            <w:r>
              <w:t xml:space="preserve"> 5.99</w:t>
            </w:r>
          </w:p>
        </w:tc>
        <w:tc>
          <w:tcPr>
            <w:tcW w:w="714" w:type="dxa"/>
            <w:tcBorders>
              <w:top w:val="single" w:sz="4" w:space="0" w:color="auto"/>
              <w:bottom w:val="single" w:sz="4" w:space="0" w:color="auto"/>
              <w:right w:val="single" w:sz="4" w:space="0" w:color="auto"/>
            </w:tcBorders>
            <w:shd w:val="clear" w:color="auto" w:fill="auto"/>
          </w:tcPr>
          <w:p w14:paraId="0AD170D5" w14:textId="77777777" w:rsidR="00905ADD" w:rsidRPr="007B106D" w:rsidRDefault="00905ADD" w:rsidP="00B85EF5">
            <w:pPr>
              <w:pStyle w:val="TableParagraph"/>
              <w:spacing w:before="130"/>
              <w:jc w:val="both"/>
              <w:rPr>
                <w:b/>
                <w:sz w:val="24"/>
                <w:szCs w:val="24"/>
              </w:rPr>
            </w:pPr>
          </w:p>
          <w:p w14:paraId="1FE26170" w14:textId="77777777" w:rsidR="00905ADD" w:rsidRPr="007B106D" w:rsidRDefault="00905ADD" w:rsidP="00B85EF5">
            <w:pPr>
              <w:pStyle w:val="TableParagraph"/>
              <w:spacing w:before="1"/>
              <w:ind w:left="2" w:right="14"/>
              <w:jc w:val="both"/>
              <w:rPr>
                <w:sz w:val="24"/>
                <w:szCs w:val="24"/>
              </w:rPr>
            </w:pPr>
            <w:r>
              <w:rPr>
                <w:spacing w:val="-2"/>
                <w:sz w:val="24"/>
                <w:szCs w:val="24"/>
              </w:rPr>
              <w:t xml:space="preserve">  </w:t>
            </w:r>
            <w:r w:rsidRPr="007B106D">
              <w:rPr>
                <w:spacing w:val="-2"/>
                <w:sz w:val="24"/>
                <w:szCs w:val="24"/>
              </w:rPr>
              <w:t>112.5</w:t>
            </w:r>
          </w:p>
        </w:tc>
        <w:tc>
          <w:tcPr>
            <w:tcW w:w="850" w:type="dxa"/>
            <w:tcBorders>
              <w:top w:val="single" w:sz="4" w:space="0" w:color="auto"/>
              <w:bottom w:val="single" w:sz="4" w:space="0" w:color="auto"/>
              <w:right w:val="single" w:sz="4" w:space="0" w:color="auto"/>
            </w:tcBorders>
            <w:shd w:val="clear" w:color="auto" w:fill="auto"/>
          </w:tcPr>
          <w:p w14:paraId="4AC0D928" w14:textId="77777777" w:rsidR="00905ADD" w:rsidRPr="007B106D" w:rsidRDefault="00905ADD" w:rsidP="00B85EF5">
            <w:pPr>
              <w:pStyle w:val="TableParagraph"/>
              <w:spacing w:before="130"/>
              <w:jc w:val="both"/>
              <w:rPr>
                <w:b/>
                <w:sz w:val="24"/>
                <w:szCs w:val="24"/>
              </w:rPr>
            </w:pPr>
          </w:p>
          <w:p w14:paraId="6357BAB5"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1:4.47</w:t>
            </w:r>
          </w:p>
        </w:tc>
      </w:tr>
      <w:tr w:rsidR="00905ADD" w14:paraId="2C3018E3" w14:textId="77777777" w:rsidTr="00B85EF5">
        <w:trPr>
          <w:gridAfter w:val="1"/>
          <w:wAfter w:w="8" w:type="dxa"/>
          <w:trHeight w:val="691"/>
        </w:trPr>
        <w:tc>
          <w:tcPr>
            <w:tcW w:w="400" w:type="dxa"/>
          </w:tcPr>
          <w:p w14:paraId="72817000" w14:textId="77777777" w:rsidR="00905ADD" w:rsidRPr="005448F6" w:rsidRDefault="00905ADD" w:rsidP="00B85EF5">
            <w:pPr>
              <w:pStyle w:val="TableParagraph"/>
              <w:spacing w:before="80"/>
              <w:jc w:val="both"/>
              <w:rPr>
                <w:b/>
              </w:rPr>
            </w:pPr>
          </w:p>
          <w:p w14:paraId="6AB29A8C" w14:textId="77777777" w:rsidR="00905ADD" w:rsidRPr="005448F6" w:rsidRDefault="00905ADD" w:rsidP="00B85EF5">
            <w:pPr>
              <w:pStyle w:val="TableParagraph"/>
              <w:ind w:right="4"/>
              <w:jc w:val="both"/>
              <w:rPr>
                <w:b/>
                <w:spacing w:val="-5"/>
              </w:rPr>
            </w:pPr>
            <w:r w:rsidRPr="005448F6">
              <w:rPr>
                <w:b/>
                <w:spacing w:val="-5"/>
                <w:position w:val="1"/>
              </w:rPr>
              <w:t>T</w:t>
            </w:r>
            <w:r w:rsidRPr="005448F6">
              <w:rPr>
                <w:b/>
                <w:spacing w:val="-5"/>
              </w:rPr>
              <w:t>3</w:t>
            </w:r>
          </w:p>
        </w:tc>
        <w:tc>
          <w:tcPr>
            <w:tcW w:w="1864" w:type="dxa"/>
          </w:tcPr>
          <w:p w14:paraId="60DFD216" w14:textId="77777777" w:rsidR="00905ADD" w:rsidRPr="005448F6" w:rsidRDefault="00905ADD" w:rsidP="00B85EF5">
            <w:pPr>
              <w:pStyle w:val="TableParagraph"/>
              <w:spacing w:before="222"/>
              <w:ind w:left="5" w:right="7"/>
              <w:jc w:val="both"/>
            </w:pPr>
            <w:r>
              <w:t xml:space="preserve">  </w:t>
            </w:r>
            <w:r w:rsidRPr="005448F6">
              <w:t>Spinosad45%</w:t>
            </w:r>
            <w:r w:rsidRPr="005448F6">
              <w:rPr>
                <w:spacing w:val="-5"/>
              </w:rPr>
              <w:t>SC</w:t>
            </w:r>
          </w:p>
        </w:tc>
        <w:tc>
          <w:tcPr>
            <w:tcW w:w="576" w:type="dxa"/>
          </w:tcPr>
          <w:p w14:paraId="058B7F0C" w14:textId="77777777" w:rsidR="00905ADD" w:rsidRPr="005448F6" w:rsidRDefault="00905ADD" w:rsidP="00B85EF5">
            <w:pPr>
              <w:pStyle w:val="TableParagraph"/>
              <w:spacing w:before="222"/>
              <w:ind w:right="3"/>
              <w:jc w:val="both"/>
            </w:pPr>
            <w:r>
              <w:t xml:space="preserve">  </w:t>
            </w:r>
            <w:r w:rsidRPr="005448F6">
              <w:t>7.06</w:t>
            </w:r>
          </w:p>
        </w:tc>
        <w:tc>
          <w:tcPr>
            <w:tcW w:w="567" w:type="dxa"/>
          </w:tcPr>
          <w:p w14:paraId="539595CC" w14:textId="77777777" w:rsidR="00905ADD" w:rsidRPr="005448F6" w:rsidRDefault="00905ADD" w:rsidP="00B85EF5">
            <w:pPr>
              <w:pStyle w:val="TableParagraph"/>
              <w:spacing w:before="222"/>
              <w:ind w:right="4"/>
              <w:jc w:val="both"/>
            </w:pPr>
            <w:r>
              <w:t xml:space="preserve"> </w:t>
            </w:r>
            <w:r w:rsidRPr="005448F6">
              <w:t>4.74</w:t>
            </w:r>
          </w:p>
        </w:tc>
        <w:tc>
          <w:tcPr>
            <w:tcW w:w="709" w:type="dxa"/>
          </w:tcPr>
          <w:p w14:paraId="2CA093EB" w14:textId="77777777" w:rsidR="00905ADD" w:rsidRPr="005448F6" w:rsidRDefault="00905ADD" w:rsidP="00B85EF5">
            <w:pPr>
              <w:pStyle w:val="TableParagraph"/>
              <w:spacing w:before="222"/>
              <w:ind w:right="11"/>
              <w:jc w:val="both"/>
            </w:pPr>
            <w:r>
              <w:t xml:space="preserve"> </w:t>
            </w:r>
            <w:r w:rsidRPr="005448F6">
              <w:t>3.63</w:t>
            </w:r>
          </w:p>
        </w:tc>
        <w:tc>
          <w:tcPr>
            <w:tcW w:w="567" w:type="dxa"/>
          </w:tcPr>
          <w:p w14:paraId="27576BEC" w14:textId="77777777" w:rsidR="00905ADD" w:rsidRPr="005448F6" w:rsidRDefault="00905ADD" w:rsidP="00B85EF5">
            <w:pPr>
              <w:pStyle w:val="TableParagraph"/>
              <w:spacing w:before="222"/>
              <w:ind w:left="3" w:right="6"/>
              <w:jc w:val="both"/>
            </w:pPr>
            <w:r>
              <w:t xml:space="preserve"> </w:t>
            </w:r>
            <w:r w:rsidRPr="005448F6">
              <w:t>4.66</w:t>
            </w:r>
          </w:p>
        </w:tc>
        <w:tc>
          <w:tcPr>
            <w:tcW w:w="709" w:type="dxa"/>
            <w:tcBorders>
              <w:right w:val="single" w:sz="6" w:space="0" w:color="000000"/>
            </w:tcBorders>
          </w:tcPr>
          <w:p w14:paraId="5FD4167F" w14:textId="77777777" w:rsidR="00905ADD" w:rsidRPr="005448F6" w:rsidRDefault="00905ADD" w:rsidP="00B85EF5">
            <w:pPr>
              <w:pStyle w:val="TableParagraph"/>
              <w:spacing w:before="222"/>
              <w:ind w:left="5" w:right="5"/>
              <w:jc w:val="both"/>
            </w:pPr>
            <w:r>
              <w:t xml:space="preserve">  </w:t>
            </w:r>
            <w:r w:rsidRPr="005448F6">
              <w:t>4.34</w:t>
            </w:r>
          </w:p>
        </w:tc>
        <w:tc>
          <w:tcPr>
            <w:tcW w:w="709" w:type="dxa"/>
            <w:tcBorders>
              <w:top w:val="single" w:sz="4" w:space="0" w:color="auto"/>
              <w:bottom w:val="single" w:sz="4" w:space="0" w:color="auto"/>
              <w:right w:val="single" w:sz="4" w:space="0" w:color="auto"/>
            </w:tcBorders>
            <w:shd w:val="clear" w:color="auto" w:fill="auto"/>
          </w:tcPr>
          <w:p w14:paraId="666FF734" w14:textId="77777777" w:rsidR="00905ADD" w:rsidRDefault="00905ADD" w:rsidP="00B85EF5">
            <w:pPr>
              <w:widowControl/>
              <w:autoSpaceDE/>
              <w:autoSpaceDN/>
              <w:spacing w:after="200"/>
              <w:jc w:val="both"/>
            </w:pPr>
            <w:r>
              <w:t xml:space="preserve"> 4.66</w:t>
            </w:r>
          </w:p>
        </w:tc>
        <w:tc>
          <w:tcPr>
            <w:tcW w:w="567" w:type="dxa"/>
            <w:tcBorders>
              <w:top w:val="single" w:sz="4" w:space="0" w:color="auto"/>
              <w:bottom w:val="single" w:sz="4" w:space="0" w:color="auto"/>
              <w:right w:val="single" w:sz="4" w:space="0" w:color="auto"/>
            </w:tcBorders>
            <w:shd w:val="clear" w:color="auto" w:fill="auto"/>
          </w:tcPr>
          <w:p w14:paraId="706B6366" w14:textId="77777777" w:rsidR="00905ADD" w:rsidRDefault="00905ADD" w:rsidP="00B85EF5">
            <w:pPr>
              <w:widowControl/>
              <w:autoSpaceDE/>
              <w:autoSpaceDN/>
              <w:spacing w:after="200"/>
              <w:jc w:val="both"/>
            </w:pPr>
            <w:r>
              <w:t xml:space="preserve"> 4.52</w:t>
            </w:r>
          </w:p>
        </w:tc>
        <w:tc>
          <w:tcPr>
            <w:tcW w:w="615" w:type="dxa"/>
            <w:tcBorders>
              <w:top w:val="single" w:sz="4" w:space="0" w:color="auto"/>
              <w:bottom w:val="single" w:sz="4" w:space="0" w:color="auto"/>
              <w:right w:val="single" w:sz="4" w:space="0" w:color="auto"/>
            </w:tcBorders>
            <w:shd w:val="clear" w:color="auto" w:fill="auto"/>
          </w:tcPr>
          <w:p w14:paraId="62D13444" w14:textId="77777777" w:rsidR="00905ADD" w:rsidRDefault="00905ADD" w:rsidP="00B85EF5">
            <w:pPr>
              <w:widowControl/>
              <w:autoSpaceDE/>
              <w:autoSpaceDN/>
              <w:spacing w:after="200"/>
              <w:jc w:val="both"/>
            </w:pPr>
            <w:r>
              <w:t xml:space="preserve"> 4.64</w:t>
            </w:r>
          </w:p>
        </w:tc>
        <w:tc>
          <w:tcPr>
            <w:tcW w:w="797" w:type="dxa"/>
            <w:tcBorders>
              <w:top w:val="single" w:sz="4" w:space="0" w:color="auto"/>
              <w:bottom w:val="single" w:sz="4" w:space="0" w:color="auto"/>
              <w:right w:val="single" w:sz="4" w:space="0" w:color="auto"/>
            </w:tcBorders>
            <w:shd w:val="clear" w:color="auto" w:fill="auto"/>
          </w:tcPr>
          <w:p w14:paraId="0ECF0A6B" w14:textId="77777777" w:rsidR="00905ADD" w:rsidRDefault="00905ADD" w:rsidP="00B85EF5">
            <w:pPr>
              <w:widowControl/>
              <w:autoSpaceDE/>
              <w:autoSpaceDN/>
              <w:spacing w:after="200"/>
              <w:jc w:val="both"/>
            </w:pPr>
            <w:r>
              <w:t xml:space="preserve"> 4.61</w:t>
            </w:r>
          </w:p>
        </w:tc>
        <w:tc>
          <w:tcPr>
            <w:tcW w:w="714" w:type="dxa"/>
            <w:tcBorders>
              <w:top w:val="single" w:sz="4" w:space="0" w:color="auto"/>
              <w:bottom w:val="single" w:sz="4" w:space="0" w:color="auto"/>
              <w:right w:val="single" w:sz="4" w:space="0" w:color="auto"/>
            </w:tcBorders>
            <w:shd w:val="clear" w:color="auto" w:fill="auto"/>
          </w:tcPr>
          <w:p w14:paraId="37CF6C0F" w14:textId="77777777" w:rsidR="00905ADD" w:rsidRPr="007B106D" w:rsidRDefault="00905ADD" w:rsidP="00B85EF5">
            <w:pPr>
              <w:pStyle w:val="TableParagraph"/>
              <w:spacing w:before="128"/>
              <w:jc w:val="both"/>
              <w:rPr>
                <w:b/>
                <w:sz w:val="24"/>
                <w:szCs w:val="24"/>
              </w:rPr>
            </w:pPr>
          </w:p>
          <w:p w14:paraId="2B715657" w14:textId="77777777" w:rsidR="00905ADD" w:rsidRPr="007B106D" w:rsidRDefault="00905ADD" w:rsidP="00B85EF5">
            <w:pPr>
              <w:pStyle w:val="TableParagraph"/>
              <w:ind w:left="2" w:right="14"/>
              <w:jc w:val="both"/>
              <w:rPr>
                <w:sz w:val="24"/>
                <w:szCs w:val="24"/>
              </w:rPr>
            </w:pPr>
            <w:r>
              <w:rPr>
                <w:spacing w:val="-2"/>
                <w:sz w:val="24"/>
                <w:szCs w:val="24"/>
              </w:rPr>
              <w:t xml:space="preserve">  </w:t>
            </w:r>
            <w:r w:rsidRPr="007B106D">
              <w:rPr>
                <w:spacing w:val="-2"/>
                <w:sz w:val="24"/>
                <w:szCs w:val="24"/>
              </w:rPr>
              <w:t>190</w:t>
            </w:r>
          </w:p>
        </w:tc>
        <w:tc>
          <w:tcPr>
            <w:tcW w:w="850" w:type="dxa"/>
            <w:tcBorders>
              <w:top w:val="single" w:sz="4" w:space="0" w:color="auto"/>
              <w:bottom w:val="single" w:sz="4" w:space="0" w:color="auto"/>
              <w:right w:val="single" w:sz="4" w:space="0" w:color="auto"/>
            </w:tcBorders>
            <w:shd w:val="clear" w:color="auto" w:fill="auto"/>
          </w:tcPr>
          <w:p w14:paraId="360A07BF" w14:textId="77777777" w:rsidR="00905ADD" w:rsidRPr="007B106D" w:rsidRDefault="00905ADD" w:rsidP="00B85EF5">
            <w:pPr>
              <w:pStyle w:val="TableParagraph"/>
              <w:spacing w:before="128"/>
              <w:jc w:val="both"/>
              <w:rPr>
                <w:b/>
                <w:sz w:val="24"/>
                <w:szCs w:val="24"/>
              </w:rPr>
            </w:pPr>
          </w:p>
          <w:p w14:paraId="39D7F072"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1:7.80</w:t>
            </w:r>
          </w:p>
        </w:tc>
      </w:tr>
      <w:tr w:rsidR="00905ADD" w14:paraId="155F1FA3" w14:textId="77777777" w:rsidTr="00B85EF5">
        <w:trPr>
          <w:gridAfter w:val="1"/>
          <w:wAfter w:w="8" w:type="dxa"/>
          <w:trHeight w:val="688"/>
        </w:trPr>
        <w:tc>
          <w:tcPr>
            <w:tcW w:w="400" w:type="dxa"/>
          </w:tcPr>
          <w:p w14:paraId="4C377D47" w14:textId="77777777" w:rsidR="00905ADD" w:rsidRPr="005448F6" w:rsidRDefault="00905ADD" w:rsidP="00B85EF5">
            <w:pPr>
              <w:pStyle w:val="TableParagraph"/>
              <w:spacing w:before="215"/>
              <w:ind w:right="4"/>
              <w:jc w:val="both"/>
              <w:rPr>
                <w:b/>
              </w:rPr>
            </w:pPr>
            <w:r w:rsidRPr="005448F6">
              <w:rPr>
                <w:b/>
                <w:spacing w:val="-5"/>
                <w:position w:val="1"/>
              </w:rPr>
              <w:t>T</w:t>
            </w:r>
            <w:r w:rsidRPr="005448F6">
              <w:rPr>
                <w:b/>
                <w:spacing w:val="-5"/>
              </w:rPr>
              <w:t>4</w:t>
            </w:r>
          </w:p>
        </w:tc>
        <w:tc>
          <w:tcPr>
            <w:tcW w:w="1864" w:type="dxa"/>
          </w:tcPr>
          <w:p w14:paraId="07CDEB35" w14:textId="77777777" w:rsidR="00905ADD" w:rsidRPr="005448F6" w:rsidRDefault="00905ADD" w:rsidP="00B85EF5">
            <w:pPr>
              <w:pStyle w:val="TableParagraph"/>
              <w:spacing w:before="220"/>
              <w:ind w:left="3" w:right="7"/>
              <w:jc w:val="both"/>
            </w:pPr>
            <w:r>
              <w:t xml:space="preserve">  </w:t>
            </w:r>
            <w:r w:rsidRPr="005448F6">
              <w:t>NSKE 2%</w:t>
            </w:r>
          </w:p>
        </w:tc>
        <w:tc>
          <w:tcPr>
            <w:tcW w:w="576" w:type="dxa"/>
          </w:tcPr>
          <w:p w14:paraId="01C4FEA3" w14:textId="77777777" w:rsidR="00905ADD" w:rsidRPr="005448F6" w:rsidRDefault="00905ADD" w:rsidP="00B85EF5">
            <w:pPr>
              <w:pStyle w:val="TableParagraph"/>
              <w:spacing w:before="83"/>
              <w:jc w:val="both"/>
              <w:rPr>
                <w:bCs/>
              </w:rPr>
            </w:pPr>
            <w:r>
              <w:rPr>
                <w:bCs/>
              </w:rPr>
              <w:t xml:space="preserve">  </w:t>
            </w:r>
            <w:r w:rsidRPr="005448F6">
              <w:rPr>
                <w:bCs/>
              </w:rPr>
              <w:t>6.18</w:t>
            </w:r>
          </w:p>
          <w:p w14:paraId="7D697765" w14:textId="77777777" w:rsidR="00905ADD" w:rsidRPr="005448F6" w:rsidRDefault="00905ADD" w:rsidP="00B85EF5">
            <w:pPr>
              <w:pStyle w:val="TableParagraph"/>
              <w:ind w:right="3"/>
              <w:jc w:val="both"/>
            </w:pPr>
          </w:p>
        </w:tc>
        <w:tc>
          <w:tcPr>
            <w:tcW w:w="567" w:type="dxa"/>
          </w:tcPr>
          <w:p w14:paraId="52166922" w14:textId="77777777" w:rsidR="00905ADD" w:rsidRPr="005448F6" w:rsidRDefault="00905ADD" w:rsidP="00B85EF5">
            <w:pPr>
              <w:pStyle w:val="TableParagraph"/>
              <w:spacing w:before="220"/>
              <w:ind w:right="4"/>
              <w:jc w:val="both"/>
            </w:pPr>
            <w:r>
              <w:t xml:space="preserve"> </w:t>
            </w:r>
            <w:r w:rsidRPr="005448F6">
              <w:t>6.03</w:t>
            </w:r>
          </w:p>
        </w:tc>
        <w:tc>
          <w:tcPr>
            <w:tcW w:w="709" w:type="dxa"/>
          </w:tcPr>
          <w:p w14:paraId="40CC2F78" w14:textId="77777777" w:rsidR="00905ADD" w:rsidRPr="005448F6" w:rsidRDefault="00905ADD" w:rsidP="00B85EF5">
            <w:pPr>
              <w:pStyle w:val="TableParagraph"/>
              <w:spacing w:before="220"/>
              <w:ind w:right="11"/>
              <w:jc w:val="both"/>
            </w:pPr>
            <w:r>
              <w:t xml:space="preserve"> </w:t>
            </w:r>
            <w:r w:rsidRPr="005448F6">
              <w:t>5.42</w:t>
            </w:r>
          </w:p>
        </w:tc>
        <w:tc>
          <w:tcPr>
            <w:tcW w:w="567" w:type="dxa"/>
          </w:tcPr>
          <w:p w14:paraId="7445DA91" w14:textId="77777777" w:rsidR="00905ADD" w:rsidRPr="005448F6" w:rsidRDefault="00905ADD" w:rsidP="00B85EF5">
            <w:pPr>
              <w:pStyle w:val="TableParagraph"/>
              <w:spacing w:before="220"/>
              <w:ind w:right="6"/>
              <w:jc w:val="both"/>
            </w:pPr>
            <w:r>
              <w:t xml:space="preserve"> </w:t>
            </w:r>
            <w:r w:rsidRPr="005448F6">
              <w:t>5.41</w:t>
            </w:r>
          </w:p>
        </w:tc>
        <w:tc>
          <w:tcPr>
            <w:tcW w:w="709" w:type="dxa"/>
            <w:tcBorders>
              <w:bottom w:val="single" w:sz="4" w:space="0" w:color="auto"/>
              <w:right w:val="single" w:sz="6" w:space="0" w:color="000000"/>
            </w:tcBorders>
          </w:tcPr>
          <w:p w14:paraId="36DEF3EC" w14:textId="77777777" w:rsidR="00905ADD" w:rsidRPr="005448F6" w:rsidRDefault="00905ADD" w:rsidP="00B85EF5">
            <w:pPr>
              <w:pStyle w:val="TableParagraph"/>
              <w:spacing w:before="220"/>
              <w:ind w:left="5" w:right="5"/>
              <w:jc w:val="both"/>
            </w:pPr>
            <w:r>
              <w:t xml:space="preserve">  </w:t>
            </w:r>
            <w:r w:rsidRPr="005448F6">
              <w:t>5.62</w:t>
            </w:r>
          </w:p>
        </w:tc>
        <w:tc>
          <w:tcPr>
            <w:tcW w:w="709" w:type="dxa"/>
            <w:tcBorders>
              <w:top w:val="single" w:sz="4" w:space="0" w:color="auto"/>
              <w:bottom w:val="single" w:sz="4" w:space="0" w:color="auto"/>
              <w:right w:val="single" w:sz="4" w:space="0" w:color="auto"/>
            </w:tcBorders>
            <w:shd w:val="clear" w:color="auto" w:fill="auto"/>
          </w:tcPr>
          <w:p w14:paraId="22407955" w14:textId="77777777" w:rsidR="00905ADD" w:rsidRDefault="00905ADD" w:rsidP="00B85EF5">
            <w:pPr>
              <w:widowControl/>
              <w:autoSpaceDE/>
              <w:autoSpaceDN/>
              <w:spacing w:after="200"/>
              <w:jc w:val="both"/>
            </w:pPr>
            <w:r>
              <w:t xml:space="preserve"> 5.93</w:t>
            </w:r>
          </w:p>
        </w:tc>
        <w:tc>
          <w:tcPr>
            <w:tcW w:w="567" w:type="dxa"/>
            <w:tcBorders>
              <w:top w:val="single" w:sz="4" w:space="0" w:color="auto"/>
              <w:bottom w:val="single" w:sz="4" w:space="0" w:color="auto"/>
              <w:right w:val="single" w:sz="4" w:space="0" w:color="auto"/>
            </w:tcBorders>
            <w:shd w:val="clear" w:color="auto" w:fill="auto"/>
          </w:tcPr>
          <w:p w14:paraId="1E7B6821" w14:textId="77777777" w:rsidR="00905ADD" w:rsidRDefault="00905ADD" w:rsidP="00B85EF5">
            <w:pPr>
              <w:widowControl/>
              <w:autoSpaceDE/>
              <w:autoSpaceDN/>
              <w:spacing w:after="200"/>
              <w:jc w:val="both"/>
            </w:pPr>
            <w:r>
              <w:t xml:space="preserve"> 5.32</w:t>
            </w:r>
          </w:p>
        </w:tc>
        <w:tc>
          <w:tcPr>
            <w:tcW w:w="615" w:type="dxa"/>
            <w:tcBorders>
              <w:top w:val="single" w:sz="4" w:space="0" w:color="auto"/>
              <w:bottom w:val="single" w:sz="4" w:space="0" w:color="auto"/>
              <w:right w:val="single" w:sz="4" w:space="0" w:color="auto"/>
            </w:tcBorders>
            <w:shd w:val="clear" w:color="auto" w:fill="auto"/>
          </w:tcPr>
          <w:p w14:paraId="7F5680F1" w14:textId="77777777" w:rsidR="00905ADD" w:rsidRDefault="00905ADD" w:rsidP="00B85EF5">
            <w:pPr>
              <w:widowControl/>
              <w:autoSpaceDE/>
              <w:autoSpaceDN/>
              <w:spacing w:after="200"/>
              <w:jc w:val="both"/>
            </w:pPr>
            <w:r>
              <w:t xml:space="preserve"> 5.46</w:t>
            </w:r>
          </w:p>
        </w:tc>
        <w:tc>
          <w:tcPr>
            <w:tcW w:w="797" w:type="dxa"/>
            <w:tcBorders>
              <w:top w:val="single" w:sz="4" w:space="0" w:color="auto"/>
              <w:bottom w:val="single" w:sz="4" w:space="0" w:color="auto"/>
              <w:right w:val="single" w:sz="4" w:space="0" w:color="auto"/>
            </w:tcBorders>
            <w:shd w:val="clear" w:color="auto" w:fill="auto"/>
          </w:tcPr>
          <w:p w14:paraId="349D9E47" w14:textId="77777777" w:rsidR="00905ADD" w:rsidRDefault="00905ADD" w:rsidP="00B85EF5">
            <w:pPr>
              <w:widowControl/>
              <w:autoSpaceDE/>
              <w:autoSpaceDN/>
              <w:spacing w:after="200"/>
              <w:jc w:val="both"/>
            </w:pPr>
            <w:r>
              <w:t xml:space="preserve"> 5.57</w:t>
            </w:r>
          </w:p>
        </w:tc>
        <w:tc>
          <w:tcPr>
            <w:tcW w:w="714" w:type="dxa"/>
            <w:tcBorders>
              <w:top w:val="single" w:sz="4" w:space="0" w:color="auto"/>
              <w:bottom w:val="single" w:sz="4" w:space="0" w:color="auto"/>
              <w:right w:val="single" w:sz="4" w:space="0" w:color="auto"/>
            </w:tcBorders>
            <w:shd w:val="clear" w:color="auto" w:fill="auto"/>
          </w:tcPr>
          <w:p w14:paraId="1DCDE608" w14:textId="77777777" w:rsidR="00905ADD" w:rsidRPr="007B106D" w:rsidRDefault="00905ADD" w:rsidP="00B85EF5">
            <w:pPr>
              <w:pStyle w:val="TableParagraph"/>
              <w:spacing w:before="130"/>
              <w:jc w:val="both"/>
              <w:rPr>
                <w:b/>
                <w:sz w:val="24"/>
                <w:szCs w:val="24"/>
              </w:rPr>
            </w:pPr>
          </w:p>
          <w:p w14:paraId="7EFE8B62" w14:textId="77777777" w:rsidR="00905ADD" w:rsidRPr="007B106D" w:rsidRDefault="00905ADD" w:rsidP="00B85EF5">
            <w:pPr>
              <w:pStyle w:val="TableParagraph"/>
              <w:spacing w:before="1"/>
              <w:ind w:left="2" w:right="14"/>
              <w:jc w:val="both"/>
              <w:rPr>
                <w:sz w:val="24"/>
                <w:szCs w:val="24"/>
              </w:rPr>
            </w:pPr>
            <w:r>
              <w:rPr>
                <w:spacing w:val="-2"/>
                <w:sz w:val="24"/>
                <w:szCs w:val="24"/>
              </w:rPr>
              <w:t xml:space="preserve">  </w:t>
            </w:r>
            <w:r w:rsidRPr="007B106D">
              <w:rPr>
                <w:spacing w:val="-2"/>
                <w:sz w:val="24"/>
                <w:szCs w:val="24"/>
              </w:rPr>
              <w:t>120</w:t>
            </w:r>
          </w:p>
        </w:tc>
        <w:tc>
          <w:tcPr>
            <w:tcW w:w="850" w:type="dxa"/>
            <w:tcBorders>
              <w:top w:val="single" w:sz="4" w:space="0" w:color="auto"/>
              <w:bottom w:val="single" w:sz="4" w:space="0" w:color="auto"/>
              <w:right w:val="single" w:sz="4" w:space="0" w:color="auto"/>
            </w:tcBorders>
            <w:shd w:val="clear" w:color="auto" w:fill="auto"/>
          </w:tcPr>
          <w:p w14:paraId="06361D93" w14:textId="77777777" w:rsidR="00905ADD" w:rsidRPr="007B106D" w:rsidRDefault="00905ADD" w:rsidP="00B85EF5">
            <w:pPr>
              <w:pStyle w:val="TableParagraph"/>
              <w:spacing w:before="130"/>
              <w:jc w:val="both"/>
              <w:rPr>
                <w:b/>
                <w:sz w:val="24"/>
                <w:szCs w:val="24"/>
              </w:rPr>
            </w:pPr>
          </w:p>
          <w:p w14:paraId="65194453"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1:4.89</w:t>
            </w:r>
          </w:p>
        </w:tc>
      </w:tr>
      <w:tr w:rsidR="00905ADD" w14:paraId="7AF6BEFA" w14:textId="77777777" w:rsidTr="00B85EF5">
        <w:trPr>
          <w:gridAfter w:val="1"/>
          <w:wAfter w:w="8" w:type="dxa"/>
          <w:trHeight w:val="688"/>
        </w:trPr>
        <w:tc>
          <w:tcPr>
            <w:tcW w:w="400" w:type="dxa"/>
          </w:tcPr>
          <w:p w14:paraId="7D4D70E0" w14:textId="77777777" w:rsidR="00905ADD" w:rsidRPr="005448F6" w:rsidRDefault="00905ADD" w:rsidP="00B85EF5">
            <w:pPr>
              <w:pStyle w:val="TableParagraph"/>
              <w:spacing w:before="75"/>
              <w:jc w:val="both"/>
              <w:rPr>
                <w:b/>
              </w:rPr>
            </w:pPr>
          </w:p>
          <w:p w14:paraId="1EF03837"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5</w:t>
            </w:r>
          </w:p>
        </w:tc>
        <w:tc>
          <w:tcPr>
            <w:tcW w:w="1864" w:type="dxa"/>
          </w:tcPr>
          <w:p w14:paraId="00A94CC2" w14:textId="77777777" w:rsidR="00905ADD" w:rsidRPr="005448F6" w:rsidRDefault="00905ADD" w:rsidP="00B85EF5">
            <w:pPr>
              <w:pStyle w:val="TableParagraph"/>
              <w:spacing w:before="83"/>
              <w:ind w:right="454"/>
              <w:jc w:val="both"/>
            </w:pPr>
            <w:r>
              <w:t xml:space="preserve">  </w:t>
            </w:r>
            <w:r w:rsidRPr="005448F6">
              <w:t>Beauveria bassiana</w:t>
            </w:r>
          </w:p>
        </w:tc>
        <w:tc>
          <w:tcPr>
            <w:tcW w:w="576" w:type="dxa"/>
          </w:tcPr>
          <w:p w14:paraId="79F2597B" w14:textId="77777777" w:rsidR="00905ADD" w:rsidRPr="005448F6" w:rsidRDefault="00905ADD" w:rsidP="00B85EF5">
            <w:pPr>
              <w:pStyle w:val="TableParagraph"/>
              <w:spacing w:before="217"/>
              <w:ind w:right="3"/>
              <w:jc w:val="both"/>
            </w:pPr>
            <w:r>
              <w:t xml:space="preserve">  </w:t>
            </w:r>
            <w:r w:rsidRPr="005448F6">
              <w:t>6.52</w:t>
            </w:r>
          </w:p>
        </w:tc>
        <w:tc>
          <w:tcPr>
            <w:tcW w:w="567" w:type="dxa"/>
          </w:tcPr>
          <w:p w14:paraId="615FCDED" w14:textId="77777777" w:rsidR="00905ADD" w:rsidRPr="005448F6" w:rsidRDefault="00905ADD" w:rsidP="00B85EF5">
            <w:pPr>
              <w:pStyle w:val="TableParagraph"/>
              <w:spacing w:before="217"/>
              <w:ind w:right="4"/>
              <w:jc w:val="both"/>
            </w:pPr>
            <w:r>
              <w:t xml:space="preserve"> </w:t>
            </w:r>
            <w:r w:rsidRPr="005448F6">
              <w:t>5.46</w:t>
            </w:r>
          </w:p>
        </w:tc>
        <w:tc>
          <w:tcPr>
            <w:tcW w:w="709" w:type="dxa"/>
          </w:tcPr>
          <w:p w14:paraId="336BE76C" w14:textId="77777777" w:rsidR="00905ADD" w:rsidRPr="005448F6" w:rsidRDefault="00905ADD" w:rsidP="00B85EF5">
            <w:pPr>
              <w:pStyle w:val="TableParagraph"/>
              <w:spacing w:before="217"/>
              <w:ind w:right="11"/>
              <w:jc w:val="both"/>
            </w:pPr>
            <w:r>
              <w:t xml:space="preserve"> </w:t>
            </w:r>
            <w:r w:rsidRPr="005448F6">
              <w:t>4.72</w:t>
            </w:r>
          </w:p>
        </w:tc>
        <w:tc>
          <w:tcPr>
            <w:tcW w:w="567" w:type="dxa"/>
          </w:tcPr>
          <w:p w14:paraId="4D99EA68" w14:textId="77777777" w:rsidR="00905ADD" w:rsidRPr="005448F6" w:rsidRDefault="00905ADD" w:rsidP="00B85EF5">
            <w:pPr>
              <w:pStyle w:val="TableParagraph"/>
              <w:spacing w:before="217"/>
              <w:ind w:right="6"/>
              <w:jc w:val="both"/>
            </w:pPr>
            <w:r>
              <w:t xml:space="preserve"> </w:t>
            </w:r>
            <w:r w:rsidRPr="005448F6">
              <w:t>5.24</w:t>
            </w:r>
          </w:p>
        </w:tc>
        <w:tc>
          <w:tcPr>
            <w:tcW w:w="709" w:type="dxa"/>
            <w:tcBorders>
              <w:top w:val="single" w:sz="4" w:space="0" w:color="auto"/>
              <w:bottom w:val="single" w:sz="4" w:space="0" w:color="auto"/>
              <w:right w:val="single" w:sz="6" w:space="0" w:color="000000"/>
            </w:tcBorders>
          </w:tcPr>
          <w:p w14:paraId="24C27F42" w14:textId="77777777" w:rsidR="00905ADD" w:rsidRPr="005448F6" w:rsidRDefault="00905ADD" w:rsidP="00B85EF5">
            <w:pPr>
              <w:pStyle w:val="TableParagraph"/>
              <w:spacing w:before="217"/>
              <w:ind w:left="5" w:right="5"/>
              <w:jc w:val="both"/>
            </w:pPr>
            <w:r>
              <w:t xml:space="preserve">  </w:t>
            </w:r>
            <w:r w:rsidRPr="005448F6">
              <w:t>5.14</w:t>
            </w:r>
          </w:p>
        </w:tc>
        <w:tc>
          <w:tcPr>
            <w:tcW w:w="709" w:type="dxa"/>
            <w:tcBorders>
              <w:top w:val="single" w:sz="4" w:space="0" w:color="auto"/>
              <w:bottom w:val="single" w:sz="4" w:space="0" w:color="auto"/>
              <w:right w:val="single" w:sz="4" w:space="0" w:color="auto"/>
            </w:tcBorders>
            <w:shd w:val="clear" w:color="auto" w:fill="auto"/>
          </w:tcPr>
          <w:p w14:paraId="5498DAE5" w14:textId="77777777" w:rsidR="00905ADD" w:rsidRDefault="00905ADD" w:rsidP="00B85EF5">
            <w:pPr>
              <w:widowControl/>
              <w:autoSpaceDE/>
              <w:autoSpaceDN/>
              <w:spacing w:after="200"/>
              <w:jc w:val="both"/>
            </w:pPr>
            <w:r>
              <w:t xml:space="preserve"> 5.42</w:t>
            </w:r>
          </w:p>
        </w:tc>
        <w:tc>
          <w:tcPr>
            <w:tcW w:w="567" w:type="dxa"/>
            <w:tcBorders>
              <w:top w:val="single" w:sz="4" w:space="0" w:color="auto"/>
              <w:bottom w:val="single" w:sz="4" w:space="0" w:color="auto"/>
              <w:right w:val="single" w:sz="4" w:space="0" w:color="auto"/>
            </w:tcBorders>
            <w:shd w:val="clear" w:color="auto" w:fill="auto"/>
          </w:tcPr>
          <w:p w14:paraId="07126DD1" w14:textId="77777777" w:rsidR="00905ADD" w:rsidRDefault="00905ADD" w:rsidP="00B85EF5">
            <w:pPr>
              <w:widowControl/>
              <w:autoSpaceDE/>
              <w:autoSpaceDN/>
              <w:spacing w:after="200"/>
              <w:jc w:val="both"/>
            </w:pPr>
            <w:r>
              <w:t xml:space="preserve"> 5.16</w:t>
            </w:r>
          </w:p>
        </w:tc>
        <w:tc>
          <w:tcPr>
            <w:tcW w:w="615" w:type="dxa"/>
            <w:tcBorders>
              <w:top w:val="single" w:sz="4" w:space="0" w:color="auto"/>
              <w:bottom w:val="single" w:sz="4" w:space="0" w:color="auto"/>
              <w:right w:val="single" w:sz="4" w:space="0" w:color="auto"/>
            </w:tcBorders>
            <w:shd w:val="clear" w:color="auto" w:fill="auto"/>
          </w:tcPr>
          <w:p w14:paraId="690BB09B" w14:textId="77777777" w:rsidR="00905ADD" w:rsidRDefault="00905ADD" w:rsidP="00B85EF5">
            <w:pPr>
              <w:widowControl/>
              <w:autoSpaceDE/>
              <w:autoSpaceDN/>
              <w:spacing w:after="200"/>
              <w:jc w:val="both"/>
            </w:pPr>
            <w:r>
              <w:t xml:space="preserve"> 5.36</w:t>
            </w:r>
          </w:p>
        </w:tc>
        <w:tc>
          <w:tcPr>
            <w:tcW w:w="797" w:type="dxa"/>
            <w:tcBorders>
              <w:top w:val="single" w:sz="4" w:space="0" w:color="auto"/>
              <w:bottom w:val="single" w:sz="4" w:space="0" w:color="auto"/>
              <w:right w:val="single" w:sz="4" w:space="0" w:color="auto"/>
            </w:tcBorders>
            <w:shd w:val="clear" w:color="auto" w:fill="auto"/>
          </w:tcPr>
          <w:p w14:paraId="008327AB" w14:textId="77777777" w:rsidR="00905ADD" w:rsidRDefault="00905ADD" w:rsidP="00B85EF5">
            <w:pPr>
              <w:widowControl/>
              <w:autoSpaceDE/>
              <w:autoSpaceDN/>
              <w:spacing w:after="200"/>
              <w:jc w:val="both"/>
            </w:pPr>
            <w:r>
              <w:t xml:space="preserve"> 5.31</w:t>
            </w:r>
          </w:p>
        </w:tc>
        <w:tc>
          <w:tcPr>
            <w:tcW w:w="714" w:type="dxa"/>
            <w:tcBorders>
              <w:top w:val="single" w:sz="4" w:space="0" w:color="auto"/>
              <w:bottom w:val="single" w:sz="4" w:space="0" w:color="auto"/>
              <w:right w:val="single" w:sz="4" w:space="0" w:color="auto"/>
            </w:tcBorders>
            <w:shd w:val="clear" w:color="auto" w:fill="auto"/>
          </w:tcPr>
          <w:p w14:paraId="42957A2D" w14:textId="77777777" w:rsidR="00905ADD" w:rsidRPr="007B106D" w:rsidRDefault="00905ADD" w:rsidP="00B85EF5">
            <w:pPr>
              <w:pStyle w:val="TableParagraph"/>
              <w:spacing w:before="128"/>
              <w:jc w:val="both"/>
              <w:rPr>
                <w:b/>
                <w:sz w:val="24"/>
                <w:szCs w:val="24"/>
              </w:rPr>
            </w:pPr>
          </w:p>
          <w:p w14:paraId="7B7CECE2" w14:textId="77777777" w:rsidR="00905ADD" w:rsidRPr="007B106D" w:rsidRDefault="00905ADD" w:rsidP="00B85EF5">
            <w:pPr>
              <w:pStyle w:val="TableParagraph"/>
              <w:ind w:left="2" w:right="14"/>
              <w:jc w:val="both"/>
              <w:rPr>
                <w:sz w:val="24"/>
                <w:szCs w:val="24"/>
              </w:rPr>
            </w:pPr>
            <w:r>
              <w:rPr>
                <w:spacing w:val="-2"/>
                <w:sz w:val="24"/>
                <w:szCs w:val="24"/>
              </w:rPr>
              <w:t xml:space="preserve">  </w:t>
            </w:r>
            <w:r w:rsidRPr="007B106D">
              <w:rPr>
                <w:spacing w:val="-2"/>
                <w:sz w:val="24"/>
                <w:szCs w:val="24"/>
              </w:rPr>
              <w:t>140</w:t>
            </w:r>
          </w:p>
        </w:tc>
        <w:tc>
          <w:tcPr>
            <w:tcW w:w="850" w:type="dxa"/>
            <w:tcBorders>
              <w:top w:val="single" w:sz="4" w:space="0" w:color="auto"/>
              <w:bottom w:val="single" w:sz="4" w:space="0" w:color="auto"/>
              <w:right w:val="single" w:sz="4" w:space="0" w:color="auto"/>
            </w:tcBorders>
            <w:shd w:val="clear" w:color="auto" w:fill="auto"/>
          </w:tcPr>
          <w:p w14:paraId="02988BEC" w14:textId="77777777" w:rsidR="00905ADD" w:rsidRPr="007B106D" w:rsidRDefault="00905ADD" w:rsidP="00B85EF5">
            <w:pPr>
              <w:pStyle w:val="TableParagraph"/>
              <w:spacing w:before="128"/>
              <w:jc w:val="both"/>
              <w:rPr>
                <w:b/>
                <w:sz w:val="24"/>
                <w:szCs w:val="24"/>
              </w:rPr>
            </w:pPr>
          </w:p>
          <w:p w14:paraId="313C8CEA" w14:textId="77777777" w:rsidR="00905ADD" w:rsidRPr="007B106D" w:rsidRDefault="00905ADD" w:rsidP="00B85EF5">
            <w:pPr>
              <w:pStyle w:val="TableParagraph"/>
              <w:ind w:right="1"/>
              <w:jc w:val="both"/>
              <w:rPr>
                <w:sz w:val="24"/>
                <w:szCs w:val="24"/>
              </w:rPr>
            </w:pPr>
            <w:r>
              <w:rPr>
                <w:spacing w:val="-2"/>
                <w:sz w:val="24"/>
                <w:szCs w:val="24"/>
              </w:rPr>
              <w:t xml:space="preserve"> </w:t>
            </w:r>
            <w:r w:rsidRPr="007B106D">
              <w:rPr>
                <w:spacing w:val="-2"/>
                <w:sz w:val="24"/>
                <w:szCs w:val="24"/>
              </w:rPr>
              <w:t>1:5.81</w:t>
            </w:r>
          </w:p>
        </w:tc>
      </w:tr>
      <w:tr w:rsidR="00905ADD" w14:paraId="13C66F8E" w14:textId="77777777" w:rsidTr="00B85EF5">
        <w:trPr>
          <w:gridAfter w:val="1"/>
          <w:wAfter w:w="8" w:type="dxa"/>
          <w:trHeight w:val="688"/>
        </w:trPr>
        <w:tc>
          <w:tcPr>
            <w:tcW w:w="400" w:type="dxa"/>
          </w:tcPr>
          <w:p w14:paraId="67098916" w14:textId="77777777" w:rsidR="00905ADD" w:rsidRPr="005448F6" w:rsidRDefault="00905ADD" w:rsidP="00B85EF5">
            <w:pPr>
              <w:pStyle w:val="TableParagraph"/>
              <w:spacing w:before="75"/>
              <w:jc w:val="both"/>
              <w:rPr>
                <w:b/>
              </w:rPr>
            </w:pPr>
          </w:p>
          <w:p w14:paraId="73DCEC07"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6</w:t>
            </w:r>
          </w:p>
        </w:tc>
        <w:tc>
          <w:tcPr>
            <w:tcW w:w="1864" w:type="dxa"/>
          </w:tcPr>
          <w:p w14:paraId="7D57BCFA" w14:textId="77777777" w:rsidR="00905ADD" w:rsidRPr="005448F6" w:rsidRDefault="00905ADD" w:rsidP="00B85EF5">
            <w:pPr>
              <w:pStyle w:val="TableParagraph"/>
              <w:spacing w:before="83"/>
              <w:ind w:right="454"/>
              <w:jc w:val="both"/>
            </w:pPr>
            <w:r>
              <w:t xml:space="preserve">  </w:t>
            </w:r>
            <w:proofErr w:type="spellStart"/>
            <w:r w:rsidRPr="005448F6">
              <w:t>Emamectin</w:t>
            </w:r>
            <w:proofErr w:type="spellEnd"/>
            <w:r w:rsidRPr="005448F6">
              <w:t xml:space="preserve"> benzoate </w:t>
            </w:r>
            <w:r>
              <w:t xml:space="preserve">  </w:t>
            </w:r>
            <w:r w:rsidRPr="005448F6">
              <w:t>5SG</w:t>
            </w:r>
          </w:p>
        </w:tc>
        <w:tc>
          <w:tcPr>
            <w:tcW w:w="576" w:type="dxa"/>
          </w:tcPr>
          <w:p w14:paraId="29F9CD84" w14:textId="77777777" w:rsidR="00905ADD" w:rsidRPr="005448F6" w:rsidRDefault="00905ADD" w:rsidP="00B85EF5">
            <w:pPr>
              <w:pStyle w:val="TableParagraph"/>
              <w:spacing w:before="219"/>
              <w:ind w:right="3"/>
              <w:jc w:val="both"/>
            </w:pPr>
            <w:r>
              <w:t xml:space="preserve">  </w:t>
            </w:r>
            <w:r w:rsidRPr="005448F6">
              <w:t>6.44</w:t>
            </w:r>
          </w:p>
        </w:tc>
        <w:tc>
          <w:tcPr>
            <w:tcW w:w="567" w:type="dxa"/>
          </w:tcPr>
          <w:p w14:paraId="6F4DFCD1" w14:textId="77777777" w:rsidR="00905ADD" w:rsidRPr="005448F6" w:rsidRDefault="00905ADD" w:rsidP="00B85EF5">
            <w:pPr>
              <w:pStyle w:val="TableParagraph"/>
              <w:spacing w:before="219"/>
              <w:ind w:right="4"/>
              <w:jc w:val="both"/>
            </w:pPr>
            <w:r>
              <w:t xml:space="preserve"> </w:t>
            </w:r>
            <w:r w:rsidRPr="005448F6">
              <w:t>4.57</w:t>
            </w:r>
          </w:p>
        </w:tc>
        <w:tc>
          <w:tcPr>
            <w:tcW w:w="709" w:type="dxa"/>
          </w:tcPr>
          <w:p w14:paraId="1DE8E327" w14:textId="77777777" w:rsidR="00905ADD" w:rsidRPr="005448F6" w:rsidRDefault="00905ADD" w:rsidP="00B85EF5">
            <w:pPr>
              <w:pStyle w:val="TableParagraph"/>
              <w:spacing w:before="219"/>
              <w:ind w:right="11"/>
              <w:jc w:val="both"/>
            </w:pPr>
            <w:r>
              <w:t xml:space="preserve"> </w:t>
            </w:r>
            <w:r w:rsidRPr="005448F6">
              <w:t>3.43</w:t>
            </w:r>
          </w:p>
        </w:tc>
        <w:tc>
          <w:tcPr>
            <w:tcW w:w="567" w:type="dxa"/>
          </w:tcPr>
          <w:p w14:paraId="0A5F0126" w14:textId="77777777" w:rsidR="00905ADD" w:rsidRPr="005448F6" w:rsidRDefault="00905ADD" w:rsidP="00B85EF5">
            <w:pPr>
              <w:pStyle w:val="TableParagraph"/>
              <w:spacing w:before="219"/>
              <w:ind w:right="6"/>
              <w:jc w:val="both"/>
            </w:pPr>
            <w:r>
              <w:t xml:space="preserve"> </w:t>
            </w:r>
            <w:r w:rsidRPr="005448F6">
              <w:t>3.95</w:t>
            </w:r>
          </w:p>
        </w:tc>
        <w:tc>
          <w:tcPr>
            <w:tcW w:w="709" w:type="dxa"/>
            <w:tcBorders>
              <w:right w:val="single" w:sz="6" w:space="0" w:color="000000"/>
            </w:tcBorders>
          </w:tcPr>
          <w:p w14:paraId="79BBC832" w14:textId="77777777" w:rsidR="00905ADD" w:rsidRPr="005448F6" w:rsidRDefault="00905ADD" w:rsidP="00B85EF5">
            <w:pPr>
              <w:pStyle w:val="TableParagraph"/>
              <w:spacing w:before="219"/>
              <w:ind w:left="5" w:right="5"/>
              <w:jc w:val="both"/>
            </w:pPr>
            <w:r>
              <w:t xml:space="preserve">  </w:t>
            </w:r>
            <w:r w:rsidRPr="005448F6">
              <w:t>3.95</w:t>
            </w:r>
          </w:p>
        </w:tc>
        <w:tc>
          <w:tcPr>
            <w:tcW w:w="709" w:type="dxa"/>
            <w:tcBorders>
              <w:top w:val="single" w:sz="4" w:space="0" w:color="auto"/>
              <w:bottom w:val="single" w:sz="4" w:space="0" w:color="auto"/>
              <w:right w:val="single" w:sz="4" w:space="0" w:color="auto"/>
            </w:tcBorders>
            <w:shd w:val="clear" w:color="auto" w:fill="auto"/>
          </w:tcPr>
          <w:p w14:paraId="33FC2B9D" w14:textId="77777777" w:rsidR="00905ADD" w:rsidRDefault="00905ADD" w:rsidP="00B85EF5">
            <w:pPr>
              <w:widowControl/>
              <w:autoSpaceDE/>
              <w:autoSpaceDN/>
              <w:spacing w:after="200"/>
              <w:jc w:val="both"/>
            </w:pPr>
            <w:r>
              <w:t xml:space="preserve"> 4.52</w:t>
            </w:r>
          </w:p>
        </w:tc>
        <w:tc>
          <w:tcPr>
            <w:tcW w:w="567" w:type="dxa"/>
            <w:tcBorders>
              <w:top w:val="single" w:sz="4" w:space="0" w:color="auto"/>
              <w:bottom w:val="single" w:sz="4" w:space="0" w:color="auto"/>
              <w:right w:val="single" w:sz="4" w:space="0" w:color="auto"/>
            </w:tcBorders>
            <w:shd w:val="clear" w:color="auto" w:fill="auto"/>
          </w:tcPr>
          <w:p w14:paraId="6C21ECD7" w14:textId="77777777" w:rsidR="00905ADD" w:rsidRDefault="00905ADD" w:rsidP="00B85EF5">
            <w:pPr>
              <w:widowControl/>
              <w:autoSpaceDE/>
              <w:autoSpaceDN/>
              <w:spacing w:after="200"/>
              <w:jc w:val="both"/>
            </w:pPr>
            <w:r>
              <w:t xml:space="preserve"> 4.16</w:t>
            </w:r>
          </w:p>
        </w:tc>
        <w:tc>
          <w:tcPr>
            <w:tcW w:w="615" w:type="dxa"/>
            <w:tcBorders>
              <w:top w:val="single" w:sz="4" w:space="0" w:color="auto"/>
              <w:bottom w:val="single" w:sz="4" w:space="0" w:color="auto"/>
              <w:right w:val="single" w:sz="4" w:space="0" w:color="auto"/>
            </w:tcBorders>
            <w:shd w:val="clear" w:color="auto" w:fill="auto"/>
          </w:tcPr>
          <w:p w14:paraId="6C87E6E5" w14:textId="77777777" w:rsidR="00905ADD" w:rsidRDefault="00905ADD" w:rsidP="00B85EF5">
            <w:pPr>
              <w:widowControl/>
              <w:autoSpaceDE/>
              <w:autoSpaceDN/>
              <w:spacing w:after="200"/>
              <w:jc w:val="both"/>
            </w:pPr>
            <w:r>
              <w:t xml:space="preserve"> 4.37</w:t>
            </w:r>
          </w:p>
        </w:tc>
        <w:tc>
          <w:tcPr>
            <w:tcW w:w="797" w:type="dxa"/>
            <w:tcBorders>
              <w:top w:val="single" w:sz="4" w:space="0" w:color="auto"/>
              <w:bottom w:val="single" w:sz="4" w:space="0" w:color="auto"/>
              <w:right w:val="single" w:sz="4" w:space="0" w:color="auto"/>
            </w:tcBorders>
            <w:shd w:val="clear" w:color="auto" w:fill="auto"/>
          </w:tcPr>
          <w:p w14:paraId="34B1C385" w14:textId="77777777" w:rsidR="00905ADD" w:rsidRDefault="00905ADD" w:rsidP="00B85EF5">
            <w:pPr>
              <w:widowControl/>
              <w:autoSpaceDE/>
              <w:autoSpaceDN/>
              <w:spacing w:after="200"/>
              <w:jc w:val="both"/>
            </w:pPr>
            <w:r>
              <w:t xml:space="preserve"> 4.35</w:t>
            </w:r>
          </w:p>
        </w:tc>
        <w:tc>
          <w:tcPr>
            <w:tcW w:w="714" w:type="dxa"/>
            <w:tcBorders>
              <w:top w:val="single" w:sz="4" w:space="0" w:color="auto"/>
              <w:bottom w:val="single" w:sz="4" w:space="0" w:color="auto"/>
              <w:right w:val="single" w:sz="4" w:space="0" w:color="auto"/>
            </w:tcBorders>
            <w:shd w:val="clear" w:color="auto" w:fill="auto"/>
          </w:tcPr>
          <w:p w14:paraId="22A6A78D" w14:textId="77777777" w:rsidR="00905ADD" w:rsidRPr="007B106D" w:rsidRDefault="00905ADD" w:rsidP="00B85EF5">
            <w:pPr>
              <w:pStyle w:val="TableParagraph"/>
              <w:spacing w:before="166"/>
              <w:jc w:val="both"/>
              <w:rPr>
                <w:b/>
                <w:sz w:val="24"/>
                <w:szCs w:val="24"/>
              </w:rPr>
            </w:pPr>
          </w:p>
          <w:p w14:paraId="6E7684B7" w14:textId="77777777" w:rsidR="00905ADD" w:rsidRPr="007B106D" w:rsidRDefault="00905ADD" w:rsidP="00B85EF5">
            <w:pPr>
              <w:pStyle w:val="TableParagraph"/>
              <w:spacing w:before="1"/>
              <w:ind w:left="5" w:right="14"/>
              <w:jc w:val="both"/>
              <w:rPr>
                <w:sz w:val="24"/>
                <w:szCs w:val="24"/>
              </w:rPr>
            </w:pPr>
            <w:r>
              <w:rPr>
                <w:spacing w:val="-5"/>
                <w:sz w:val="24"/>
                <w:szCs w:val="24"/>
              </w:rPr>
              <w:t xml:space="preserve">  </w:t>
            </w:r>
            <w:r w:rsidRPr="007B106D">
              <w:rPr>
                <w:spacing w:val="-5"/>
                <w:sz w:val="24"/>
                <w:szCs w:val="24"/>
              </w:rPr>
              <w:t>205</w:t>
            </w:r>
          </w:p>
        </w:tc>
        <w:tc>
          <w:tcPr>
            <w:tcW w:w="850" w:type="dxa"/>
            <w:tcBorders>
              <w:top w:val="single" w:sz="4" w:space="0" w:color="auto"/>
              <w:bottom w:val="single" w:sz="4" w:space="0" w:color="auto"/>
              <w:right w:val="single" w:sz="4" w:space="0" w:color="auto"/>
            </w:tcBorders>
            <w:shd w:val="clear" w:color="auto" w:fill="auto"/>
          </w:tcPr>
          <w:p w14:paraId="53CE5F09" w14:textId="77777777" w:rsidR="00905ADD" w:rsidRPr="007B106D" w:rsidRDefault="00905ADD" w:rsidP="00B85EF5">
            <w:pPr>
              <w:pStyle w:val="TableParagraph"/>
              <w:spacing w:before="166"/>
              <w:jc w:val="both"/>
              <w:rPr>
                <w:b/>
                <w:sz w:val="24"/>
                <w:szCs w:val="24"/>
              </w:rPr>
            </w:pPr>
          </w:p>
          <w:p w14:paraId="2F20AE2B"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1:7.85</w:t>
            </w:r>
          </w:p>
        </w:tc>
      </w:tr>
      <w:tr w:rsidR="00905ADD" w14:paraId="6BC80A99" w14:textId="77777777" w:rsidTr="00B85EF5">
        <w:trPr>
          <w:gridAfter w:val="1"/>
          <w:wAfter w:w="8" w:type="dxa"/>
          <w:trHeight w:val="688"/>
        </w:trPr>
        <w:tc>
          <w:tcPr>
            <w:tcW w:w="400" w:type="dxa"/>
          </w:tcPr>
          <w:p w14:paraId="3EB25C73" w14:textId="77777777" w:rsidR="00905ADD" w:rsidRPr="005448F6" w:rsidRDefault="00905ADD" w:rsidP="00B85EF5">
            <w:pPr>
              <w:pStyle w:val="TableParagraph"/>
              <w:spacing w:before="75"/>
              <w:jc w:val="both"/>
              <w:rPr>
                <w:b/>
              </w:rPr>
            </w:pPr>
          </w:p>
          <w:p w14:paraId="5B9174A7" w14:textId="77777777" w:rsidR="00905ADD" w:rsidRPr="005448F6" w:rsidRDefault="00905ADD" w:rsidP="00B85EF5">
            <w:pPr>
              <w:pStyle w:val="TableParagraph"/>
              <w:ind w:right="4"/>
              <w:jc w:val="both"/>
              <w:rPr>
                <w:b/>
              </w:rPr>
            </w:pPr>
            <w:r w:rsidRPr="005448F6">
              <w:rPr>
                <w:b/>
                <w:spacing w:val="-5"/>
                <w:position w:val="1"/>
              </w:rPr>
              <w:t>T</w:t>
            </w:r>
            <w:r w:rsidRPr="005448F6">
              <w:rPr>
                <w:b/>
                <w:spacing w:val="-5"/>
              </w:rPr>
              <w:t>7</w:t>
            </w:r>
          </w:p>
        </w:tc>
        <w:tc>
          <w:tcPr>
            <w:tcW w:w="1864" w:type="dxa"/>
          </w:tcPr>
          <w:p w14:paraId="76351271" w14:textId="77777777" w:rsidR="00905ADD" w:rsidRPr="005448F6" w:rsidRDefault="00905ADD" w:rsidP="00B85EF5">
            <w:pPr>
              <w:pStyle w:val="TableParagraph"/>
              <w:spacing w:before="219"/>
              <w:ind w:left="1" w:right="7"/>
              <w:jc w:val="both"/>
            </w:pPr>
            <w:r>
              <w:rPr>
                <w:spacing w:val="-2"/>
              </w:rPr>
              <w:t xml:space="preserve">  </w:t>
            </w:r>
            <w:proofErr w:type="spellStart"/>
            <w:r w:rsidRPr="005448F6">
              <w:rPr>
                <w:spacing w:val="-2"/>
              </w:rPr>
              <w:t>Chlorantraniprole</w:t>
            </w:r>
            <w:proofErr w:type="spellEnd"/>
          </w:p>
        </w:tc>
        <w:tc>
          <w:tcPr>
            <w:tcW w:w="576" w:type="dxa"/>
          </w:tcPr>
          <w:p w14:paraId="6D1168D7" w14:textId="77777777" w:rsidR="00905ADD" w:rsidRPr="005448F6" w:rsidRDefault="00905ADD" w:rsidP="00B85EF5">
            <w:pPr>
              <w:pStyle w:val="TableParagraph"/>
              <w:spacing w:before="219"/>
              <w:ind w:right="3"/>
              <w:jc w:val="both"/>
            </w:pPr>
            <w:r>
              <w:t xml:space="preserve">  </w:t>
            </w:r>
            <w:r w:rsidRPr="005448F6">
              <w:t>5.46</w:t>
            </w:r>
          </w:p>
        </w:tc>
        <w:tc>
          <w:tcPr>
            <w:tcW w:w="567" w:type="dxa"/>
          </w:tcPr>
          <w:p w14:paraId="4FF0009B" w14:textId="77777777" w:rsidR="00905ADD" w:rsidRPr="005448F6" w:rsidRDefault="00905ADD" w:rsidP="00B85EF5">
            <w:pPr>
              <w:pStyle w:val="TableParagraph"/>
              <w:spacing w:before="219"/>
              <w:ind w:right="4"/>
              <w:jc w:val="both"/>
            </w:pPr>
            <w:r>
              <w:t xml:space="preserve"> </w:t>
            </w:r>
            <w:r w:rsidRPr="005448F6">
              <w:t>4.00</w:t>
            </w:r>
          </w:p>
        </w:tc>
        <w:tc>
          <w:tcPr>
            <w:tcW w:w="709" w:type="dxa"/>
          </w:tcPr>
          <w:p w14:paraId="455427EE" w14:textId="77777777" w:rsidR="00905ADD" w:rsidRPr="005448F6" w:rsidRDefault="00905ADD" w:rsidP="00B85EF5">
            <w:pPr>
              <w:pStyle w:val="TableParagraph"/>
              <w:spacing w:before="219"/>
              <w:ind w:right="11"/>
              <w:jc w:val="both"/>
            </w:pPr>
            <w:r>
              <w:t xml:space="preserve"> </w:t>
            </w:r>
            <w:r w:rsidRPr="005448F6">
              <w:t>3.27</w:t>
            </w:r>
          </w:p>
        </w:tc>
        <w:tc>
          <w:tcPr>
            <w:tcW w:w="567" w:type="dxa"/>
          </w:tcPr>
          <w:p w14:paraId="488CA556" w14:textId="77777777" w:rsidR="00905ADD" w:rsidRPr="005448F6" w:rsidRDefault="00905ADD" w:rsidP="00B85EF5">
            <w:pPr>
              <w:pStyle w:val="TableParagraph"/>
              <w:spacing w:before="219"/>
              <w:ind w:right="6"/>
              <w:jc w:val="both"/>
            </w:pPr>
            <w:r>
              <w:t xml:space="preserve"> </w:t>
            </w:r>
            <w:r w:rsidRPr="005448F6">
              <w:t>3.66</w:t>
            </w:r>
          </w:p>
        </w:tc>
        <w:tc>
          <w:tcPr>
            <w:tcW w:w="709" w:type="dxa"/>
            <w:tcBorders>
              <w:right w:val="single" w:sz="6" w:space="0" w:color="000000"/>
            </w:tcBorders>
          </w:tcPr>
          <w:p w14:paraId="56AF9FD8" w14:textId="77777777" w:rsidR="00905ADD" w:rsidRPr="005448F6" w:rsidRDefault="00905ADD" w:rsidP="00B85EF5">
            <w:pPr>
              <w:pStyle w:val="TableParagraph"/>
              <w:spacing w:before="219"/>
              <w:ind w:left="5" w:right="5"/>
              <w:jc w:val="both"/>
            </w:pPr>
            <w:r>
              <w:t xml:space="preserve">  </w:t>
            </w:r>
            <w:r w:rsidRPr="005448F6">
              <w:t>3.64</w:t>
            </w:r>
          </w:p>
        </w:tc>
        <w:tc>
          <w:tcPr>
            <w:tcW w:w="709" w:type="dxa"/>
            <w:tcBorders>
              <w:top w:val="single" w:sz="4" w:space="0" w:color="auto"/>
              <w:bottom w:val="single" w:sz="4" w:space="0" w:color="auto"/>
              <w:right w:val="single" w:sz="4" w:space="0" w:color="auto"/>
            </w:tcBorders>
            <w:shd w:val="clear" w:color="auto" w:fill="auto"/>
          </w:tcPr>
          <w:p w14:paraId="2A9405E0" w14:textId="77777777" w:rsidR="00905ADD" w:rsidRDefault="00905ADD" w:rsidP="00B85EF5">
            <w:pPr>
              <w:widowControl/>
              <w:autoSpaceDE/>
              <w:autoSpaceDN/>
              <w:spacing w:after="200"/>
              <w:jc w:val="both"/>
            </w:pPr>
            <w:r>
              <w:t xml:space="preserve"> 3.95</w:t>
            </w:r>
          </w:p>
        </w:tc>
        <w:tc>
          <w:tcPr>
            <w:tcW w:w="567" w:type="dxa"/>
            <w:tcBorders>
              <w:top w:val="single" w:sz="4" w:space="0" w:color="auto"/>
              <w:bottom w:val="single" w:sz="4" w:space="0" w:color="auto"/>
              <w:right w:val="single" w:sz="4" w:space="0" w:color="auto"/>
            </w:tcBorders>
            <w:shd w:val="clear" w:color="auto" w:fill="auto"/>
          </w:tcPr>
          <w:p w14:paraId="0BB22524" w14:textId="77777777" w:rsidR="00905ADD" w:rsidRDefault="00905ADD" w:rsidP="00B85EF5">
            <w:pPr>
              <w:widowControl/>
              <w:autoSpaceDE/>
              <w:autoSpaceDN/>
              <w:spacing w:after="200"/>
              <w:jc w:val="both"/>
            </w:pPr>
            <w:r>
              <w:t xml:space="preserve"> 3.89</w:t>
            </w:r>
          </w:p>
        </w:tc>
        <w:tc>
          <w:tcPr>
            <w:tcW w:w="615" w:type="dxa"/>
            <w:tcBorders>
              <w:top w:val="single" w:sz="4" w:space="0" w:color="auto"/>
              <w:bottom w:val="single" w:sz="4" w:space="0" w:color="auto"/>
              <w:right w:val="single" w:sz="4" w:space="0" w:color="auto"/>
            </w:tcBorders>
            <w:shd w:val="clear" w:color="auto" w:fill="auto"/>
          </w:tcPr>
          <w:p w14:paraId="4C47837C" w14:textId="77777777" w:rsidR="00905ADD" w:rsidRDefault="00905ADD" w:rsidP="00B85EF5">
            <w:pPr>
              <w:widowControl/>
              <w:autoSpaceDE/>
              <w:autoSpaceDN/>
              <w:spacing w:after="200"/>
              <w:jc w:val="both"/>
            </w:pPr>
            <w:r>
              <w:t xml:space="preserve"> 3.89</w:t>
            </w:r>
          </w:p>
        </w:tc>
        <w:tc>
          <w:tcPr>
            <w:tcW w:w="797" w:type="dxa"/>
            <w:tcBorders>
              <w:top w:val="single" w:sz="4" w:space="0" w:color="auto"/>
              <w:bottom w:val="single" w:sz="4" w:space="0" w:color="auto"/>
              <w:right w:val="single" w:sz="4" w:space="0" w:color="auto"/>
            </w:tcBorders>
            <w:shd w:val="clear" w:color="auto" w:fill="auto"/>
          </w:tcPr>
          <w:p w14:paraId="6E8C08BB" w14:textId="77777777" w:rsidR="00905ADD" w:rsidRDefault="00905ADD" w:rsidP="00B85EF5">
            <w:pPr>
              <w:widowControl/>
              <w:autoSpaceDE/>
              <w:autoSpaceDN/>
              <w:spacing w:after="200"/>
              <w:jc w:val="both"/>
            </w:pPr>
            <w:r>
              <w:t xml:space="preserve"> 3.91</w:t>
            </w:r>
          </w:p>
        </w:tc>
        <w:tc>
          <w:tcPr>
            <w:tcW w:w="714" w:type="dxa"/>
            <w:tcBorders>
              <w:top w:val="single" w:sz="4" w:space="0" w:color="auto"/>
              <w:bottom w:val="single" w:sz="4" w:space="0" w:color="auto"/>
              <w:right w:val="single" w:sz="4" w:space="0" w:color="auto"/>
            </w:tcBorders>
            <w:shd w:val="clear" w:color="auto" w:fill="auto"/>
          </w:tcPr>
          <w:p w14:paraId="0D37E23A" w14:textId="77777777" w:rsidR="00905ADD" w:rsidRPr="007B106D" w:rsidRDefault="00905ADD" w:rsidP="00B85EF5">
            <w:pPr>
              <w:pStyle w:val="TableParagraph"/>
              <w:spacing w:before="130"/>
              <w:jc w:val="both"/>
              <w:rPr>
                <w:b/>
                <w:sz w:val="24"/>
                <w:szCs w:val="24"/>
              </w:rPr>
            </w:pPr>
          </w:p>
          <w:p w14:paraId="33EE7AF3" w14:textId="77777777" w:rsidR="00905ADD" w:rsidRPr="007B106D" w:rsidRDefault="00905ADD" w:rsidP="00B85EF5">
            <w:pPr>
              <w:pStyle w:val="TableParagraph"/>
              <w:spacing w:before="1"/>
              <w:ind w:right="14"/>
              <w:jc w:val="both"/>
              <w:rPr>
                <w:sz w:val="24"/>
                <w:szCs w:val="24"/>
              </w:rPr>
            </w:pPr>
            <w:r>
              <w:rPr>
                <w:sz w:val="24"/>
                <w:szCs w:val="24"/>
              </w:rPr>
              <w:t xml:space="preserve">  </w:t>
            </w:r>
            <w:r w:rsidRPr="007B106D">
              <w:rPr>
                <w:sz w:val="24"/>
                <w:szCs w:val="24"/>
              </w:rPr>
              <w:t>220</w:t>
            </w:r>
          </w:p>
        </w:tc>
        <w:tc>
          <w:tcPr>
            <w:tcW w:w="850" w:type="dxa"/>
            <w:tcBorders>
              <w:top w:val="single" w:sz="4" w:space="0" w:color="auto"/>
              <w:bottom w:val="single" w:sz="4" w:space="0" w:color="auto"/>
              <w:right w:val="single" w:sz="4" w:space="0" w:color="auto"/>
            </w:tcBorders>
            <w:shd w:val="clear" w:color="auto" w:fill="auto"/>
          </w:tcPr>
          <w:p w14:paraId="5EEF98BD" w14:textId="77777777" w:rsidR="00905ADD" w:rsidRPr="007B106D" w:rsidRDefault="00905ADD" w:rsidP="00B85EF5">
            <w:pPr>
              <w:pStyle w:val="TableParagraph"/>
              <w:spacing w:before="130"/>
              <w:jc w:val="both"/>
              <w:rPr>
                <w:b/>
                <w:sz w:val="24"/>
                <w:szCs w:val="24"/>
              </w:rPr>
            </w:pPr>
          </w:p>
          <w:p w14:paraId="28C36A0C" w14:textId="77777777" w:rsidR="00905ADD" w:rsidRPr="007B106D" w:rsidRDefault="00905ADD" w:rsidP="00B85EF5">
            <w:pPr>
              <w:pStyle w:val="TableParagraph"/>
              <w:spacing w:before="1"/>
              <w:ind w:right="1"/>
              <w:jc w:val="both"/>
              <w:rPr>
                <w:sz w:val="24"/>
                <w:szCs w:val="24"/>
              </w:rPr>
            </w:pPr>
            <w:r>
              <w:rPr>
                <w:spacing w:val="-2"/>
                <w:sz w:val="24"/>
                <w:szCs w:val="24"/>
              </w:rPr>
              <w:t xml:space="preserve"> </w:t>
            </w:r>
            <w:r w:rsidRPr="007B106D">
              <w:rPr>
                <w:spacing w:val="-2"/>
                <w:sz w:val="24"/>
                <w:szCs w:val="24"/>
              </w:rPr>
              <w:t>1:8.52</w:t>
            </w:r>
          </w:p>
        </w:tc>
      </w:tr>
      <w:tr w:rsidR="00905ADD" w14:paraId="0C615E0F" w14:textId="77777777" w:rsidTr="00B85EF5">
        <w:trPr>
          <w:gridAfter w:val="1"/>
          <w:wAfter w:w="8" w:type="dxa"/>
          <w:trHeight w:val="689"/>
        </w:trPr>
        <w:tc>
          <w:tcPr>
            <w:tcW w:w="2264" w:type="dxa"/>
            <w:gridSpan w:val="2"/>
          </w:tcPr>
          <w:p w14:paraId="744B9148" w14:textId="77777777" w:rsidR="00905ADD" w:rsidRPr="005448F6" w:rsidRDefault="00905ADD" w:rsidP="00B85EF5">
            <w:pPr>
              <w:pStyle w:val="TableParagraph"/>
              <w:spacing w:before="219"/>
              <w:ind w:left="801"/>
              <w:jc w:val="both"/>
            </w:pPr>
            <w:r w:rsidRPr="005448F6">
              <w:t xml:space="preserve">Overall </w:t>
            </w:r>
            <w:r w:rsidRPr="005448F6">
              <w:rPr>
                <w:spacing w:val="-4"/>
              </w:rPr>
              <w:t>Mean</w:t>
            </w:r>
          </w:p>
        </w:tc>
        <w:tc>
          <w:tcPr>
            <w:tcW w:w="576" w:type="dxa"/>
          </w:tcPr>
          <w:p w14:paraId="1211612F" w14:textId="77777777" w:rsidR="00905ADD" w:rsidRPr="005448F6" w:rsidRDefault="00905ADD" w:rsidP="00B85EF5">
            <w:pPr>
              <w:pStyle w:val="TableParagraph"/>
              <w:spacing w:before="83"/>
              <w:ind w:right="3"/>
              <w:jc w:val="both"/>
            </w:pPr>
            <w:r>
              <w:t xml:space="preserve">  </w:t>
            </w:r>
            <w:r w:rsidRPr="005448F6">
              <w:t>6.25</w:t>
            </w:r>
          </w:p>
        </w:tc>
        <w:tc>
          <w:tcPr>
            <w:tcW w:w="567" w:type="dxa"/>
          </w:tcPr>
          <w:p w14:paraId="3FC9FC73" w14:textId="77777777" w:rsidR="00905ADD" w:rsidRPr="005448F6" w:rsidRDefault="00905ADD" w:rsidP="00B85EF5">
            <w:pPr>
              <w:pStyle w:val="TableParagraph"/>
              <w:spacing w:before="219"/>
              <w:ind w:right="4"/>
              <w:jc w:val="both"/>
            </w:pPr>
            <w:r>
              <w:t xml:space="preserve"> </w:t>
            </w:r>
            <w:r w:rsidRPr="005448F6">
              <w:t>5.41</w:t>
            </w:r>
          </w:p>
        </w:tc>
        <w:tc>
          <w:tcPr>
            <w:tcW w:w="709" w:type="dxa"/>
          </w:tcPr>
          <w:p w14:paraId="42E6A058" w14:textId="77777777" w:rsidR="00905ADD" w:rsidRPr="005448F6" w:rsidRDefault="00905ADD" w:rsidP="00B85EF5">
            <w:pPr>
              <w:pStyle w:val="TableParagraph"/>
              <w:spacing w:before="219"/>
              <w:ind w:right="11"/>
              <w:jc w:val="both"/>
            </w:pPr>
            <w:r>
              <w:t xml:space="preserve"> </w:t>
            </w:r>
            <w:r w:rsidRPr="005448F6">
              <w:t>4.69</w:t>
            </w:r>
          </w:p>
        </w:tc>
        <w:tc>
          <w:tcPr>
            <w:tcW w:w="567" w:type="dxa"/>
          </w:tcPr>
          <w:p w14:paraId="24A21E45" w14:textId="77777777" w:rsidR="00905ADD" w:rsidRPr="005448F6" w:rsidRDefault="00905ADD" w:rsidP="00B85EF5">
            <w:pPr>
              <w:pStyle w:val="TableParagraph"/>
              <w:spacing w:before="219"/>
              <w:ind w:right="6"/>
              <w:jc w:val="both"/>
            </w:pPr>
            <w:r>
              <w:t xml:space="preserve"> </w:t>
            </w:r>
            <w:r w:rsidRPr="005448F6">
              <w:t>5.13</w:t>
            </w:r>
          </w:p>
        </w:tc>
        <w:tc>
          <w:tcPr>
            <w:tcW w:w="709" w:type="dxa"/>
            <w:tcBorders>
              <w:right w:val="single" w:sz="6" w:space="0" w:color="000000"/>
            </w:tcBorders>
          </w:tcPr>
          <w:p w14:paraId="7A700FC9" w14:textId="77777777" w:rsidR="00905ADD" w:rsidRPr="005448F6" w:rsidRDefault="00905ADD" w:rsidP="00B85EF5">
            <w:pPr>
              <w:pStyle w:val="TableParagraph"/>
              <w:spacing w:before="219"/>
              <w:ind w:left="5" w:right="5"/>
              <w:jc w:val="both"/>
            </w:pPr>
            <w:r>
              <w:t xml:space="preserve">  5</w:t>
            </w:r>
            <w:r w:rsidRPr="005448F6">
              <w:t>.</w:t>
            </w:r>
            <w:r>
              <w:t>0</w:t>
            </w:r>
            <w:r w:rsidRPr="005448F6">
              <w:t>8</w:t>
            </w:r>
          </w:p>
        </w:tc>
        <w:tc>
          <w:tcPr>
            <w:tcW w:w="709" w:type="dxa"/>
            <w:tcBorders>
              <w:top w:val="single" w:sz="4" w:space="0" w:color="auto"/>
              <w:bottom w:val="single" w:sz="4" w:space="0" w:color="auto"/>
              <w:right w:val="single" w:sz="4" w:space="0" w:color="auto"/>
            </w:tcBorders>
            <w:shd w:val="clear" w:color="auto" w:fill="auto"/>
          </w:tcPr>
          <w:p w14:paraId="381A803D" w14:textId="77777777" w:rsidR="00905ADD" w:rsidRDefault="00905ADD" w:rsidP="00B85EF5">
            <w:pPr>
              <w:widowControl/>
              <w:autoSpaceDE/>
              <w:autoSpaceDN/>
              <w:spacing w:after="200"/>
              <w:jc w:val="both"/>
            </w:pPr>
            <w:r>
              <w:t xml:space="preserve"> 5.41</w:t>
            </w:r>
          </w:p>
        </w:tc>
        <w:tc>
          <w:tcPr>
            <w:tcW w:w="567" w:type="dxa"/>
            <w:tcBorders>
              <w:top w:val="single" w:sz="4" w:space="0" w:color="auto"/>
              <w:bottom w:val="single" w:sz="4" w:space="0" w:color="auto"/>
              <w:right w:val="single" w:sz="4" w:space="0" w:color="auto"/>
            </w:tcBorders>
            <w:shd w:val="clear" w:color="auto" w:fill="auto"/>
          </w:tcPr>
          <w:p w14:paraId="6BB6857D" w14:textId="77777777" w:rsidR="00905ADD" w:rsidRDefault="00905ADD" w:rsidP="00B85EF5">
            <w:pPr>
              <w:widowControl/>
              <w:autoSpaceDE/>
              <w:autoSpaceDN/>
              <w:spacing w:after="200"/>
              <w:jc w:val="both"/>
            </w:pPr>
            <w:r>
              <w:t xml:space="preserve"> 5.23</w:t>
            </w:r>
          </w:p>
        </w:tc>
        <w:tc>
          <w:tcPr>
            <w:tcW w:w="615" w:type="dxa"/>
            <w:tcBorders>
              <w:top w:val="single" w:sz="4" w:space="0" w:color="auto"/>
              <w:bottom w:val="single" w:sz="4" w:space="0" w:color="auto"/>
              <w:right w:val="single" w:sz="4" w:space="0" w:color="auto"/>
            </w:tcBorders>
            <w:shd w:val="clear" w:color="auto" w:fill="auto"/>
          </w:tcPr>
          <w:p w14:paraId="542C0ABD" w14:textId="77777777" w:rsidR="00905ADD" w:rsidRDefault="00905ADD" w:rsidP="00B85EF5">
            <w:pPr>
              <w:widowControl/>
              <w:autoSpaceDE/>
              <w:autoSpaceDN/>
              <w:spacing w:after="200"/>
              <w:jc w:val="both"/>
            </w:pPr>
            <w:r>
              <w:t xml:space="preserve"> 5.35</w:t>
            </w:r>
          </w:p>
        </w:tc>
        <w:tc>
          <w:tcPr>
            <w:tcW w:w="797" w:type="dxa"/>
            <w:tcBorders>
              <w:top w:val="single" w:sz="4" w:space="0" w:color="auto"/>
              <w:bottom w:val="single" w:sz="4" w:space="0" w:color="auto"/>
              <w:right w:val="single" w:sz="4" w:space="0" w:color="auto"/>
            </w:tcBorders>
            <w:shd w:val="clear" w:color="auto" w:fill="auto"/>
          </w:tcPr>
          <w:p w14:paraId="38A4D817" w14:textId="77777777" w:rsidR="00905ADD" w:rsidRDefault="00905ADD" w:rsidP="00B85EF5">
            <w:pPr>
              <w:widowControl/>
              <w:autoSpaceDE/>
              <w:autoSpaceDN/>
              <w:spacing w:after="200"/>
              <w:jc w:val="both"/>
            </w:pPr>
            <w:r>
              <w:t xml:space="preserve"> 5.33</w:t>
            </w:r>
          </w:p>
        </w:tc>
        <w:tc>
          <w:tcPr>
            <w:tcW w:w="714" w:type="dxa"/>
            <w:tcBorders>
              <w:top w:val="single" w:sz="4" w:space="0" w:color="auto"/>
              <w:bottom w:val="single" w:sz="4" w:space="0" w:color="auto"/>
              <w:right w:val="single" w:sz="4" w:space="0" w:color="auto"/>
            </w:tcBorders>
            <w:shd w:val="clear" w:color="auto" w:fill="auto"/>
          </w:tcPr>
          <w:p w14:paraId="2702C59F"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30642161" w14:textId="77777777" w:rsidR="00905ADD" w:rsidRDefault="00905ADD" w:rsidP="00B85EF5">
            <w:pPr>
              <w:widowControl/>
              <w:autoSpaceDE/>
              <w:autoSpaceDN/>
              <w:spacing w:after="200"/>
              <w:jc w:val="both"/>
            </w:pPr>
            <w:r>
              <w:t xml:space="preserve"> ----</w:t>
            </w:r>
          </w:p>
        </w:tc>
      </w:tr>
      <w:tr w:rsidR="00905ADD" w14:paraId="7DE119E4" w14:textId="77777777" w:rsidTr="00B85EF5">
        <w:trPr>
          <w:gridAfter w:val="1"/>
          <w:wAfter w:w="8" w:type="dxa"/>
          <w:trHeight w:val="688"/>
        </w:trPr>
        <w:tc>
          <w:tcPr>
            <w:tcW w:w="2264" w:type="dxa"/>
            <w:gridSpan w:val="2"/>
          </w:tcPr>
          <w:p w14:paraId="0E62146F" w14:textId="77777777" w:rsidR="00905ADD" w:rsidRPr="005448F6" w:rsidRDefault="00905ADD" w:rsidP="00B85EF5">
            <w:pPr>
              <w:pStyle w:val="TableParagraph"/>
              <w:spacing w:before="219"/>
              <w:ind w:right="4"/>
              <w:jc w:val="both"/>
            </w:pPr>
            <w:r>
              <w:t xml:space="preserve">                  </w:t>
            </w:r>
            <w:r w:rsidRPr="005448F6">
              <w:t>F-</w:t>
            </w:r>
            <w:r w:rsidRPr="005448F6">
              <w:rPr>
                <w:spacing w:val="-4"/>
              </w:rPr>
              <w:t>test</w:t>
            </w:r>
          </w:p>
        </w:tc>
        <w:tc>
          <w:tcPr>
            <w:tcW w:w="576" w:type="dxa"/>
          </w:tcPr>
          <w:p w14:paraId="63B69587" w14:textId="77777777" w:rsidR="00905ADD" w:rsidRPr="005448F6" w:rsidRDefault="00905ADD" w:rsidP="00B85EF5">
            <w:pPr>
              <w:pStyle w:val="TableParagraph"/>
              <w:spacing w:before="219"/>
              <w:ind w:left="2" w:right="3"/>
              <w:jc w:val="both"/>
            </w:pPr>
            <w:r>
              <w:rPr>
                <w:spacing w:val="-10"/>
              </w:rPr>
              <w:t xml:space="preserve">  </w:t>
            </w:r>
            <w:r w:rsidRPr="005448F6">
              <w:rPr>
                <w:spacing w:val="-10"/>
              </w:rPr>
              <w:t>NS</w:t>
            </w:r>
          </w:p>
        </w:tc>
        <w:tc>
          <w:tcPr>
            <w:tcW w:w="567" w:type="dxa"/>
          </w:tcPr>
          <w:p w14:paraId="6E934683" w14:textId="77777777" w:rsidR="00905ADD" w:rsidRPr="005448F6" w:rsidRDefault="00905ADD" w:rsidP="00B85EF5">
            <w:pPr>
              <w:pStyle w:val="TableParagraph"/>
              <w:spacing w:before="219"/>
              <w:ind w:left="2" w:right="4"/>
              <w:jc w:val="both"/>
            </w:pPr>
            <w:r>
              <w:rPr>
                <w:spacing w:val="-10"/>
              </w:rPr>
              <w:t xml:space="preserve">  </w:t>
            </w:r>
            <w:r w:rsidRPr="005448F6">
              <w:rPr>
                <w:spacing w:val="-10"/>
              </w:rPr>
              <w:t>S</w:t>
            </w:r>
          </w:p>
        </w:tc>
        <w:tc>
          <w:tcPr>
            <w:tcW w:w="709" w:type="dxa"/>
          </w:tcPr>
          <w:p w14:paraId="23051411" w14:textId="77777777" w:rsidR="00905ADD" w:rsidRPr="005448F6" w:rsidRDefault="00905ADD" w:rsidP="00B85EF5">
            <w:pPr>
              <w:pStyle w:val="TableParagraph"/>
              <w:spacing w:before="219"/>
              <w:ind w:right="11"/>
              <w:jc w:val="both"/>
            </w:pPr>
            <w:r>
              <w:rPr>
                <w:spacing w:val="-10"/>
              </w:rPr>
              <w:t xml:space="preserve">  </w:t>
            </w:r>
            <w:r w:rsidRPr="005448F6">
              <w:rPr>
                <w:spacing w:val="-10"/>
              </w:rPr>
              <w:t>S</w:t>
            </w:r>
          </w:p>
        </w:tc>
        <w:tc>
          <w:tcPr>
            <w:tcW w:w="567" w:type="dxa"/>
          </w:tcPr>
          <w:p w14:paraId="14DF890D" w14:textId="77777777" w:rsidR="00905ADD" w:rsidRPr="005448F6" w:rsidRDefault="00905ADD" w:rsidP="00B85EF5">
            <w:pPr>
              <w:pStyle w:val="TableParagraph"/>
              <w:spacing w:before="219"/>
              <w:ind w:right="6"/>
              <w:jc w:val="both"/>
            </w:pPr>
            <w:r>
              <w:rPr>
                <w:spacing w:val="-10"/>
              </w:rPr>
              <w:t xml:space="preserve">  </w:t>
            </w:r>
            <w:r w:rsidRPr="005448F6">
              <w:rPr>
                <w:spacing w:val="-10"/>
              </w:rPr>
              <w:t>S</w:t>
            </w:r>
          </w:p>
        </w:tc>
        <w:tc>
          <w:tcPr>
            <w:tcW w:w="709" w:type="dxa"/>
            <w:tcBorders>
              <w:right w:val="single" w:sz="6" w:space="0" w:color="000000"/>
            </w:tcBorders>
          </w:tcPr>
          <w:p w14:paraId="5E996607" w14:textId="77777777" w:rsidR="00905ADD" w:rsidRPr="005448F6" w:rsidRDefault="00905ADD" w:rsidP="00B85EF5">
            <w:pPr>
              <w:pStyle w:val="TableParagraph"/>
              <w:spacing w:before="219"/>
              <w:ind w:right="5"/>
              <w:jc w:val="both"/>
            </w:pPr>
            <w:r>
              <w:rPr>
                <w:spacing w:val="-10"/>
              </w:rPr>
              <w:t xml:space="preserve">  </w:t>
            </w:r>
            <w:r w:rsidRPr="005448F6">
              <w:rPr>
                <w:spacing w:val="-10"/>
              </w:rPr>
              <w:t>S</w:t>
            </w:r>
          </w:p>
        </w:tc>
        <w:tc>
          <w:tcPr>
            <w:tcW w:w="709" w:type="dxa"/>
            <w:tcBorders>
              <w:top w:val="single" w:sz="4" w:space="0" w:color="auto"/>
              <w:bottom w:val="single" w:sz="4" w:space="0" w:color="auto"/>
              <w:right w:val="single" w:sz="4" w:space="0" w:color="auto"/>
            </w:tcBorders>
            <w:shd w:val="clear" w:color="auto" w:fill="auto"/>
          </w:tcPr>
          <w:p w14:paraId="3DEBFE20" w14:textId="77777777" w:rsidR="00905ADD" w:rsidRDefault="00905ADD" w:rsidP="00B85EF5">
            <w:pPr>
              <w:widowControl/>
              <w:autoSpaceDE/>
              <w:autoSpaceDN/>
              <w:spacing w:after="200"/>
              <w:jc w:val="both"/>
            </w:pPr>
            <w:r>
              <w:t xml:space="preserve">  S</w:t>
            </w:r>
          </w:p>
        </w:tc>
        <w:tc>
          <w:tcPr>
            <w:tcW w:w="567" w:type="dxa"/>
            <w:tcBorders>
              <w:top w:val="single" w:sz="4" w:space="0" w:color="auto"/>
              <w:bottom w:val="single" w:sz="4" w:space="0" w:color="auto"/>
              <w:right w:val="single" w:sz="4" w:space="0" w:color="auto"/>
            </w:tcBorders>
            <w:shd w:val="clear" w:color="auto" w:fill="auto"/>
          </w:tcPr>
          <w:p w14:paraId="2180D477" w14:textId="77777777" w:rsidR="00905ADD" w:rsidRDefault="00905ADD" w:rsidP="00B85EF5">
            <w:pPr>
              <w:widowControl/>
              <w:autoSpaceDE/>
              <w:autoSpaceDN/>
              <w:spacing w:after="200"/>
              <w:jc w:val="both"/>
            </w:pPr>
            <w:r>
              <w:t xml:space="preserve">  S</w:t>
            </w:r>
          </w:p>
        </w:tc>
        <w:tc>
          <w:tcPr>
            <w:tcW w:w="615" w:type="dxa"/>
            <w:tcBorders>
              <w:top w:val="single" w:sz="4" w:space="0" w:color="auto"/>
              <w:bottom w:val="single" w:sz="4" w:space="0" w:color="auto"/>
              <w:right w:val="single" w:sz="4" w:space="0" w:color="auto"/>
            </w:tcBorders>
            <w:shd w:val="clear" w:color="auto" w:fill="auto"/>
          </w:tcPr>
          <w:p w14:paraId="66638D9A" w14:textId="77777777" w:rsidR="00905ADD" w:rsidRDefault="00905ADD" w:rsidP="00B85EF5">
            <w:pPr>
              <w:widowControl/>
              <w:autoSpaceDE/>
              <w:autoSpaceDN/>
              <w:spacing w:after="200"/>
              <w:jc w:val="both"/>
            </w:pPr>
            <w:r>
              <w:t xml:space="preserve">  S</w:t>
            </w:r>
          </w:p>
        </w:tc>
        <w:tc>
          <w:tcPr>
            <w:tcW w:w="797" w:type="dxa"/>
            <w:tcBorders>
              <w:top w:val="single" w:sz="4" w:space="0" w:color="auto"/>
              <w:bottom w:val="single" w:sz="4" w:space="0" w:color="auto"/>
              <w:right w:val="single" w:sz="4" w:space="0" w:color="auto"/>
            </w:tcBorders>
            <w:shd w:val="clear" w:color="auto" w:fill="auto"/>
          </w:tcPr>
          <w:p w14:paraId="143C4BE0" w14:textId="77777777" w:rsidR="00905ADD" w:rsidRDefault="00905ADD" w:rsidP="00B85EF5">
            <w:pPr>
              <w:widowControl/>
              <w:autoSpaceDE/>
              <w:autoSpaceDN/>
              <w:spacing w:after="200"/>
              <w:jc w:val="both"/>
            </w:pPr>
            <w:r>
              <w:t xml:space="preserve"> S</w:t>
            </w:r>
          </w:p>
        </w:tc>
        <w:tc>
          <w:tcPr>
            <w:tcW w:w="714" w:type="dxa"/>
            <w:tcBorders>
              <w:top w:val="single" w:sz="4" w:space="0" w:color="auto"/>
              <w:bottom w:val="single" w:sz="4" w:space="0" w:color="auto"/>
              <w:right w:val="single" w:sz="4" w:space="0" w:color="auto"/>
            </w:tcBorders>
            <w:shd w:val="clear" w:color="auto" w:fill="auto"/>
          </w:tcPr>
          <w:p w14:paraId="68379EAC"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38CF2592" w14:textId="77777777" w:rsidR="00905ADD" w:rsidRDefault="00905ADD" w:rsidP="00B85EF5">
            <w:pPr>
              <w:widowControl/>
              <w:autoSpaceDE/>
              <w:autoSpaceDN/>
              <w:spacing w:after="200"/>
              <w:jc w:val="both"/>
            </w:pPr>
            <w:r>
              <w:t xml:space="preserve"> -----</w:t>
            </w:r>
          </w:p>
        </w:tc>
      </w:tr>
      <w:tr w:rsidR="00905ADD" w14:paraId="18134B63" w14:textId="77777777" w:rsidTr="00B85EF5">
        <w:trPr>
          <w:gridAfter w:val="1"/>
          <w:wAfter w:w="8" w:type="dxa"/>
          <w:trHeight w:val="688"/>
        </w:trPr>
        <w:tc>
          <w:tcPr>
            <w:tcW w:w="2264" w:type="dxa"/>
            <w:gridSpan w:val="2"/>
          </w:tcPr>
          <w:p w14:paraId="3FAB4773" w14:textId="77777777" w:rsidR="00905ADD" w:rsidRPr="005448F6" w:rsidRDefault="00905ADD" w:rsidP="00B85EF5">
            <w:pPr>
              <w:pStyle w:val="TableParagraph"/>
              <w:spacing w:before="217"/>
              <w:ind w:left="971"/>
              <w:jc w:val="both"/>
            </w:pPr>
            <w:r w:rsidRPr="005448F6">
              <w:t xml:space="preserve">S. Ed. </w:t>
            </w:r>
            <w:r w:rsidRPr="005448F6">
              <w:rPr>
                <w:spacing w:val="-5"/>
              </w:rPr>
              <w:t>(±)</w:t>
            </w:r>
          </w:p>
        </w:tc>
        <w:tc>
          <w:tcPr>
            <w:tcW w:w="576" w:type="dxa"/>
          </w:tcPr>
          <w:p w14:paraId="28E0D7ED" w14:textId="77777777" w:rsidR="00905ADD" w:rsidRPr="005448F6" w:rsidRDefault="00905ADD" w:rsidP="00B85EF5">
            <w:pPr>
              <w:pStyle w:val="TableParagraph"/>
              <w:spacing w:before="217"/>
              <w:ind w:right="3"/>
              <w:jc w:val="both"/>
            </w:pPr>
            <w:r>
              <w:t xml:space="preserve">  </w:t>
            </w:r>
            <w:r w:rsidRPr="005448F6">
              <w:t>0.59</w:t>
            </w:r>
          </w:p>
        </w:tc>
        <w:tc>
          <w:tcPr>
            <w:tcW w:w="567" w:type="dxa"/>
          </w:tcPr>
          <w:p w14:paraId="54C86E12" w14:textId="77777777" w:rsidR="00905ADD" w:rsidRPr="005448F6" w:rsidRDefault="00905ADD" w:rsidP="00B85EF5">
            <w:pPr>
              <w:pStyle w:val="TableParagraph"/>
              <w:spacing w:before="217"/>
              <w:ind w:right="4"/>
              <w:jc w:val="both"/>
            </w:pPr>
            <w:r>
              <w:t xml:space="preserve"> </w:t>
            </w:r>
            <w:r w:rsidRPr="005448F6">
              <w:t>0.34</w:t>
            </w:r>
          </w:p>
        </w:tc>
        <w:tc>
          <w:tcPr>
            <w:tcW w:w="709" w:type="dxa"/>
          </w:tcPr>
          <w:p w14:paraId="2833939D" w14:textId="77777777" w:rsidR="00905ADD" w:rsidRPr="005448F6" w:rsidRDefault="00905ADD" w:rsidP="00B85EF5">
            <w:pPr>
              <w:pStyle w:val="TableParagraph"/>
              <w:spacing w:before="217"/>
              <w:ind w:right="11"/>
              <w:jc w:val="both"/>
            </w:pPr>
            <w:r>
              <w:t xml:space="preserve"> </w:t>
            </w:r>
            <w:r w:rsidRPr="005448F6">
              <w:t>0.34</w:t>
            </w:r>
          </w:p>
        </w:tc>
        <w:tc>
          <w:tcPr>
            <w:tcW w:w="567" w:type="dxa"/>
          </w:tcPr>
          <w:p w14:paraId="5DB2B72A" w14:textId="77777777" w:rsidR="00905ADD" w:rsidRPr="005448F6" w:rsidRDefault="00905ADD" w:rsidP="00B85EF5">
            <w:pPr>
              <w:pStyle w:val="TableParagraph"/>
              <w:spacing w:before="217"/>
              <w:ind w:right="6"/>
              <w:jc w:val="both"/>
            </w:pPr>
            <w:r>
              <w:t xml:space="preserve"> </w:t>
            </w:r>
            <w:r w:rsidRPr="005448F6">
              <w:t>0.21</w:t>
            </w:r>
          </w:p>
        </w:tc>
        <w:tc>
          <w:tcPr>
            <w:tcW w:w="709" w:type="dxa"/>
            <w:tcBorders>
              <w:right w:val="single" w:sz="6" w:space="0" w:color="000000"/>
            </w:tcBorders>
          </w:tcPr>
          <w:p w14:paraId="2C29AAE3" w14:textId="77777777" w:rsidR="00905ADD" w:rsidRPr="005448F6" w:rsidRDefault="00905ADD" w:rsidP="00B85EF5">
            <w:pPr>
              <w:pStyle w:val="TableParagraph"/>
              <w:spacing w:before="217"/>
              <w:ind w:left="5" w:right="5"/>
              <w:jc w:val="both"/>
            </w:pPr>
            <w:r>
              <w:t xml:space="preserve">  </w:t>
            </w:r>
            <w:r w:rsidRPr="005448F6">
              <w:t>0.28</w:t>
            </w:r>
          </w:p>
        </w:tc>
        <w:tc>
          <w:tcPr>
            <w:tcW w:w="709" w:type="dxa"/>
            <w:tcBorders>
              <w:top w:val="single" w:sz="4" w:space="0" w:color="auto"/>
              <w:bottom w:val="single" w:sz="4" w:space="0" w:color="auto"/>
              <w:right w:val="single" w:sz="4" w:space="0" w:color="auto"/>
            </w:tcBorders>
            <w:shd w:val="clear" w:color="auto" w:fill="auto"/>
          </w:tcPr>
          <w:p w14:paraId="558D9E21" w14:textId="77777777" w:rsidR="00905ADD" w:rsidRDefault="00905ADD" w:rsidP="00B85EF5">
            <w:pPr>
              <w:widowControl/>
              <w:autoSpaceDE/>
              <w:autoSpaceDN/>
              <w:spacing w:after="200"/>
              <w:jc w:val="both"/>
            </w:pPr>
            <w:r>
              <w:t xml:space="preserve"> 0.42</w:t>
            </w:r>
          </w:p>
        </w:tc>
        <w:tc>
          <w:tcPr>
            <w:tcW w:w="567" w:type="dxa"/>
            <w:tcBorders>
              <w:top w:val="single" w:sz="4" w:space="0" w:color="auto"/>
              <w:bottom w:val="single" w:sz="4" w:space="0" w:color="auto"/>
              <w:right w:val="single" w:sz="4" w:space="0" w:color="auto"/>
            </w:tcBorders>
            <w:shd w:val="clear" w:color="auto" w:fill="auto"/>
          </w:tcPr>
          <w:p w14:paraId="34F845C2" w14:textId="77777777" w:rsidR="00905ADD" w:rsidRDefault="00905ADD" w:rsidP="00B85EF5">
            <w:pPr>
              <w:widowControl/>
              <w:autoSpaceDE/>
              <w:autoSpaceDN/>
              <w:spacing w:after="200"/>
              <w:jc w:val="both"/>
            </w:pPr>
            <w:r>
              <w:t xml:space="preserve"> 0.40</w:t>
            </w:r>
          </w:p>
        </w:tc>
        <w:tc>
          <w:tcPr>
            <w:tcW w:w="615" w:type="dxa"/>
            <w:tcBorders>
              <w:top w:val="single" w:sz="4" w:space="0" w:color="auto"/>
              <w:bottom w:val="single" w:sz="4" w:space="0" w:color="auto"/>
              <w:right w:val="single" w:sz="4" w:space="0" w:color="auto"/>
            </w:tcBorders>
            <w:shd w:val="clear" w:color="auto" w:fill="auto"/>
          </w:tcPr>
          <w:p w14:paraId="3399014A" w14:textId="77777777" w:rsidR="00905ADD" w:rsidRDefault="00905ADD" w:rsidP="00B85EF5">
            <w:pPr>
              <w:widowControl/>
              <w:autoSpaceDE/>
              <w:autoSpaceDN/>
              <w:spacing w:after="200"/>
              <w:jc w:val="both"/>
            </w:pPr>
            <w:r>
              <w:t xml:space="preserve"> 0.41</w:t>
            </w:r>
          </w:p>
        </w:tc>
        <w:tc>
          <w:tcPr>
            <w:tcW w:w="797" w:type="dxa"/>
            <w:tcBorders>
              <w:top w:val="single" w:sz="4" w:space="0" w:color="auto"/>
              <w:bottom w:val="single" w:sz="4" w:space="0" w:color="auto"/>
              <w:right w:val="single" w:sz="4" w:space="0" w:color="auto"/>
            </w:tcBorders>
            <w:shd w:val="clear" w:color="auto" w:fill="auto"/>
          </w:tcPr>
          <w:p w14:paraId="0FD3373F" w14:textId="77777777" w:rsidR="00905ADD" w:rsidRDefault="00905ADD" w:rsidP="00B85EF5">
            <w:pPr>
              <w:widowControl/>
              <w:autoSpaceDE/>
              <w:autoSpaceDN/>
              <w:spacing w:after="200"/>
              <w:jc w:val="both"/>
            </w:pPr>
            <w:r>
              <w:t xml:space="preserve"> 0.12</w:t>
            </w:r>
          </w:p>
        </w:tc>
        <w:tc>
          <w:tcPr>
            <w:tcW w:w="714" w:type="dxa"/>
            <w:tcBorders>
              <w:top w:val="single" w:sz="4" w:space="0" w:color="auto"/>
              <w:bottom w:val="single" w:sz="4" w:space="0" w:color="auto"/>
              <w:right w:val="single" w:sz="4" w:space="0" w:color="auto"/>
            </w:tcBorders>
            <w:shd w:val="clear" w:color="auto" w:fill="auto"/>
          </w:tcPr>
          <w:p w14:paraId="34FB2AAD"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22A110EE" w14:textId="77777777" w:rsidR="00905ADD" w:rsidRDefault="00905ADD" w:rsidP="00B85EF5">
            <w:pPr>
              <w:widowControl/>
              <w:autoSpaceDE/>
              <w:autoSpaceDN/>
              <w:spacing w:after="200"/>
              <w:jc w:val="both"/>
            </w:pPr>
            <w:r>
              <w:t xml:space="preserve"> -----</w:t>
            </w:r>
          </w:p>
        </w:tc>
      </w:tr>
      <w:tr w:rsidR="00905ADD" w14:paraId="15815F27" w14:textId="77777777" w:rsidTr="00B85EF5">
        <w:trPr>
          <w:gridAfter w:val="1"/>
          <w:wAfter w:w="8" w:type="dxa"/>
          <w:trHeight w:val="688"/>
        </w:trPr>
        <w:tc>
          <w:tcPr>
            <w:tcW w:w="2264" w:type="dxa"/>
            <w:gridSpan w:val="2"/>
          </w:tcPr>
          <w:p w14:paraId="373FCF09" w14:textId="77777777" w:rsidR="00905ADD" w:rsidRPr="005448F6" w:rsidRDefault="00905ADD" w:rsidP="00B85EF5">
            <w:pPr>
              <w:pStyle w:val="TableParagraph"/>
              <w:spacing w:before="217"/>
              <w:ind w:left="695"/>
              <w:jc w:val="both"/>
            </w:pPr>
            <w:r w:rsidRPr="005448F6">
              <w:t>C.D.(P=</w:t>
            </w:r>
            <w:r w:rsidRPr="005448F6">
              <w:rPr>
                <w:spacing w:val="-2"/>
              </w:rPr>
              <w:t>0.05)</w:t>
            </w:r>
          </w:p>
        </w:tc>
        <w:tc>
          <w:tcPr>
            <w:tcW w:w="576" w:type="dxa"/>
          </w:tcPr>
          <w:p w14:paraId="25F65D58" w14:textId="77777777" w:rsidR="00905ADD" w:rsidRPr="005448F6" w:rsidRDefault="00905ADD" w:rsidP="00B85EF5">
            <w:pPr>
              <w:pStyle w:val="TableParagraph"/>
              <w:spacing w:before="217"/>
              <w:ind w:right="3"/>
              <w:jc w:val="both"/>
            </w:pPr>
            <w:r>
              <w:t xml:space="preserve">  </w:t>
            </w:r>
            <w:r w:rsidRPr="005448F6">
              <w:t>1.27</w:t>
            </w:r>
          </w:p>
        </w:tc>
        <w:tc>
          <w:tcPr>
            <w:tcW w:w="567" w:type="dxa"/>
          </w:tcPr>
          <w:p w14:paraId="7767C0F9" w14:textId="77777777" w:rsidR="00905ADD" w:rsidRPr="005448F6" w:rsidRDefault="00905ADD" w:rsidP="00B85EF5">
            <w:pPr>
              <w:pStyle w:val="TableParagraph"/>
              <w:spacing w:before="217"/>
              <w:ind w:right="4"/>
              <w:jc w:val="both"/>
            </w:pPr>
            <w:r>
              <w:t xml:space="preserve"> </w:t>
            </w:r>
            <w:r w:rsidRPr="005448F6">
              <w:t>0.72</w:t>
            </w:r>
          </w:p>
        </w:tc>
        <w:tc>
          <w:tcPr>
            <w:tcW w:w="709" w:type="dxa"/>
          </w:tcPr>
          <w:p w14:paraId="6262FFA6" w14:textId="77777777" w:rsidR="00905ADD" w:rsidRPr="005448F6" w:rsidRDefault="00905ADD" w:rsidP="00B85EF5">
            <w:pPr>
              <w:pStyle w:val="TableParagraph"/>
              <w:spacing w:before="217"/>
              <w:ind w:left="7" w:right="11"/>
              <w:jc w:val="both"/>
            </w:pPr>
            <w:r>
              <w:t xml:space="preserve"> </w:t>
            </w:r>
            <w:r w:rsidRPr="005448F6">
              <w:t>0.74</w:t>
            </w:r>
          </w:p>
        </w:tc>
        <w:tc>
          <w:tcPr>
            <w:tcW w:w="567" w:type="dxa"/>
          </w:tcPr>
          <w:p w14:paraId="0AF6726D" w14:textId="77777777" w:rsidR="00905ADD" w:rsidRPr="005448F6" w:rsidRDefault="00905ADD" w:rsidP="00B85EF5">
            <w:pPr>
              <w:pStyle w:val="TableParagraph"/>
              <w:spacing w:before="217"/>
              <w:ind w:left="3" w:right="6"/>
              <w:jc w:val="both"/>
            </w:pPr>
            <w:r>
              <w:t xml:space="preserve"> </w:t>
            </w:r>
            <w:r w:rsidRPr="005448F6">
              <w:t>0.62</w:t>
            </w:r>
          </w:p>
        </w:tc>
        <w:tc>
          <w:tcPr>
            <w:tcW w:w="709" w:type="dxa"/>
            <w:tcBorders>
              <w:right w:val="single" w:sz="6" w:space="0" w:color="000000"/>
            </w:tcBorders>
          </w:tcPr>
          <w:p w14:paraId="2B908163" w14:textId="77777777" w:rsidR="00905ADD" w:rsidRPr="005448F6" w:rsidRDefault="00905ADD" w:rsidP="00B85EF5">
            <w:pPr>
              <w:pStyle w:val="TableParagraph"/>
              <w:spacing w:before="217"/>
              <w:ind w:left="5" w:right="5"/>
              <w:jc w:val="both"/>
            </w:pPr>
            <w:r>
              <w:t xml:space="preserve">  </w:t>
            </w:r>
            <w:r w:rsidRPr="005448F6">
              <w:t>0.59</w:t>
            </w:r>
          </w:p>
        </w:tc>
        <w:tc>
          <w:tcPr>
            <w:tcW w:w="709" w:type="dxa"/>
            <w:tcBorders>
              <w:top w:val="single" w:sz="4" w:space="0" w:color="auto"/>
              <w:bottom w:val="single" w:sz="4" w:space="0" w:color="auto"/>
              <w:right w:val="single" w:sz="4" w:space="0" w:color="auto"/>
            </w:tcBorders>
            <w:shd w:val="clear" w:color="auto" w:fill="auto"/>
          </w:tcPr>
          <w:p w14:paraId="61C078DF" w14:textId="77777777" w:rsidR="00905ADD" w:rsidRDefault="00905ADD" w:rsidP="00B85EF5">
            <w:pPr>
              <w:widowControl/>
              <w:autoSpaceDE/>
              <w:autoSpaceDN/>
              <w:spacing w:after="200"/>
              <w:jc w:val="both"/>
            </w:pPr>
            <w:r>
              <w:t xml:space="preserve"> 0.89</w:t>
            </w:r>
          </w:p>
        </w:tc>
        <w:tc>
          <w:tcPr>
            <w:tcW w:w="567" w:type="dxa"/>
            <w:tcBorders>
              <w:top w:val="single" w:sz="4" w:space="0" w:color="auto"/>
              <w:bottom w:val="single" w:sz="4" w:space="0" w:color="auto"/>
              <w:right w:val="single" w:sz="4" w:space="0" w:color="auto"/>
            </w:tcBorders>
            <w:shd w:val="clear" w:color="auto" w:fill="auto"/>
          </w:tcPr>
          <w:p w14:paraId="2FE9EEE9" w14:textId="77777777" w:rsidR="00905ADD" w:rsidRDefault="00905ADD" w:rsidP="00B85EF5">
            <w:pPr>
              <w:widowControl/>
              <w:autoSpaceDE/>
              <w:autoSpaceDN/>
              <w:spacing w:after="200"/>
              <w:jc w:val="both"/>
            </w:pPr>
            <w:r>
              <w:t xml:space="preserve"> 0.86</w:t>
            </w:r>
          </w:p>
        </w:tc>
        <w:tc>
          <w:tcPr>
            <w:tcW w:w="615" w:type="dxa"/>
            <w:tcBorders>
              <w:top w:val="single" w:sz="4" w:space="0" w:color="auto"/>
              <w:bottom w:val="single" w:sz="4" w:space="0" w:color="auto"/>
              <w:right w:val="single" w:sz="4" w:space="0" w:color="auto"/>
            </w:tcBorders>
            <w:shd w:val="clear" w:color="auto" w:fill="auto"/>
          </w:tcPr>
          <w:p w14:paraId="3C7F29B3" w14:textId="77777777" w:rsidR="00905ADD" w:rsidRDefault="00905ADD" w:rsidP="00B85EF5">
            <w:pPr>
              <w:widowControl/>
              <w:autoSpaceDE/>
              <w:autoSpaceDN/>
              <w:spacing w:after="200"/>
              <w:jc w:val="both"/>
            </w:pPr>
            <w:r>
              <w:t xml:space="preserve"> 0.88</w:t>
            </w:r>
          </w:p>
        </w:tc>
        <w:tc>
          <w:tcPr>
            <w:tcW w:w="797" w:type="dxa"/>
            <w:tcBorders>
              <w:top w:val="single" w:sz="4" w:space="0" w:color="auto"/>
              <w:bottom w:val="single" w:sz="4" w:space="0" w:color="auto"/>
              <w:right w:val="single" w:sz="4" w:space="0" w:color="auto"/>
            </w:tcBorders>
            <w:shd w:val="clear" w:color="auto" w:fill="auto"/>
          </w:tcPr>
          <w:p w14:paraId="756F95AF" w14:textId="77777777" w:rsidR="00905ADD" w:rsidRDefault="00905ADD" w:rsidP="00B85EF5">
            <w:pPr>
              <w:widowControl/>
              <w:autoSpaceDE/>
              <w:autoSpaceDN/>
              <w:spacing w:after="200"/>
              <w:jc w:val="both"/>
            </w:pPr>
            <w:r>
              <w:t xml:space="preserve"> 0.25</w:t>
            </w:r>
          </w:p>
        </w:tc>
        <w:tc>
          <w:tcPr>
            <w:tcW w:w="714" w:type="dxa"/>
            <w:tcBorders>
              <w:top w:val="single" w:sz="4" w:space="0" w:color="auto"/>
              <w:bottom w:val="single" w:sz="4" w:space="0" w:color="auto"/>
              <w:right w:val="single" w:sz="4" w:space="0" w:color="auto"/>
            </w:tcBorders>
            <w:shd w:val="clear" w:color="auto" w:fill="auto"/>
          </w:tcPr>
          <w:p w14:paraId="54CE5CB9" w14:textId="77777777" w:rsidR="00905ADD" w:rsidRDefault="00905ADD" w:rsidP="00B85EF5">
            <w:pPr>
              <w:widowControl/>
              <w:autoSpaceDE/>
              <w:autoSpaceDN/>
              <w:spacing w:after="200"/>
              <w:jc w:val="both"/>
            </w:pPr>
            <w:r>
              <w:t xml:space="preserve"> ----</w:t>
            </w:r>
          </w:p>
        </w:tc>
        <w:tc>
          <w:tcPr>
            <w:tcW w:w="850" w:type="dxa"/>
            <w:tcBorders>
              <w:top w:val="single" w:sz="4" w:space="0" w:color="auto"/>
              <w:bottom w:val="single" w:sz="4" w:space="0" w:color="auto"/>
              <w:right w:val="single" w:sz="4" w:space="0" w:color="auto"/>
            </w:tcBorders>
            <w:shd w:val="clear" w:color="auto" w:fill="auto"/>
          </w:tcPr>
          <w:p w14:paraId="0BC812AE" w14:textId="77777777" w:rsidR="00905ADD" w:rsidRDefault="00905ADD" w:rsidP="00B85EF5">
            <w:pPr>
              <w:widowControl/>
              <w:autoSpaceDE/>
              <w:autoSpaceDN/>
              <w:spacing w:after="200"/>
              <w:jc w:val="both"/>
            </w:pPr>
            <w:r>
              <w:t xml:space="preserve"> ----</w:t>
            </w:r>
          </w:p>
        </w:tc>
      </w:tr>
    </w:tbl>
    <w:p w14:paraId="1F2C08A7" w14:textId="77777777" w:rsidR="00F739FF" w:rsidRPr="00D2394E" w:rsidRDefault="00F739FF" w:rsidP="00F739FF">
      <w:pPr>
        <w:spacing w:after="200" w:line="276" w:lineRule="auto"/>
        <w:rPr>
          <w:color w:val="000000"/>
          <w:sz w:val="24"/>
          <w:szCs w:val="24"/>
          <w:lang w:eastAsia="en-IN" w:bidi="mr-IN"/>
        </w:rPr>
      </w:pPr>
      <w:r w:rsidRPr="00D2394E">
        <w:rPr>
          <w:color w:val="000000"/>
          <w:sz w:val="24"/>
          <w:szCs w:val="24"/>
          <w:lang w:eastAsia="en-IN" w:bidi="mr-IN"/>
        </w:rPr>
        <w:t>DAS- Days after Sowing</w:t>
      </w:r>
    </w:p>
    <w:p w14:paraId="7754ABF5" w14:textId="77777777" w:rsidR="00F739FF" w:rsidRPr="00D2394E" w:rsidRDefault="00F739FF" w:rsidP="00F739FF">
      <w:pPr>
        <w:spacing w:after="200" w:line="276" w:lineRule="auto"/>
        <w:rPr>
          <w:color w:val="000000"/>
          <w:sz w:val="24"/>
          <w:szCs w:val="24"/>
          <w:lang w:eastAsia="en-IN" w:bidi="mr-IN"/>
        </w:rPr>
      </w:pPr>
      <w:r w:rsidRPr="00D2394E">
        <w:rPr>
          <w:color w:val="000000"/>
          <w:sz w:val="24"/>
          <w:szCs w:val="24"/>
          <w:lang w:eastAsia="en-IN" w:bidi="mr-IN"/>
        </w:rPr>
        <w:t xml:space="preserve">DBS- Days before Sowing </w:t>
      </w:r>
    </w:p>
    <w:p w14:paraId="0655C62D" w14:textId="77777777" w:rsidR="00A63686" w:rsidRPr="00905ADD" w:rsidRDefault="00D2394E" w:rsidP="00905ADD">
      <w:pPr>
        <w:pStyle w:val="BodyText"/>
        <w:spacing w:line="360" w:lineRule="auto"/>
        <w:ind w:left="-851" w:right="-1440"/>
        <w:jc w:val="both"/>
      </w:pPr>
      <w:r w:rsidRPr="00D2394E">
        <w:t xml:space="preserve">               NS= Non-significant, S= Significant</w:t>
      </w:r>
    </w:p>
    <w:p w14:paraId="23A05CAE" w14:textId="77777777" w:rsidR="00561C1F" w:rsidRPr="007B26EC" w:rsidRDefault="00A63686" w:rsidP="00A63686">
      <w:pPr>
        <w:pStyle w:val="BodyText"/>
        <w:rPr>
          <w:bCs/>
        </w:rPr>
      </w:pPr>
      <w:r w:rsidRPr="007B26EC">
        <w:rPr>
          <w:bCs/>
          <w:highlight w:val="yellow"/>
        </w:rPr>
        <w:t>1</w:t>
      </w:r>
      <w:r w:rsidRPr="007B26EC">
        <w:rPr>
          <w:bCs/>
          <w:highlight w:val="yellow"/>
          <w:vertAlign w:val="superscript"/>
        </w:rPr>
        <w:t>st</w:t>
      </w:r>
      <w:r w:rsidRPr="007B26EC">
        <w:rPr>
          <w:bCs/>
          <w:highlight w:val="yellow"/>
        </w:rPr>
        <w:t xml:space="preserve"> Spray (% Shoot Infestation)</w:t>
      </w:r>
    </w:p>
    <w:p w14:paraId="5A1038C1" w14:textId="77777777" w:rsidR="00561C1F" w:rsidRDefault="00A63686" w:rsidP="000544DE">
      <w:pPr>
        <w:pStyle w:val="BodyText"/>
        <w:spacing w:line="360" w:lineRule="auto"/>
        <w:jc w:val="both"/>
      </w:pPr>
      <w:r w:rsidRPr="00A63686">
        <w:rPr>
          <w:noProof/>
          <w:lang w:bidi="hi-IN"/>
        </w:rPr>
        <w:lastRenderedPageBreak/>
        <w:drawing>
          <wp:inline distT="0" distB="0" distL="0" distR="0" wp14:anchorId="718FD6A3" wp14:editId="362A3190">
            <wp:extent cx="6147664" cy="3357677"/>
            <wp:effectExtent l="19050" t="0" r="2453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5E3122" w14:textId="77777777" w:rsidR="00A63686" w:rsidRDefault="00905ADD" w:rsidP="00A63686">
      <w:pPr>
        <w:spacing w:before="1" w:line="360" w:lineRule="auto"/>
        <w:jc w:val="both"/>
        <w:rPr>
          <w:b/>
          <w:sz w:val="24"/>
        </w:rPr>
      </w:pPr>
      <w:r>
        <w:rPr>
          <w:b/>
          <w:sz w:val="24"/>
        </w:rPr>
        <w:t xml:space="preserve">Fig 1: </w:t>
      </w:r>
      <w:r w:rsidR="00A63686">
        <w:rPr>
          <w:b/>
          <w:sz w:val="24"/>
        </w:rPr>
        <w:t>To evaluate the efficacy of chemical insecticides and bio-pesticides on infestation of brinjal shoot and fruit borer (</w:t>
      </w:r>
      <w:proofErr w:type="spellStart"/>
      <w:r w:rsidR="00A63686" w:rsidRPr="006932AD">
        <w:rPr>
          <w:b/>
          <w:i/>
          <w:iCs/>
          <w:sz w:val="24"/>
        </w:rPr>
        <w:t>Leucinodes</w:t>
      </w:r>
      <w:proofErr w:type="spellEnd"/>
      <w:r w:rsidR="00A63686">
        <w:rPr>
          <w:b/>
          <w:i/>
          <w:iCs/>
          <w:sz w:val="24"/>
        </w:rPr>
        <w:t xml:space="preserve"> </w:t>
      </w:r>
      <w:proofErr w:type="spellStart"/>
      <w:r w:rsidR="00A63686" w:rsidRPr="006932AD">
        <w:rPr>
          <w:b/>
          <w:i/>
          <w:iCs/>
          <w:sz w:val="24"/>
        </w:rPr>
        <w:t>orbonalis</w:t>
      </w:r>
      <w:proofErr w:type="spellEnd"/>
      <w:r w:rsidR="00A63686">
        <w:rPr>
          <w:b/>
          <w:i/>
          <w:iCs/>
          <w:sz w:val="24"/>
        </w:rPr>
        <w:t xml:space="preserve"> </w:t>
      </w:r>
      <w:proofErr w:type="spellStart"/>
      <w:r w:rsidR="00A63686">
        <w:rPr>
          <w:b/>
          <w:sz w:val="24"/>
        </w:rPr>
        <w:t>Guenee</w:t>
      </w:r>
      <w:proofErr w:type="spellEnd"/>
      <w:r w:rsidR="00A63686">
        <w:rPr>
          <w:b/>
          <w:sz w:val="24"/>
        </w:rPr>
        <w:t>) on Brinjal. (First Spray)</w:t>
      </w:r>
    </w:p>
    <w:p w14:paraId="278FCA35" w14:textId="77777777" w:rsidR="00D2394E" w:rsidRDefault="00D2394E" w:rsidP="000544DE">
      <w:pPr>
        <w:pStyle w:val="BodyText"/>
        <w:spacing w:line="360" w:lineRule="auto"/>
        <w:jc w:val="both"/>
      </w:pPr>
    </w:p>
    <w:p w14:paraId="524D1976" w14:textId="14BE9E5C" w:rsidR="00A63686" w:rsidRPr="00021A21" w:rsidRDefault="00905ADD" w:rsidP="00A63686">
      <w:pPr>
        <w:tabs>
          <w:tab w:val="left" w:pos="1027"/>
        </w:tabs>
        <w:spacing w:before="64"/>
        <w:jc w:val="both"/>
        <w:rPr>
          <w:bCs/>
          <w:color w:val="FFC000"/>
          <w:sz w:val="24"/>
        </w:rPr>
      </w:pPr>
      <w:r w:rsidRPr="00DC0D84">
        <w:rPr>
          <w:bCs/>
          <w:noProof/>
          <w:sz w:val="24"/>
          <w:highlight w:val="yellow"/>
          <w:lang w:bidi="hi-IN"/>
        </w:rPr>
        <w:drawing>
          <wp:anchor distT="0" distB="0" distL="114300" distR="114300" simplePos="0" relativeHeight="251659264" behindDoc="0" locked="0" layoutInCell="1" allowOverlap="1" wp14:anchorId="0BBC2F04" wp14:editId="4D646DCA">
            <wp:simplePos x="0" y="0"/>
            <wp:positionH relativeFrom="column">
              <wp:align>left</wp:align>
            </wp:positionH>
            <wp:positionV relativeFrom="paragraph">
              <wp:posOffset>424815</wp:posOffset>
            </wp:positionV>
            <wp:extent cx="6236335" cy="3467100"/>
            <wp:effectExtent l="19050" t="0" r="12065" b="0"/>
            <wp:wrapSquare wrapText="bothSides"/>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63686" w:rsidRPr="00DC0D84">
        <w:rPr>
          <w:bCs/>
          <w:sz w:val="24"/>
          <w:highlight w:val="yellow"/>
        </w:rPr>
        <w:t>2</w:t>
      </w:r>
      <w:r w:rsidR="00A63686" w:rsidRPr="00DC0D84">
        <w:rPr>
          <w:bCs/>
          <w:sz w:val="24"/>
          <w:highlight w:val="yellow"/>
          <w:vertAlign w:val="superscript"/>
        </w:rPr>
        <w:t>nd</w:t>
      </w:r>
      <w:r w:rsidR="00A63686" w:rsidRPr="00DC0D84">
        <w:rPr>
          <w:bCs/>
          <w:sz w:val="24"/>
          <w:highlight w:val="yellow"/>
        </w:rPr>
        <w:t xml:space="preserve"> Spray (%Fruit Infestation</w:t>
      </w:r>
      <w:r w:rsidR="00DC0D84">
        <w:rPr>
          <w:bCs/>
          <w:sz w:val="24"/>
        </w:rPr>
        <w:t>)</w:t>
      </w:r>
    </w:p>
    <w:p w14:paraId="72D6A545" w14:textId="77777777" w:rsidR="00A63686" w:rsidRPr="00037BC2" w:rsidRDefault="00905ADD" w:rsidP="00A63686">
      <w:pPr>
        <w:tabs>
          <w:tab w:val="left" w:pos="1027"/>
        </w:tabs>
        <w:spacing w:before="64"/>
        <w:jc w:val="both"/>
        <w:rPr>
          <w:bCs/>
          <w:sz w:val="24"/>
        </w:rPr>
      </w:pPr>
      <w:r>
        <w:rPr>
          <w:b/>
          <w:sz w:val="24"/>
        </w:rPr>
        <w:t>Fig2:</w:t>
      </w:r>
      <w:r w:rsidR="00A63686">
        <w:rPr>
          <w:b/>
          <w:sz w:val="24"/>
        </w:rPr>
        <w:t>To evaluate the efficacy of chemical insecticides and bio-pesticides on infestation of brinjal shoot and fruit borer (</w:t>
      </w:r>
      <w:proofErr w:type="spellStart"/>
      <w:r w:rsidR="00A63686" w:rsidRPr="000E7FFA">
        <w:rPr>
          <w:b/>
          <w:i/>
          <w:iCs/>
          <w:sz w:val="24"/>
        </w:rPr>
        <w:t>Leucinodes</w:t>
      </w:r>
      <w:proofErr w:type="spellEnd"/>
      <w:r w:rsidR="00A63686">
        <w:rPr>
          <w:b/>
          <w:i/>
          <w:iCs/>
          <w:sz w:val="24"/>
        </w:rPr>
        <w:t xml:space="preserve"> </w:t>
      </w:r>
      <w:proofErr w:type="spellStart"/>
      <w:r w:rsidR="00A63686" w:rsidRPr="000E7FFA">
        <w:rPr>
          <w:b/>
          <w:i/>
          <w:iCs/>
          <w:sz w:val="24"/>
        </w:rPr>
        <w:t>orbonalis</w:t>
      </w:r>
      <w:proofErr w:type="spellEnd"/>
      <w:r w:rsidR="00A63686">
        <w:rPr>
          <w:b/>
          <w:i/>
          <w:iCs/>
          <w:sz w:val="24"/>
        </w:rPr>
        <w:t xml:space="preserve"> </w:t>
      </w:r>
      <w:proofErr w:type="spellStart"/>
      <w:r w:rsidR="00A63686">
        <w:rPr>
          <w:b/>
          <w:sz w:val="24"/>
        </w:rPr>
        <w:t>Guenee</w:t>
      </w:r>
      <w:proofErr w:type="spellEnd"/>
      <w:r w:rsidR="00A63686">
        <w:rPr>
          <w:b/>
          <w:sz w:val="24"/>
        </w:rPr>
        <w:t>) on Brinjal. (Second Spray)</w:t>
      </w:r>
    </w:p>
    <w:p w14:paraId="2F8F4D5D" w14:textId="77777777" w:rsidR="00E2354F" w:rsidRDefault="00E2354F" w:rsidP="00905ADD">
      <w:pPr>
        <w:pBdr>
          <w:bottom w:val="single" w:sz="4" w:space="1" w:color="auto"/>
        </w:pBdr>
        <w:adjustRightInd w:val="0"/>
        <w:spacing w:line="360" w:lineRule="auto"/>
        <w:jc w:val="center"/>
        <w:rPr>
          <w:b/>
          <w:bCs/>
          <w:color w:val="000000"/>
          <w:sz w:val="28"/>
          <w:szCs w:val="28"/>
        </w:rPr>
      </w:pPr>
    </w:p>
    <w:p w14:paraId="2797C805" w14:textId="77777777" w:rsidR="00905ADD" w:rsidRPr="003073CB" w:rsidRDefault="00905ADD" w:rsidP="00905ADD">
      <w:pPr>
        <w:pBdr>
          <w:bottom w:val="single" w:sz="4" w:space="1" w:color="auto"/>
        </w:pBdr>
        <w:adjustRightInd w:val="0"/>
        <w:spacing w:line="360" w:lineRule="auto"/>
        <w:jc w:val="center"/>
        <w:rPr>
          <w:b/>
          <w:bCs/>
          <w:color w:val="000000"/>
          <w:sz w:val="28"/>
          <w:szCs w:val="28"/>
        </w:rPr>
      </w:pPr>
      <w:r w:rsidRPr="003073CB">
        <w:rPr>
          <w:b/>
          <w:bCs/>
          <w:color w:val="000000"/>
          <w:sz w:val="28"/>
          <w:szCs w:val="28"/>
        </w:rPr>
        <w:lastRenderedPageBreak/>
        <w:t>CONCLUSION</w:t>
      </w:r>
    </w:p>
    <w:p w14:paraId="56DDA982" w14:textId="10D600FD" w:rsidR="00051528" w:rsidRDefault="00AD580C" w:rsidP="00916B01">
      <w:pPr>
        <w:pStyle w:val="NormalWeb"/>
        <w:spacing w:line="360" w:lineRule="auto"/>
        <w:ind w:firstLine="720"/>
        <w:jc w:val="both"/>
      </w:pPr>
      <w:r w:rsidRPr="00FD3D3F">
        <w:rPr>
          <w:highlight w:val="yellow"/>
        </w:rPr>
        <w:t xml:space="preserve">Based on the analysis, selected insecticides and bio-pesticides such as Chlorantraniliprole, </w:t>
      </w:r>
      <w:proofErr w:type="spellStart"/>
      <w:r w:rsidRPr="00FD3D3F">
        <w:rPr>
          <w:i/>
          <w:iCs/>
          <w:highlight w:val="yellow"/>
        </w:rPr>
        <w:t>Emamectin</w:t>
      </w:r>
      <w:proofErr w:type="spellEnd"/>
      <w:r w:rsidRPr="00FD3D3F">
        <w:rPr>
          <w:i/>
          <w:iCs/>
          <w:highlight w:val="yellow"/>
        </w:rPr>
        <w:t xml:space="preserve"> benzoate</w:t>
      </w:r>
      <w:r w:rsidRPr="00FD3D3F">
        <w:rPr>
          <w:highlight w:val="yellow"/>
        </w:rPr>
        <w:t xml:space="preserve"> 5% SG, Spinosad 45% SC, Cypermethrin 25% EC, Beauveria bassiana, NSKE 5%, and Neem have shown promising results against </w:t>
      </w:r>
      <w:proofErr w:type="spellStart"/>
      <w:r w:rsidRPr="00FD3D3F">
        <w:rPr>
          <w:rStyle w:val="Emphasis"/>
          <w:rFonts w:eastAsiaTheme="majorEastAsia"/>
          <w:highlight w:val="yellow"/>
        </w:rPr>
        <w:t>Leucinodes</w:t>
      </w:r>
      <w:proofErr w:type="spellEnd"/>
      <w:r w:rsidRPr="00FD3D3F">
        <w:rPr>
          <w:rStyle w:val="Emphasis"/>
          <w:rFonts w:eastAsiaTheme="majorEastAsia"/>
          <w:highlight w:val="yellow"/>
        </w:rPr>
        <w:t xml:space="preserve"> </w:t>
      </w:r>
      <w:proofErr w:type="spellStart"/>
      <w:r w:rsidRPr="00FD3D3F">
        <w:rPr>
          <w:rStyle w:val="Emphasis"/>
          <w:rFonts w:eastAsiaTheme="majorEastAsia"/>
          <w:highlight w:val="yellow"/>
        </w:rPr>
        <w:t>orbonalis</w:t>
      </w:r>
      <w:proofErr w:type="spellEnd"/>
      <w:r w:rsidRPr="00FD3D3F">
        <w:rPr>
          <w:highlight w:val="yellow"/>
        </w:rPr>
        <w:t>. These can be effectively integrated into pest management strategies to reduce the excessive use of chemical pesticides, which contribute to environmental pollution. Additionally, these treatments are less harmful to beneficial insects and help improve cost efficiency.</w:t>
      </w:r>
    </w:p>
    <w:p w14:paraId="34B65EC7" w14:textId="535ECACA" w:rsidR="00051528" w:rsidRDefault="00051528" w:rsidP="00905ADD">
      <w:pPr>
        <w:pStyle w:val="BodyText"/>
        <w:spacing w:line="360" w:lineRule="auto"/>
        <w:jc w:val="both"/>
      </w:pPr>
    </w:p>
    <w:p w14:paraId="06D41A4A"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Disclaimer (Artificial intelligence)</w:t>
      </w:r>
    </w:p>
    <w:p w14:paraId="12013279"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 xml:space="preserve">Option 1: </w:t>
      </w:r>
    </w:p>
    <w:p w14:paraId="52F9F82A"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AB2438A"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 xml:space="preserve">Option 2: </w:t>
      </w:r>
    </w:p>
    <w:p w14:paraId="03D5EEA3"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308D1A"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Details of the AI usage are given below:</w:t>
      </w:r>
    </w:p>
    <w:p w14:paraId="7EA1E686"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1.</w:t>
      </w:r>
    </w:p>
    <w:p w14:paraId="241598D8" w14:textId="77777777" w:rsidR="00051528" w:rsidRPr="00FE7640" w:rsidRDefault="00051528" w:rsidP="00051528">
      <w:pPr>
        <w:rPr>
          <w:rFonts w:ascii="Calibri" w:eastAsia="Calibri" w:hAnsi="Calibri"/>
          <w:kern w:val="2"/>
          <w:highlight w:val="yellow"/>
        </w:rPr>
      </w:pPr>
      <w:r w:rsidRPr="00FE7640">
        <w:rPr>
          <w:rFonts w:ascii="Calibri" w:eastAsia="Calibri" w:hAnsi="Calibri"/>
          <w:kern w:val="2"/>
          <w:highlight w:val="yellow"/>
        </w:rPr>
        <w:t>2.</w:t>
      </w:r>
    </w:p>
    <w:p w14:paraId="6B955B2D" w14:textId="77777777" w:rsidR="00051528" w:rsidRPr="00FE7640" w:rsidRDefault="00051528" w:rsidP="00051528">
      <w:pPr>
        <w:rPr>
          <w:rFonts w:ascii="Calibri" w:eastAsia="Calibri" w:hAnsi="Calibri"/>
          <w:kern w:val="2"/>
        </w:rPr>
      </w:pPr>
      <w:r w:rsidRPr="00FE7640">
        <w:rPr>
          <w:rFonts w:ascii="Calibri" w:eastAsia="Calibri" w:hAnsi="Calibri"/>
          <w:kern w:val="2"/>
          <w:highlight w:val="yellow"/>
        </w:rPr>
        <w:t>3.</w:t>
      </w:r>
    </w:p>
    <w:p w14:paraId="769680B2" w14:textId="77777777" w:rsidR="00051528" w:rsidRDefault="00051528" w:rsidP="00905ADD">
      <w:pPr>
        <w:pStyle w:val="BodyText"/>
        <w:spacing w:line="360" w:lineRule="auto"/>
        <w:jc w:val="both"/>
      </w:pPr>
    </w:p>
    <w:p w14:paraId="3D4B7465" w14:textId="77777777" w:rsidR="002337D9" w:rsidRDefault="002337D9" w:rsidP="00905ADD">
      <w:pPr>
        <w:pStyle w:val="BodyText"/>
        <w:spacing w:line="360" w:lineRule="auto"/>
        <w:jc w:val="both"/>
      </w:pPr>
    </w:p>
    <w:p w14:paraId="12BD14FF" w14:textId="77777777" w:rsidR="000A0936" w:rsidRPr="00E2354F" w:rsidRDefault="00944A27" w:rsidP="00E2354F">
      <w:pPr>
        <w:pStyle w:val="BodyText"/>
        <w:spacing w:line="360" w:lineRule="auto"/>
        <w:jc w:val="both"/>
      </w:pPr>
      <w:r w:rsidRPr="00E2354F">
        <w:t xml:space="preserve"> </w:t>
      </w:r>
      <w:r w:rsidR="000A0936" w:rsidRPr="00E2354F">
        <w:rPr>
          <w:b/>
          <w:bCs/>
        </w:rPr>
        <w:t>REFRENCES</w:t>
      </w:r>
    </w:p>
    <w:p w14:paraId="7ADB26FE" w14:textId="77777777" w:rsidR="00092917" w:rsidRPr="00E2354F" w:rsidRDefault="00AE7C37" w:rsidP="00E2354F">
      <w:pPr>
        <w:spacing w:after="200" w:line="360" w:lineRule="auto"/>
        <w:jc w:val="both"/>
        <w:rPr>
          <w:rFonts w:eastAsia="Calibri"/>
          <w:b/>
          <w:bCs/>
          <w:sz w:val="24"/>
          <w:szCs w:val="24"/>
        </w:rPr>
      </w:pPr>
      <w:r w:rsidRPr="00E2354F">
        <w:rPr>
          <w:b/>
          <w:bCs/>
          <w:color w:val="222222"/>
          <w:sz w:val="24"/>
          <w:szCs w:val="24"/>
          <w:shd w:val="clear" w:color="auto" w:fill="FFFFFF"/>
        </w:rPr>
        <w:t xml:space="preserve">1. </w:t>
      </w:r>
      <w:r w:rsidR="00092917" w:rsidRPr="00E2354F">
        <w:rPr>
          <w:b/>
          <w:bCs/>
          <w:color w:val="222222"/>
          <w:sz w:val="24"/>
          <w:szCs w:val="24"/>
          <w:shd w:val="clear" w:color="auto" w:fill="FFFFFF"/>
        </w:rPr>
        <w:t>Bhagwan, D. S., &amp; Kumar, A. (2017).</w:t>
      </w:r>
      <w:r w:rsidR="00092917" w:rsidRPr="00E2354F">
        <w:rPr>
          <w:color w:val="222222"/>
          <w:sz w:val="24"/>
          <w:szCs w:val="24"/>
          <w:shd w:val="clear" w:color="auto" w:fill="FFFFFF"/>
        </w:rPr>
        <w:t xml:space="preserve"> Field efficacy of cypermethrin and certain biopesticides against brinjal shoot and fruit borer,(</w:t>
      </w:r>
      <w:proofErr w:type="spellStart"/>
      <w:r w:rsidR="00092917" w:rsidRPr="00E2354F">
        <w:rPr>
          <w:color w:val="222222"/>
          <w:sz w:val="24"/>
          <w:szCs w:val="24"/>
          <w:shd w:val="clear" w:color="auto" w:fill="FFFFFF"/>
        </w:rPr>
        <w:t>Leucinodes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on Brinjal (Solanum melongena L.). </w:t>
      </w:r>
      <w:r w:rsidR="00092917" w:rsidRPr="00E2354F">
        <w:rPr>
          <w:i/>
          <w:iCs/>
          <w:color w:val="222222"/>
          <w:sz w:val="24"/>
          <w:szCs w:val="24"/>
          <w:shd w:val="clear" w:color="auto" w:fill="FFFFFF"/>
        </w:rPr>
        <w:t>Journal of Pharmacognosy and Phytochemistry</w:t>
      </w:r>
      <w:r w:rsidR="00092917" w:rsidRPr="00E2354F">
        <w:rPr>
          <w:color w:val="222222"/>
          <w:sz w:val="24"/>
          <w:szCs w:val="24"/>
          <w:shd w:val="clear" w:color="auto" w:fill="FFFFFF"/>
        </w:rPr>
        <w:t>, </w:t>
      </w:r>
      <w:r w:rsidR="00092917" w:rsidRPr="00E2354F">
        <w:rPr>
          <w:i/>
          <w:iCs/>
          <w:color w:val="222222"/>
          <w:sz w:val="24"/>
          <w:szCs w:val="24"/>
          <w:shd w:val="clear" w:color="auto" w:fill="FFFFFF"/>
        </w:rPr>
        <w:t>6</w:t>
      </w:r>
      <w:r w:rsidR="00092917" w:rsidRPr="00E2354F">
        <w:rPr>
          <w:color w:val="222222"/>
          <w:sz w:val="24"/>
          <w:szCs w:val="24"/>
          <w:shd w:val="clear" w:color="auto" w:fill="FFFFFF"/>
        </w:rPr>
        <w:t>(4), 1930-1933.</w:t>
      </w:r>
    </w:p>
    <w:p w14:paraId="4473CC7E" w14:textId="77777777" w:rsidR="00092917" w:rsidRPr="00E2354F" w:rsidRDefault="00AE7C37" w:rsidP="00E2354F">
      <w:pPr>
        <w:spacing w:after="200" w:line="360" w:lineRule="auto"/>
        <w:ind w:left="567" w:hanging="567"/>
        <w:jc w:val="both"/>
        <w:rPr>
          <w:sz w:val="24"/>
          <w:szCs w:val="24"/>
        </w:rPr>
      </w:pPr>
      <w:r w:rsidRPr="00E2354F">
        <w:rPr>
          <w:b/>
          <w:bCs/>
          <w:color w:val="222222"/>
          <w:sz w:val="24"/>
          <w:szCs w:val="24"/>
          <w:shd w:val="clear" w:color="auto" w:fill="FFFFFF"/>
        </w:rPr>
        <w:t xml:space="preserve">2. </w:t>
      </w:r>
      <w:r w:rsidR="00092917" w:rsidRPr="00E2354F">
        <w:rPr>
          <w:b/>
          <w:bCs/>
          <w:color w:val="222222"/>
          <w:sz w:val="24"/>
          <w:szCs w:val="24"/>
          <w:shd w:val="clear" w:color="auto" w:fill="FFFFFF"/>
        </w:rPr>
        <w:t>Chakraborti, S., &amp; Sarkar, P. (2011).</w:t>
      </w:r>
      <w:r w:rsidR="00092917" w:rsidRPr="00E2354F">
        <w:rPr>
          <w:color w:val="222222"/>
          <w:sz w:val="24"/>
          <w:szCs w:val="24"/>
          <w:shd w:val="clear" w:color="auto" w:fill="FFFFFF"/>
        </w:rPr>
        <w:t xml:space="preserve"> Management of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xml:space="preserve"> on egg plants during the rainy season in India. </w:t>
      </w:r>
      <w:r w:rsidR="00092917" w:rsidRPr="00E2354F">
        <w:rPr>
          <w:i/>
          <w:iCs/>
          <w:color w:val="222222"/>
          <w:sz w:val="24"/>
          <w:szCs w:val="24"/>
          <w:shd w:val="clear" w:color="auto" w:fill="FFFFFF"/>
        </w:rPr>
        <w:t>Journal of Plant Protection Research</w:t>
      </w:r>
      <w:r w:rsidR="00092917" w:rsidRPr="00E2354F">
        <w:rPr>
          <w:color w:val="222222"/>
          <w:sz w:val="24"/>
          <w:szCs w:val="24"/>
          <w:shd w:val="clear" w:color="auto" w:fill="FFFFFF"/>
        </w:rPr>
        <w:t>.</w:t>
      </w:r>
      <w:r w:rsidR="00092917" w:rsidRPr="00E2354F">
        <w:rPr>
          <w:sz w:val="24"/>
          <w:szCs w:val="24"/>
        </w:rPr>
        <w:t xml:space="preserve"> 51 (4):325-8. </w:t>
      </w:r>
    </w:p>
    <w:p w14:paraId="2978DF1B" w14:textId="77777777" w:rsidR="00092917" w:rsidRPr="00E2354F" w:rsidRDefault="00AE7C37" w:rsidP="00E2354F">
      <w:pPr>
        <w:spacing w:after="200" w:line="360" w:lineRule="auto"/>
        <w:ind w:left="567" w:hanging="567"/>
        <w:jc w:val="both"/>
        <w:rPr>
          <w:b/>
          <w:bCs/>
          <w:sz w:val="24"/>
          <w:szCs w:val="24"/>
        </w:rPr>
      </w:pPr>
      <w:r w:rsidRPr="00E2354F">
        <w:rPr>
          <w:b/>
          <w:bCs/>
          <w:color w:val="222222"/>
          <w:sz w:val="24"/>
          <w:szCs w:val="24"/>
          <w:shd w:val="clear" w:color="auto" w:fill="FFFFFF"/>
        </w:rPr>
        <w:t xml:space="preserve">3. </w:t>
      </w:r>
      <w:r w:rsidR="00092917" w:rsidRPr="00E2354F">
        <w:rPr>
          <w:b/>
          <w:bCs/>
          <w:color w:val="222222"/>
          <w:sz w:val="24"/>
          <w:szCs w:val="24"/>
          <w:shd w:val="clear" w:color="auto" w:fill="FFFFFF"/>
        </w:rPr>
        <w:t>Devi, L. L., Ghule, T. M., Chatterjee, M. L., &amp; Senapati, A. K. (2015).</w:t>
      </w:r>
      <w:r w:rsidR="00092917" w:rsidRPr="00E2354F">
        <w:rPr>
          <w:color w:val="222222"/>
          <w:sz w:val="24"/>
          <w:szCs w:val="24"/>
          <w:shd w:val="clear" w:color="auto" w:fill="FFFFFF"/>
        </w:rPr>
        <w:t xml:space="preserve"> Effectiveness of biorational insecticides for the management of brinjal shoot and fruit borer, </w:t>
      </w:r>
      <w:proofErr w:type="spellStart"/>
      <w:r w:rsidR="00092917" w:rsidRPr="00E2354F">
        <w:rPr>
          <w:color w:val="222222"/>
          <w:sz w:val="24"/>
          <w:szCs w:val="24"/>
          <w:shd w:val="clear" w:color="auto" w:fill="FFFFFF"/>
        </w:rPr>
        <w:t>Leucinodes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xml:space="preserve"> and on yield. </w:t>
      </w:r>
      <w:r w:rsidR="00092917" w:rsidRPr="00E2354F">
        <w:rPr>
          <w:i/>
          <w:iCs/>
          <w:color w:val="222222"/>
          <w:sz w:val="24"/>
          <w:szCs w:val="24"/>
          <w:shd w:val="clear" w:color="auto" w:fill="FFFFFF"/>
        </w:rPr>
        <w:t>Ecology, Environment and Conservation</w:t>
      </w:r>
      <w:r w:rsidR="00092917" w:rsidRPr="00E2354F">
        <w:rPr>
          <w:color w:val="222222"/>
          <w:sz w:val="24"/>
          <w:szCs w:val="24"/>
          <w:shd w:val="clear" w:color="auto" w:fill="FFFFFF"/>
        </w:rPr>
        <w:t>, </w:t>
      </w:r>
      <w:r w:rsidR="00092917" w:rsidRPr="00E2354F">
        <w:rPr>
          <w:i/>
          <w:iCs/>
          <w:color w:val="222222"/>
          <w:sz w:val="24"/>
          <w:szCs w:val="24"/>
          <w:shd w:val="clear" w:color="auto" w:fill="FFFFFF"/>
        </w:rPr>
        <w:t>21</w:t>
      </w:r>
      <w:r w:rsidR="00092917" w:rsidRPr="00E2354F">
        <w:rPr>
          <w:color w:val="222222"/>
          <w:sz w:val="24"/>
          <w:szCs w:val="24"/>
          <w:shd w:val="clear" w:color="auto" w:fill="FFFFFF"/>
        </w:rPr>
        <w:t>(2), 783-788.</w:t>
      </w:r>
    </w:p>
    <w:p w14:paraId="1D13E6C7" w14:textId="77777777" w:rsidR="00092917" w:rsidRPr="00E2354F" w:rsidRDefault="00AE7C37" w:rsidP="00E2354F">
      <w:pPr>
        <w:spacing w:after="200" w:line="360" w:lineRule="auto"/>
        <w:ind w:left="567" w:hanging="567"/>
        <w:jc w:val="both"/>
        <w:rPr>
          <w:spacing w:val="-2"/>
          <w:sz w:val="24"/>
          <w:szCs w:val="24"/>
        </w:rPr>
      </w:pPr>
      <w:r w:rsidRPr="00E2354F">
        <w:rPr>
          <w:b/>
          <w:sz w:val="24"/>
          <w:szCs w:val="24"/>
        </w:rPr>
        <w:lastRenderedPageBreak/>
        <w:t xml:space="preserve">4. </w:t>
      </w:r>
      <w:proofErr w:type="spellStart"/>
      <w:r w:rsidR="00092917" w:rsidRPr="00E2354F">
        <w:rPr>
          <w:b/>
          <w:sz w:val="24"/>
          <w:szCs w:val="24"/>
        </w:rPr>
        <w:t>Dongarjal</w:t>
      </w:r>
      <w:proofErr w:type="spellEnd"/>
      <w:r w:rsidR="00092917" w:rsidRPr="00E2354F">
        <w:rPr>
          <w:b/>
          <w:sz w:val="24"/>
          <w:szCs w:val="24"/>
        </w:rPr>
        <w:t xml:space="preserve">, S. B. and Kumar, A. (2017). </w:t>
      </w:r>
      <w:r w:rsidR="00092917" w:rsidRPr="00E2354F">
        <w:rPr>
          <w:sz w:val="24"/>
          <w:szCs w:val="24"/>
        </w:rPr>
        <w:t xml:space="preserve">Field efficacy of cypermethrin and certain bio-pesticides against brinjal shoot and fruit borer, </w:t>
      </w:r>
      <w:proofErr w:type="spellStart"/>
      <w:r w:rsidR="00092917" w:rsidRPr="00E2354F">
        <w:rPr>
          <w:i/>
          <w:sz w:val="24"/>
          <w:szCs w:val="24"/>
        </w:rPr>
        <w:t>Leucinodes</w:t>
      </w:r>
      <w:proofErr w:type="spellEnd"/>
      <w:r w:rsidR="00092917" w:rsidRPr="00E2354F">
        <w:rPr>
          <w:i/>
          <w:sz w:val="24"/>
          <w:szCs w:val="24"/>
        </w:rPr>
        <w:t xml:space="preserve"> </w:t>
      </w:r>
      <w:proofErr w:type="spellStart"/>
      <w:r w:rsidR="00092917" w:rsidRPr="00E2354F">
        <w:rPr>
          <w:i/>
          <w:sz w:val="24"/>
          <w:szCs w:val="24"/>
        </w:rPr>
        <w:t>orbonalis</w:t>
      </w:r>
      <w:proofErr w:type="spellEnd"/>
      <w:r w:rsidR="00092917" w:rsidRPr="00E2354F">
        <w:rPr>
          <w:i/>
          <w:sz w:val="24"/>
          <w:szCs w:val="24"/>
        </w:rPr>
        <w:t xml:space="preserve"> </w:t>
      </w:r>
      <w:r w:rsidR="00092917" w:rsidRPr="00E2354F">
        <w:rPr>
          <w:sz w:val="24"/>
          <w:szCs w:val="24"/>
        </w:rPr>
        <w:t>(</w:t>
      </w:r>
      <w:proofErr w:type="spellStart"/>
      <w:r w:rsidR="00092917" w:rsidRPr="00E2354F">
        <w:rPr>
          <w:sz w:val="24"/>
          <w:szCs w:val="24"/>
        </w:rPr>
        <w:t>Guenee</w:t>
      </w:r>
      <w:proofErr w:type="spellEnd"/>
      <w:r w:rsidR="00092917" w:rsidRPr="00E2354F">
        <w:rPr>
          <w:sz w:val="24"/>
          <w:szCs w:val="24"/>
        </w:rPr>
        <w:t>) on Brinjal (</w:t>
      </w:r>
      <w:r w:rsidR="00092917" w:rsidRPr="00E2354F">
        <w:rPr>
          <w:i/>
          <w:sz w:val="24"/>
          <w:szCs w:val="24"/>
        </w:rPr>
        <w:t xml:space="preserve">Solanum melongena </w:t>
      </w:r>
      <w:r w:rsidR="00092917" w:rsidRPr="00E2354F">
        <w:rPr>
          <w:sz w:val="24"/>
          <w:szCs w:val="24"/>
        </w:rPr>
        <w:t xml:space="preserve">L.) </w:t>
      </w:r>
      <w:r w:rsidR="00092917" w:rsidRPr="00E2354F">
        <w:rPr>
          <w:i/>
          <w:sz w:val="24"/>
          <w:szCs w:val="24"/>
        </w:rPr>
        <w:t xml:space="preserve">Journal of Pharmacognosy and Phytochemistry, </w:t>
      </w:r>
      <w:r w:rsidR="00092917" w:rsidRPr="00E2354F">
        <w:rPr>
          <w:b/>
          <w:sz w:val="24"/>
          <w:szCs w:val="24"/>
        </w:rPr>
        <w:t xml:space="preserve">6 </w:t>
      </w:r>
      <w:r w:rsidR="00092917" w:rsidRPr="00E2354F">
        <w:rPr>
          <w:sz w:val="24"/>
          <w:szCs w:val="24"/>
        </w:rPr>
        <w:t xml:space="preserve">(4): </w:t>
      </w:r>
      <w:r w:rsidR="00092917" w:rsidRPr="00E2354F">
        <w:rPr>
          <w:spacing w:val="-2"/>
          <w:sz w:val="24"/>
          <w:szCs w:val="24"/>
        </w:rPr>
        <w:t>1930-1933.</w:t>
      </w:r>
    </w:p>
    <w:p w14:paraId="1F891D36" w14:textId="77777777" w:rsidR="00092917" w:rsidRPr="00E2354F" w:rsidRDefault="00AE7C37" w:rsidP="00E2354F">
      <w:pPr>
        <w:spacing w:after="200" w:line="360" w:lineRule="auto"/>
        <w:ind w:left="567" w:hanging="567"/>
        <w:jc w:val="both"/>
        <w:rPr>
          <w:color w:val="222222"/>
          <w:sz w:val="24"/>
          <w:szCs w:val="24"/>
          <w:shd w:val="clear" w:color="auto" w:fill="FFFFFF"/>
        </w:rPr>
      </w:pPr>
      <w:r w:rsidRPr="00E2354F">
        <w:rPr>
          <w:b/>
          <w:bCs/>
          <w:color w:val="222222"/>
          <w:sz w:val="24"/>
          <w:szCs w:val="24"/>
          <w:shd w:val="clear" w:color="auto" w:fill="FFFFFF"/>
        </w:rPr>
        <w:t xml:space="preserve">5. </w:t>
      </w:r>
      <w:r w:rsidR="00092917" w:rsidRPr="00E2354F">
        <w:rPr>
          <w:b/>
          <w:bCs/>
          <w:color w:val="222222"/>
          <w:sz w:val="24"/>
          <w:szCs w:val="24"/>
          <w:shd w:val="clear" w:color="auto" w:fill="FFFFFF"/>
        </w:rPr>
        <w:t>Kolhe, P. S., Kumar, A., &amp; Tayde, A. R. (2017).</w:t>
      </w:r>
      <w:r w:rsidR="00092917" w:rsidRPr="00E2354F">
        <w:rPr>
          <w:color w:val="222222"/>
          <w:sz w:val="24"/>
          <w:szCs w:val="24"/>
          <w:shd w:val="clear" w:color="auto" w:fill="FFFFFF"/>
        </w:rPr>
        <w:t xml:space="preserve"> Field Efficacy of Certain Chemicals and Neem Products against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on Brinjal (</w:t>
      </w:r>
      <w:r w:rsidR="00092917" w:rsidRPr="00E2354F">
        <w:rPr>
          <w:i/>
          <w:iCs/>
          <w:color w:val="222222"/>
          <w:sz w:val="24"/>
          <w:szCs w:val="24"/>
          <w:shd w:val="clear" w:color="auto" w:fill="FFFFFF"/>
        </w:rPr>
        <w:t>Solanum melongena</w:t>
      </w:r>
      <w:r w:rsidR="00092917" w:rsidRPr="00E2354F">
        <w:rPr>
          <w:color w:val="222222"/>
          <w:sz w:val="24"/>
          <w:szCs w:val="24"/>
          <w:shd w:val="clear" w:color="auto" w:fill="FFFFFF"/>
        </w:rPr>
        <w:t xml:space="preserve"> L.) in Trans Yamuna Region of Allahabad. </w:t>
      </w:r>
      <w:r w:rsidR="00092917" w:rsidRPr="00E2354F">
        <w:rPr>
          <w:i/>
          <w:iCs/>
          <w:color w:val="222222"/>
          <w:sz w:val="24"/>
          <w:szCs w:val="24"/>
          <w:shd w:val="clear" w:color="auto" w:fill="FFFFFF"/>
        </w:rPr>
        <w:t>International Journal of Current Micro-Biology and Applied Plant Sciences 6 (9): 1320</w:t>
      </w:r>
      <w:r w:rsidR="00092917" w:rsidRPr="00E2354F">
        <w:rPr>
          <w:color w:val="222222"/>
          <w:sz w:val="24"/>
          <w:szCs w:val="24"/>
          <w:shd w:val="clear" w:color="auto" w:fill="FFFFFF"/>
        </w:rPr>
        <w:t>, </w:t>
      </w:r>
      <w:r w:rsidR="00092917" w:rsidRPr="00E2354F">
        <w:rPr>
          <w:i/>
          <w:iCs/>
          <w:color w:val="222222"/>
          <w:sz w:val="24"/>
          <w:szCs w:val="24"/>
          <w:shd w:val="clear" w:color="auto" w:fill="FFFFFF"/>
        </w:rPr>
        <w:t>1327</w:t>
      </w:r>
      <w:r w:rsidR="00092917" w:rsidRPr="00E2354F">
        <w:rPr>
          <w:color w:val="222222"/>
          <w:sz w:val="24"/>
          <w:szCs w:val="24"/>
          <w:shd w:val="clear" w:color="auto" w:fill="FFFFFF"/>
        </w:rPr>
        <w:t>.</w:t>
      </w:r>
    </w:p>
    <w:p w14:paraId="6A326DF1"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6. </w:t>
      </w:r>
      <w:r w:rsidR="00092917" w:rsidRPr="00E2354F">
        <w:rPr>
          <w:b/>
          <w:bCs/>
          <w:sz w:val="24"/>
          <w:szCs w:val="24"/>
        </w:rPr>
        <w:t xml:space="preserve">Kolhe, P. S., </w:t>
      </w:r>
      <w:proofErr w:type="spellStart"/>
      <w:r w:rsidR="00092917" w:rsidRPr="00E2354F">
        <w:rPr>
          <w:b/>
          <w:bCs/>
          <w:sz w:val="24"/>
          <w:szCs w:val="24"/>
        </w:rPr>
        <w:t>Warghat</w:t>
      </w:r>
      <w:proofErr w:type="spellEnd"/>
      <w:r w:rsidR="00092917" w:rsidRPr="00E2354F">
        <w:rPr>
          <w:b/>
          <w:bCs/>
          <w:sz w:val="24"/>
          <w:szCs w:val="24"/>
        </w:rPr>
        <w:t>, A. N., &amp; Mahajan, S. S. (2020).</w:t>
      </w:r>
      <w:r w:rsidR="00092917" w:rsidRPr="00E2354F">
        <w:rPr>
          <w:sz w:val="24"/>
          <w:szCs w:val="24"/>
        </w:rPr>
        <w:t xml:space="preserve"> To study the seasonal incidence of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Guenee</w:t>
      </w:r>
      <w:proofErr w:type="spellEnd"/>
      <w:r w:rsidR="00092917" w:rsidRPr="00E2354F">
        <w:rPr>
          <w:sz w:val="24"/>
          <w:szCs w:val="24"/>
        </w:rPr>
        <w:t>) on brinjal (</w:t>
      </w:r>
      <w:r w:rsidR="00092917" w:rsidRPr="00E2354F">
        <w:rPr>
          <w:rStyle w:val="Emphasis"/>
          <w:sz w:val="24"/>
          <w:szCs w:val="24"/>
        </w:rPr>
        <w:t>Solanum melongena</w:t>
      </w:r>
      <w:r w:rsidR="00092917" w:rsidRPr="00E2354F">
        <w:rPr>
          <w:sz w:val="24"/>
          <w:szCs w:val="24"/>
        </w:rPr>
        <w:t xml:space="preserve"> L.) during Kharif season in Trans Yamuna region of Allahabad. </w:t>
      </w:r>
      <w:r w:rsidR="00092917" w:rsidRPr="00E2354F">
        <w:rPr>
          <w:rStyle w:val="Emphasis"/>
          <w:sz w:val="24"/>
          <w:szCs w:val="24"/>
        </w:rPr>
        <w:t>Journal of Entomology and Zoology Studies, 8</w:t>
      </w:r>
      <w:r w:rsidR="00092917" w:rsidRPr="00E2354F">
        <w:rPr>
          <w:sz w:val="24"/>
          <w:szCs w:val="24"/>
        </w:rPr>
        <w:t>(2), 1917–1921.</w:t>
      </w:r>
    </w:p>
    <w:p w14:paraId="2BB0A1C6"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7. </w:t>
      </w:r>
      <w:r w:rsidR="00092917" w:rsidRPr="00E2354F">
        <w:rPr>
          <w:b/>
          <w:bCs/>
          <w:sz w:val="24"/>
          <w:szCs w:val="24"/>
        </w:rPr>
        <w:t>Kumar, A., &amp; Thakur, S. (2017).</w:t>
      </w:r>
      <w:r w:rsidR="00092917" w:rsidRPr="00E2354F">
        <w:rPr>
          <w:sz w:val="24"/>
          <w:szCs w:val="24"/>
        </w:rPr>
        <w:t xml:space="preserve"> Comparative efficacy of essential oils, neem product and </w:t>
      </w:r>
      <w:r w:rsidR="00092917" w:rsidRPr="00E2354F">
        <w:rPr>
          <w:rStyle w:val="Emphasis"/>
          <w:sz w:val="24"/>
          <w:szCs w:val="24"/>
        </w:rPr>
        <w:t>Beauveria bassiana</w:t>
      </w:r>
      <w:r w:rsidR="00092917" w:rsidRPr="00E2354F">
        <w:rPr>
          <w:sz w:val="24"/>
          <w:szCs w:val="24"/>
        </w:rPr>
        <w:t xml:space="preserve"> against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sz w:val="24"/>
          <w:szCs w:val="24"/>
        </w:rPr>
        <w:t xml:space="preserve"> (Guen.) on brinjal.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5</w:t>
      </w:r>
      <w:r w:rsidR="00092917" w:rsidRPr="00E2354F">
        <w:rPr>
          <w:sz w:val="24"/>
          <w:szCs w:val="24"/>
        </w:rPr>
        <w:t>(4), 306–309.</w:t>
      </w:r>
    </w:p>
    <w:p w14:paraId="323AFFFF"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8. </w:t>
      </w:r>
      <w:r w:rsidR="00092917" w:rsidRPr="00E2354F">
        <w:rPr>
          <w:b/>
          <w:bCs/>
          <w:sz w:val="24"/>
          <w:szCs w:val="24"/>
        </w:rPr>
        <w:t>Lekha, S., Jat, S. K., Swami, H., &amp; Mahla, M. K. (2018).</w:t>
      </w:r>
      <w:r w:rsidR="00092917" w:rsidRPr="00E2354F">
        <w:rPr>
          <w:sz w:val="24"/>
          <w:szCs w:val="24"/>
        </w:rPr>
        <w:t xml:space="preserve"> Bio efficacy of newer insecticide </w:t>
      </w:r>
      <w:proofErr w:type="spellStart"/>
      <w:r w:rsidR="00092917" w:rsidRPr="00E2354F">
        <w:rPr>
          <w:sz w:val="24"/>
          <w:szCs w:val="24"/>
        </w:rPr>
        <w:t>tolfenpyrad</w:t>
      </w:r>
      <w:proofErr w:type="spellEnd"/>
      <w:r w:rsidR="00092917" w:rsidRPr="00E2354F">
        <w:rPr>
          <w:sz w:val="24"/>
          <w:szCs w:val="24"/>
        </w:rPr>
        <w:t xml:space="preserve"> (15% EC) against shoot and fruit borer of brinjal. </w:t>
      </w:r>
      <w:r w:rsidR="00092917" w:rsidRPr="00E2354F">
        <w:rPr>
          <w:rStyle w:val="Emphasis"/>
          <w:sz w:val="24"/>
          <w:szCs w:val="24"/>
        </w:rPr>
        <w:t>Chemistry Science Review &amp; Letters</w:t>
      </w:r>
      <w:r w:rsidR="00092917" w:rsidRPr="00E2354F">
        <w:rPr>
          <w:sz w:val="24"/>
          <w:szCs w:val="24"/>
        </w:rPr>
        <w:t xml:space="preserve">, </w:t>
      </w:r>
      <w:r w:rsidR="00092917" w:rsidRPr="00E2354F">
        <w:rPr>
          <w:rStyle w:val="Emphasis"/>
          <w:sz w:val="24"/>
          <w:szCs w:val="24"/>
        </w:rPr>
        <w:t>7</w:t>
      </w:r>
      <w:r w:rsidR="00092917" w:rsidRPr="00E2354F">
        <w:rPr>
          <w:sz w:val="24"/>
          <w:szCs w:val="24"/>
        </w:rPr>
        <w:t>(26), 625–630.</w:t>
      </w:r>
    </w:p>
    <w:p w14:paraId="1C7BB607"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9. </w:t>
      </w:r>
      <w:proofErr w:type="spellStart"/>
      <w:r w:rsidR="00092917" w:rsidRPr="00E2354F">
        <w:rPr>
          <w:b/>
          <w:bCs/>
          <w:sz w:val="24"/>
          <w:szCs w:val="24"/>
        </w:rPr>
        <w:t>Marmat</w:t>
      </w:r>
      <w:proofErr w:type="spellEnd"/>
      <w:r w:rsidR="00092917" w:rsidRPr="00E2354F">
        <w:rPr>
          <w:b/>
          <w:bCs/>
          <w:sz w:val="24"/>
          <w:szCs w:val="24"/>
        </w:rPr>
        <w:t>, C. S., &amp;Tayde, A. R. (2017).</w:t>
      </w:r>
      <w:r w:rsidR="00092917" w:rsidRPr="00E2354F">
        <w:rPr>
          <w:sz w:val="24"/>
          <w:szCs w:val="24"/>
        </w:rPr>
        <w:t xml:space="preserve"> Efficacy of certain biorationals against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Guenee</w:t>
      </w:r>
      <w:proofErr w:type="spellEnd"/>
      <w:r w:rsidR="00092917" w:rsidRPr="00E2354F">
        <w:rPr>
          <w:sz w:val="24"/>
          <w:szCs w:val="24"/>
        </w:rPr>
        <w:t>) of brinjal (</w:t>
      </w:r>
      <w:r w:rsidR="00092917" w:rsidRPr="00E2354F">
        <w:rPr>
          <w:rStyle w:val="Emphasis"/>
          <w:sz w:val="24"/>
          <w:szCs w:val="24"/>
        </w:rPr>
        <w:t>Solanum melongena</w:t>
      </w:r>
      <w:r w:rsidR="00092917" w:rsidRPr="00E2354F">
        <w:rPr>
          <w:sz w:val="24"/>
          <w:szCs w:val="24"/>
        </w:rPr>
        <w:t xml:space="preserve"> L.). </w:t>
      </w:r>
      <w:r w:rsidR="00092917" w:rsidRPr="00E2354F">
        <w:rPr>
          <w:rStyle w:val="Emphasis"/>
          <w:sz w:val="24"/>
          <w:szCs w:val="24"/>
        </w:rPr>
        <w:t>Journal of Pharmacognosy and Phytochemistry, 6</w:t>
      </w:r>
      <w:r w:rsidR="00092917" w:rsidRPr="00E2354F">
        <w:rPr>
          <w:sz w:val="24"/>
          <w:szCs w:val="24"/>
        </w:rPr>
        <w:t>(4), 1857–1859.</w:t>
      </w:r>
    </w:p>
    <w:p w14:paraId="5102DC98"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10. </w:t>
      </w:r>
      <w:r w:rsidR="00092917" w:rsidRPr="00E2354F">
        <w:rPr>
          <w:b/>
          <w:bCs/>
          <w:sz w:val="24"/>
          <w:szCs w:val="24"/>
        </w:rPr>
        <w:t>Maru, N. K., &amp; Kumar, A. (2018).</w:t>
      </w:r>
      <w:r w:rsidR="00092917" w:rsidRPr="00E2354F">
        <w:rPr>
          <w:sz w:val="24"/>
          <w:szCs w:val="24"/>
        </w:rPr>
        <w:t xml:space="preserve"> Incidence of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r w:rsidR="00092917" w:rsidRPr="00E2354F">
        <w:rPr>
          <w:sz w:val="24"/>
          <w:szCs w:val="24"/>
        </w:rPr>
        <w:t xml:space="preserve">Guen. On brinjal in relation to weather parameters in Allahabad region. </w:t>
      </w:r>
      <w:r w:rsidR="00092917" w:rsidRPr="00E2354F">
        <w:rPr>
          <w:rStyle w:val="Emphasis"/>
          <w:sz w:val="24"/>
          <w:szCs w:val="24"/>
        </w:rPr>
        <w:t>Journal of Plant Development Sciences, 10</w:t>
      </w:r>
      <w:r w:rsidR="00092917" w:rsidRPr="00E2354F">
        <w:rPr>
          <w:sz w:val="24"/>
          <w:szCs w:val="24"/>
        </w:rPr>
        <w:t>(6), 323–330.</w:t>
      </w:r>
    </w:p>
    <w:p w14:paraId="75D599F1"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11. </w:t>
      </w:r>
      <w:r w:rsidR="00092917" w:rsidRPr="00E2354F">
        <w:rPr>
          <w:b/>
          <w:bCs/>
          <w:sz w:val="24"/>
          <w:szCs w:val="24"/>
        </w:rPr>
        <w:t>Mourya, P. K., Chauhan, S., Kumar, P., &amp; Kumar, R. (2023).</w:t>
      </w:r>
      <w:r w:rsidR="00092917" w:rsidRPr="00E2354F">
        <w:rPr>
          <w:sz w:val="24"/>
          <w:szCs w:val="24"/>
        </w:rPr>
        <w:t xml:space="preserve"> Seasonal incidence of sucking insect pests in brinjal (</w:t>
      </w:r>
      <w:r w:rsidR="00092917" w:rsidRPr="00E2354F">
        <w:rPr>
          <w:rStyle w:val="Emphasis"/>
          <w:sz w:val="24"/>
          <w:szCs w:val="24"/>
        </w:rPr>
        <w:t>Solanum melongena</w:t>
      </w:r>
      <w:r w:rsidR="00092917" w:rsidRPr="00E2354F">
        <w:rPr>
          <w:sz w:val="24"/>
          <w:szCs w:val="24"/>
        </w:rPr>
        <w:t xml:space="preserve"> L.). </w:t>
      </w:r>
      <w:r w:rsidR="00092917" w:rsidRPr="00E2354F">
        <w:rPr>
          <w:rStyle w:val="Emphasis"/>
          <w:sz w:val="24"/>
          <w:szCs w:val="24"/>
        </w:rPr>
        <w:t>An International Journal</w:t>
      </w:r>
      <w:r w:rsidR="00092917" w:rsidRPr="00E2354F">
        <w:rPr>
          <w:sz w:val="24"/>
          <w:szCs w:val="24"/>
        </w:rPr>
        <w:t xml:space="preserve">, </w:t>
      </w:r>
      <w:r w:rsidR="00092917" w:rsidRPr="00E2354F">
        <w:rPr>
          <w:rStyle w:val="Emphasis"/>
          <w:sz w:val="24"/>
          <w:szCs w:val="24"/>
        </w:rPr>
        <w:t>15</w:t>
      </w:r>
      <w:r w:rsidR="00092917" w:rsidRPr="00E2354F">
        <w:rPr>
          <w:sz w:val="24"/>
          <w:szCs w:val="24"/>
        </w:rPr>
        <w:t>(8), 515–519</w:t>
      </w:r>
    </w:p>
    <w:p w14:paraId="1E7FB3E1"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12. </w:t>
      </w:r>
      <w:r w:rsidR="00092917" w:rsidRPr="00E2354F">
        <w:rPr>
          <w:b/>
          <w:bCs/>
          <w:sz w:val="24"/>
          <w:szCs w:val="24"/>
        </w:rPr>
        <w:t>Naik, S. G., &amp; Kumar, A. (2023).</w:t>
      </w:r>
      <w:r w:rsidR="00092917" w:rsidRPr="00E2354F">
        <w:rPr>
          <w:sz w:val="24"/>
          <w:szCs w:val="24"/>
        </w:rPr>
        <w:t xml:space="preserve"> Field efficacy and economics of certain chemicals and biopesticides against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w:t>
      </w:r>
      <w:r w:rsidR="00092917" w:rsidRPr="00E2354F">
        <w:rPr>
          <w:rStyle w:val="Emphasis"/>
          <w:sz w:val="24"/>
          <w:szCs w:val="24"/>
        </w:rPr>
        <w:t>The Pharma Innovation Journal</w:t>
      </w:r>
      <w:r w:rsidR="00092917" w:rsidRPr="00E2354F">
        <w:rPr>
          <w:sz w:val="24"/>
          <w:szCs w:val="24"/>
        </w:rPr>
        <w:t xml:space="preserve">, </w:t>
      </w:r>
      <w:r w:rsidR="00092917" w:rsidRPr="00E2354F">
        <w:rPr>
          <w:rStyle w:val="Emphasis"/>
          <w:sz w:val="24"/>
          <w:szCs w:val="24"/>
        </w:rPr>
        <w:t>12</w:t>
      </w:r>
      <w:r w:rsidR="00092917" w:rsidRPr="00E2354F">
        <w:rPr>
          <w:sz w:val="24"/>
          <w:szCs w:val="24"/>
        </w:rPr>
        <w:t>(6), 2937–2940.</w:t>
      </w:r>
    </w:p>
    <w:p w14:paraId="242485FF"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lastRenderedPageBreak/>
        <w:t xml:space="preserve">13. </w:t>
      </w:r>
      <w:r w:rsidR="00092917" w:rsidRPr="00E2354F">
        <w:rPr>
          <w:b/>
          <w:bCs/>
          <w:sz w:val="24"/>
          <w:szCs w:val="24"/>
        </w:rPr>
        <w:t>Palika, S. V., Vidya, S., &amp;Tayde, A. R. (2019).</w:t>
      </w:r>
      <w:r w:rsidR="00092917" w:rsidRPr="00E2354F">
        <w:rPr>
          <w:sz w:val="24"/>
          <w:szCs w:val="24"/>
        </w:rPr>
        <w:t xml:space="preserve"> Field efficacy of some insecticides, neem oil and </w:t>
      </w:r>
      <w:proofErr w:type="spellStart"/>
      <w:r w:rsidR="00092917" w:rsidRPr="00E2354F">
        <w:rPr>
          <w:sz w:val="24"/>
          <w:szCs w:val="24"/>
        </w:rPr>
        <w:t>spinosad</w:t>
      </w:r>
      <w:proofErr w:type="spellEnd"/>
      <w:r w:rsidR="00092917" w:rsidRPr="00E2354F">
        <w:rPr>
          <w:sz w:val="24"/>
          <w:szCs w:val="24"/>
        </w:rPr>
        <w:t xml:space="preserve"> against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sz w:val="24"/>
          <w:szCs w:val="24"/>
        </w:rPr>
        <w:t xml:space="preserve"> (Guen.) on brinjal.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7</w:t>
      </w:r>
      <w:r w:rsidR="00092917" w:rsidRPr="00E2354F">
        <w:rPr>
          <w:sz w:val="24"/>
          <w:szCs w:val="24"/>
        </w:rPr>
        <w:t>(5), 563–566.</w:t>
      </w:r>
    </w:p>
    <w:p w14:paraId="28355783" w14:textId="77777777" w:rsidR="00092917" w:rsidRPr="00E2354F" w:rsidRDefault="00AE7C37" w:rsidP="00E2354F">
      <w:pPr>
        <w:spacing w:after="200" w:line="360" w:lineRule="auto"/>
        <w:ind w:left="567" w:hanging="567"/>
        <w:jc w:val="both"/>
        <w:rPr>
          <w:sz w:val="24"/>
          <w:szCs w:val="24"/>
        </w:rPr>
      </w:pPr>
      <w:r w:rsidRPr="00E2354F">
        <w:rPr>
          <w:b/>
          <w:bCs/>
          <w:sz w:val="24"/>
          <w:szCs w:val="24"/>
        </w:rPr>
        <w:t xml:space="preserve">14. </w:t>
      </w:r>
      <w:r w:rsidR="00092917" w:rsidRPr="00E2354F">
        <w:rPr>
          <w:b/>
          <w:bCs/>
          <w:sz w:val="24"/>
          <w:szCs w:val="24"/>
        </w:rPr>
        <w:t xml:space="preserve">Pandey, S. K., </w:t>
      </w:r>
      <w:proofErr w:type="spellStart"/>
      <w:r w:rsidR="00092917" w:rsidRPr="00E2354F">
        <w:rPr>
          <w:b/>
          <w:bCs/>
          <w:sz w:val="24"/>
          <w:szCs w:val="24"/>
        </w:rPr>
        <w:t>Mandloi</w:t>
      </w:r>
      <w:proofErr w:type="spellEnd"/>
      <w:r w:rsidR="00092917" w:rsidRPr="00E2354F">
        <w:rPr>
          <w:b/>
          <w:bCs/>
          <w:sz w:val="24"/>
          <w:szCs w:val="24"/>
        </w:rPr>
        <w:t>, R., Singh, B., &amp; Verma, A. K. (2023).</w:t>
      </w:r>
      <w:r w:rsidR="00092917" w:rsidRPr="00E2354F">
        <w:rPr>
          <w:sz w:val="24"/>
          <w:szCs w:val="24"/>
        </w:rPr>
        <w:t xml:space="preserve"> Bio-efficacy of newer insecticides against the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sz w:val="24"/>
          <w:szCs w:val="24"/>
        </w:rPr>
        <w:t>) of brinjal (</w:t>
      </w:r>
      <w:r w:rsidR="00092917" w:rsidRPr="00E2354F">
        <w:rPr>
          <w:rStyle w:val="Emphasis"/>
          <w:sz w:val="24"/>
          <w:szCs w:val="24"/>
        </w:rPr>
        <w:t>Solanum melongena</w:t>
      </w:r>
      <w:r w:rsidR="00092917" w:rsidRPr="00E2354F">
        <w:rPr>
          <w:sz w:val="24"/>
          <w:szCs w:val="24"/>
        </w:rPr>
        <w:t xml:space="preserve"> Linn.) Cv. Kavya. </w:t>
      </w:r>
      <w:r w:rsidR="00092917" w:rsidRPr="00E2354F">
        <w:rPr>
          <w:rStyle w:val="Emphasis"/>
          <w:sz w:val="24"/>
          <w:szCs w:val="24"/>
        </w:rPr>
        <w:t>The Pharma Innovation Journal</w:t>
      </w:r>
      <w:r w:rsidR="00092917" w:rsidRPr="00E2354F">
        <w:rPr>
          <w:sz w:val="24"/>
          <w:szCs w:val="24"/>
        </w:rPr>
        <w:t xml:space="preserve">, </w:t>
      </w:r>
      <w:r w:rsidR="00092917" w:rsidRPr="00E2354F">
        <w:rPr>
          <w:rStyle w:val="Emphasis"/>
          <w:sz w:val="24"/>
          <w:szCs w:val="24"/>
        </w:rPr>
        <w:t>12</w:t>
      </w:r>
      <w:r w:rsidR="00092917" w:rsidRPr="00E2354F">
        <w:rPr>
          <w:sz w:val="24"/>
          <w:szCs w:val="24"/>
        </w:rPr>
        <w:t xml:space="preserve">(9), 2451–2454. </w:t>
      </w:r>
    </w:p>
    <w:p w14:paraId="216B0832" w14:textId="77777777" w:rsidR="00092917" w:rsidRPr="00E2354F" w:rsidRDefault="00AE7C37" w:rsidP="00E2354F">
      <w:pPr>
        <w:spacing w:after="200" w:line="360" w:lineRule="auto"/>
        <w:ind w:left="567" w:hanging="567"/>
        <w:jc w:val="both"/>
        <w:rPr>
          <w:i/>
          <w:iCs/>
          <w:color w:val="222222"/>
          <w:sz w:val="24"/>
          <w:szCs w:val="24"/>
          <w:shd w:val="clear" w:color="auto" w:fill="FFFFFF"/>
        </w:rPr>
      </w:pPr>
      <w:r w:rsidRPr="00E2354F">
        <w:rPr>
          <w:b/>
          <w:bCs/>
          <w:color w:val="222222"/>
          <w:sz w:val="24"/>
          <w:szCs w:val="24"/>
          <w:shd w:val="clear" w:color="auto" w:fill="FFFFFF"/>
        </w:rPr>
        <w:t xml:space="preserve">15. </w:t>
      </w:r>
      <w:proofErr w:type="spellStart"/>
      <w:r w:rsidR="00092917" w:rsidRPr="00E2354F">
        <w:rPr>
          <w:b/>
          <w:bCs/>
          <w:color w:val="222222"/>
          <w:sz w:val="24"/>
          <w:szCs w:val="24"/>
          <w:shd w:val="clear" w:color="auto" w:fill="FFFFFF"/>
        </w:rPr>
        <w:t>Paneru</w:t>
      </w:r>
      <w:proofErr w:type="spellEnd"/>
      <w:r w:rsidR="00092917" w:rsidRPr="00E2354F">
        <w:rPr>
          <w:b/>
          <w:bCs/>
          <w:color w:val="222222"/>
          <w:sz w:val="24"/>
          <w:szCs w:val="24"/>
          <w:shd w:val="clear" w:color="auto" w:fill="FFFFFF"/>
        </w:rPr>
        <w:t>, S., Bharati, S., Rijal, S., Regmi, R., Pandit, S., &amp; Bhandari, S. (2020).</w:t>
      </w:r>
      <w:r w:rsidR="00092917" w:rsidRPr="00E2354F">
        <w:rPr>
          <w:color w:val="222222"/>
          <w:sz w:val="24"/>
          <w:szCs w:val="24"/>
          <w:shd w:val="clear" w:color="auto" w:fill="FFFFFF"/>
        </w:rPr>
        <w:t xml:space="preserve"> Efficacy Of Commercial Insecticides Against Fruit </w:t>
      </w:r>
      <w:proofErr w:type="gramStart"/>
      <w:r w:rsidR="00092917" w:rsidRPr="00E2354F">
        <w:rPr>
          <w:color w:val="222222"/>
          <w:sz w:val="24"/>
          <w:szCs w:val="24"/>
          <w:shd w:val="clear" w:color="auto" w:fill="FFFFFF"/>
        </w:rPr>
        <w:t>And</w:t>
      </w:r>
      <w:proofErr w:type="gramEnd"/>
      <w:r w:rsidR="00092917" w:rsidRPr="00E2354F">
        <w:rPr>
          <w:color w:val="222222"/>
          <w:sz w:val="24"/>
          <w:szCs w:val="24"/>
          <w:shd w:val="clear" w:color="auto" w:fill="FFFFFF"/>
        </w:rPr>
        <w:t xml:space="preserve"> Shoot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xml:space="preserve"> </w:t>
      </w:r>
      <w:proofErr w:type="gramStart"/>
      <w:r w:rsidR="00092917" w:rsidRPr="00E2354F">
        <w:rPr>
          <w:color w:val="222222"/>
          <w:sz w:val="24"/>
          <w:szCs w:val="24"/>
          <w:shd w:val="clear" w:color="auto" w:fill="FFFFFF"/>
        </w:rPr>
        <w:t>Of</w:t>
      </w:r>
      <w:proofErr w:type="gramEnd"/>
      <w:r w:rsidR="00092917" w:rsidRPr="00E2354F">
        <w:rPr>
          <w:color w:val="222222"/>
          <w:sz w:val="24"/>
          <w:szCs w:val="24"/>
          <w:shd w:val="clear" w:color="auto" w:fill="FFFFFF"/>
        </w:rPr>
        <w:t xml:space="preserve"> Brinjal, </w:t>
      </w:r>
      <w:r w:rsidR="00092917" w:rsidRPr="00E2354F">
        <w:rPr>
          <w:i/>
          <w:iCs/>
          <w:color w:val="222222"/>
          <w:sz w:val="24"/>
          <w:szCs w:val="24"/>
          <w:shd w:val="clear" w:color="auto" w:fill="FFFFFF"/>
        </w:rPr>
        <w:t>Solanum Melongena</w:t>
      </w:r>
      <w:r w:rsidR="00092917" w:rsidRPr="00E2354F">
        <w:rPr>
          <w:color w:val="222222"/>
          <w:sz w:val="24"/>
          <w:szCs w:val="24"/>
          <w:shd w:val="clear" w:color="auto" w:fill="FFFFFF"/>
        </w:rPr>
        <w:t xml:space="preserve"> L. In Dhading, Nepal. </w:t>
      </w:r>
      <w:r w:rsidR="00092917" w:rsidRPr="00E2354F">
        <w:rPr>
          <w:i/>
          <w:iCs/>
          <w:color w:val="222222"/>
          <w:sz w:val="24"/>
          <w:szCs w:val="24"/>
          <w:shd w:val="clear" w:color="auto" w:fill="FFFFFF"/>
        </w:rPr>
        <w:t xml:space="preserve">Tropical </w:t>
      </w:r>
      <w:proofErr w:type="spellStart"/>
      <w:r w:rsidR="00092917" w:rsidRPr="00E2354F">
        <w:rPr>
          <w:i/>
          <w:iCs/>
          <w:color w:val="222222"/>
          <w:sz w:val="24"/>
          <w:szCs w:val="24"/>
          <w:shd w:val="clear" w:color="auto" w:fill="FFFFFF"/>
        </w:rPr>
        <w:t>Agro</w:t>
      </w:r>
      <w:proofErr w:type="spellEnd"/>
      <w:r w:rsidR="00092917" w:rsidRPr="00E2354F">
        <w:rPr>
          <w:i/>
          <w:iCs/>
          <w:color w:val="222222"/>
          <w:sz w:val="24"/>
          <w:szCs w:val="24"/>
          <w:shd w:val="clear" w:color="auto" w:fill="FFFFFF"/>
        </w:rPr>
        <w:t xml:space="preserve"> biodiversity (TRAB)</w:t>
      </w:r>
      <w:r w:rsidR="00092917" w:rsidRPr="00E2354F">
        <w:rPr>
          <w:color w:val="222222"/>
          <w:sz w:val="24"/>
          <w:szCs w:val="24"/>
          <w:shd w:val="clear" w:color="auto" w:fill="FFFFFF"/>
        </w:rPr>
        <w:t>, </w:t>
      </w:r>
      <w:r w:rsidR="00092917" w:rsidRPr="00E2354F">
        <w:rPr>
          <w:i/>
          <w:iCs/>
          <w:color w:val="222222"/>
          <w:sz w:val="24"/>
          <w:szCs w:val="24"/>
          <w:shd w:val="clear" w:color="auto" w:fill="FFFFFF"/>
        </w:rPr>
        <w:t>1</w:t>
      </w:r>
      <w:r w:rsidR="00092917" w:rsidRPr="00E2354F">
        <w:rPr>
          <w:color w:val="222222"/>
          <w:sz w:val="24"/>
          <w:szCs w:val="24"/>
          <w:shd w:val="clear" w:color="auto" w:fill="FFFFFF"/>
        </w:rPr>
        <w:t>(2), 61-65.</w:t>
      </w:r>
    </w:p>
    <w:p w14:paraId="22262435" w14:textId="77777777"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16. </w:t>
      </w:r>
      <w:r w:rsidR="00092917" w:rsidRPr="00E2354F">
        <w:rPr>
          <w:b/>
          <w:bCs/>
          <w:color w:val="222222"/>
          <w:sz w:val="24"/>
          <w:szCs w:val="24"/>
          <w:shd w:val="clear" w:color="auto" w:fill="FFFFFF"/>
        </w:rPr>
        <w:t>Reddy, C. S. T. S., &amp; Kumar, A. (2022).</w:t>
      </w:r>
      <w:r w:rsidR="00092917" w:rsidRPr="00E2354F">
        <w:rPr>
          <w:color w:val="222222"/>
          <w:sz w:val="24"/>
          <w:szCs w:val="24"/>
          <w:shd w:val="clear" w:color="auto" w:fill="FFFFFF"/>
        </w:rPr>
        <w:t xml:space="preserve"> Efficacy of selected insecticides against brinjal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w:t>
      </w:r>
      <w:r w:rsidR="00092917" w:rsidRPr="00E2354F">
        <w:rPr>
          <w:i/>
          <w:iCs/>
          <w:color w:val="222222"/>
          <w:sz w:val="24"/>
          <w:szCs w:val="24"/>
          <w:shd w:val="clear" w:color="auto" w:fill="FFFFFF"/>
        </w:rPr>
        <w:t>The Pharma Innovation Journal</w:t>
      </w:r>
      <w:r w:rsidR="00092917" w:rsidRPr="00E2354F">
        <w:rPr>
          <w:color w:val="222222"/>
          <w:sz w:val="24"/>
          <w:szCs w:val="24"/>
          <w:shd w:val="clear" w:color="auto" w:fill="FFFFFF"/>
        </w:rPr>
        <w:t>, </w:t>
      </w:r>
      <w:r w:rsidR="00092917" w:rsidRPr="00E2354F">
        <w:rPr>
          <w:i/>
          <w:iCs/>
          <w:color w:val="222222"/>
          <w:sz w:val="24"/>
          <w:szCs w:val="24"/>
          <w:shd w:val="clear" w:color="auto" w:fill="FFFFFF"/>
        </w:rPr>
        <w:t>11</w:t>
      </w:r>
      <w:r w:rsidR="00092917" w:rsidRPr="00E2354F">
        <w:rPr>
          <w:color w:val="222222"/>
          <w:sz w:val="24"/>
          <w:szCs w:val="24"/>
          <w:shd w:val="clear" w:color="auto" w:fill="FFFFFF"/>
        </w:rPr>
        <w:t>(4), 1327-1330.</w:t>
      </w:r>
    </w:p>
    <w:p w14:paraId="2C47C804"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17. </w:t>
      </w:r>
      <w:r w:rsidR="00092917" w:rsidRPr="00E2354F">
        <w:rPr>
          <w:b/>
          <w:bCs/>
          <w:sz w:val="24"/>
          <w:szCs w:val="24"/>
        </w:rPr>
        <w:t>Sahu, P. K., Kumar, A., &amp; Kujur, P. K. (2017).</w:t>
      </w:r>
      <w:r w:rsidR="00092917" w:rsidRPr="00E2354F">
        <w:rPr>
          <w:sz w:val="24"/>
          <w:szCs w:val="24"/>
        </w:rPr>
        <w:t xml:space="preserve"> Eco-friendly management of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in Allahabad, India. </w:t>
      </w:r>
      <w:r w:rsidR="00092917" w:rsidRPr="00E2354F">
        <w:rPr>
          <w:rStyle w:val="Emphasis"/>
          <w:sz w:val="24"/>
          <w:szCs w:val="24"/>
        </w:rPr>
        <w:t>International Journal of Current Microbiology and Applied Sciences</w:t>
      </w:r>
      <w:r w:rsidR="00092917" w:rsidRPr="00E2354F">
        <w:rPr>
          <w:sz w:val="24"/>
          <w:szCs w:val="24"/>
        </w:rPr>
        <w:t xml:space="preserve">, </w:t>
      </w:r>
      <w:r w:rsidR="00092917" w:rsidRPr="00E2354F">
        <w:rPr>
          <w:rStyle w:val="Emphasis"/>
          <w:sz w:val="24"/>
          <w:szCs w:val="24"/>
        </w:rPr>
        <w:t>6</w:t>
      </w:r>
      <w:r w:rsidR="00092917" w:rsidRPr="00E2354F">
        <w:rPr>
          <w:sz w:val="24"/>
          <w:szCs w:val="24"/>
        </w:rPr>
        <w:t>(10), 2814–2818.</w:t>
      </w:r>
    </w:p>
    <w:p w14:paraId="58D11539" w14:textId="77777777" w:rsidR="00092917" w:rsidRPr="00E2354F" w:rsidRDefault="00AE7C37" w:rsidP="00E2354F">
      <w:pPr>
        <w:spacing w:after="200" w:line="360" w:lineRule="auto"/>
        <w:ind w:left="567" w:hanging="567"/>
        <w:jc w:val="both"/>
        <w:rPr>
          <w:spacing w:val="-2"/>
          <w:sz w:val="24"/>
          <w:szCs w:val="24"/>
        </w:rPr>
      </w:pPr>
      <w:r w:rsidRPr="00E2354F">
        <w:rPr>
          <w:b/>
          <w:sz w:val="24"/>
          <w:szCs w:val="24"/>
        </w:rPr>
        <w:t xml:space="preserve">18. </w:t>
      </w:r>
      <w:r w:rsidR="00092917" w:rsidRPr="00E2354F">
        <w:rPr>
          <w:b/>
          <w:sz w:val="24"/>
          <w:szCs w:val="24"/>
        </w:rPr>
        <w:t xml:space="preserve">Sanjana, P. S. V. and Tayde, A. R. (2019). </w:t>
      </w:r>
      <w:r w:rsidR="00092917" w:rsidRPr="00E2354F">
        <w:rPr>
          <w:sz w:val="24"/>
          <w:szCs w:val="24"/>
        </w:rPr>
        <w:t xml:space="preserve">Field efficacy of some insecticides, neem oil and </w:t>
      </w:r>
      <w:proofErr w:type="spellStart"/>
      <w:r w:rsidR="00092917" w:rsidRPr="00E2354F">
        <w:rPr>
          <w:spacing w:val="-2"/>
          <w:sz w:val="24"/>
          <w:szCs w:val="24"/>
        </w:rPr>
        <w:t>spinosad</w:t>
      </w:r>
      <w:proofErr w:type="spellEnd"/>
      <w:r w:rsidR="00092917" w:rsidRPr="00E2354F">
        <w:rPr>
          <w:spacing w:val="-2"/>
          <w:sz w:val="24"/>
          <w:szCs w:val="24"/>
        </w:rPr>
        <w:t xml:space="preserve"> against shoot and fruit borer, </w:t>
      </w:r>
      <w:proofErr w:type="spellStart"/>
      <w:r w:rsidR="00092917" w:rsidRPr="00E2354F">
        <w:rPr>
          <w:i/>
          <w:spacing w:val="-2"/>
          <w:sz w:val="24"/>
          <w:szCs w:val="24"/>
        </w:rPr>
        <w:t>Leucinodes</w:t>
      </w:r>
      <w:proofErr w:type="spellEnd"/>
      <w:r w:rsidR="00092917" w:rsidRPr="00E2354F">
        <w:rPr>
          <w:i/>
          <w:spacing w:val="-2"/>
          <w:sz w:val="24"/>
          <w:szCs w:val="24"/>
        </w:rPr>
        <w:t xml:space="preserve"> </w:t>
      </w:r>
      <w:proofErr w:type="spellStart"/>
      <w:r w:rsidR="00092917" w:rsidRPr="00E2354F">
        <w:rPr>
          <w:i/>
          <w:spacing w:val="-2"/>
          <w:sz w:val="24"/>
          <w:szCs w:val="24"/>
        </w:rPr>
        <w:t>orbonalis</w:t>
      </w:r>
      <w:proofErr w:type="spellEnd"/>
      <w:r w:rsidR="00092917" w:rsidRPr="00E2354F">
        <w:rPr>
          <w:i/>
          <w:spacing w:val="-2"/>
          <w:sz w:val="24"/>
          <w:szCs w:val="24"/>
        </w:rPr>
        <w:t xml:space="preserve"> </w:t>
      </w:r>
      <w:r w:rsidR="00092917" w:rsidRPr="00E2354F">
        <w:rPr>
          <w:spacing w:val="-2"/>
          <w:sz w:val="24"/>
          <w:szCs w:val="24"/>
        </w:rPr>
        <w:t xml:space="preserve">(Guen.) on brinjal. </w:t>
      </w:r>
      <w:r w:rsidR="00092917" w:rsidRPr="00E2354F">
        <w:rPr>
          <w:i/>
          <w:spacing w:val="-2"/>
          <w:sz w:val="24"/>
          <w:szCs w:val="24"/>
        </w:rPr>
        <w:t xml:space="preserve">Journal </w:t>
      </w:r>
      <w:r w:rsidR="00092917" w:rsidRPr="00E2354F">
        <w:rPr>
          <w:i/>
          <w:sz w:val="24"/>
          <w:szCs w:val="24"/>
        </w:rPr>
        <w:t xml:space="preserve">of Entomology and Zoology Studies, </w:t>
      </w:r>
      <w:r w:rsidR="00092917" w:rsidRPr="00E2354F">
        <w:rPr>
          <w:b/>
          <w:sz w:val="24"/>
          <w:szCs w:val="24"/>
        </w:rPr>
        <w:t>7</w:t>
      </w:r>
      <w:r w:rsidR="00092917" w:rsidRPr="00E2354F">
        <w:rPr>
          <w:sz w:val="24"/>
          <w:szCs w:val="24"/>
        </w:rPr>
        <w:t>(5): 563-566.</w:t>
      </w:r>
    </w:p>
    <w:p w14:paraId="68280864" w14:textId="77777777"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19. </w:t>
      </w:r>
      <w:r w:rsidR="00092917" w:rsidRPr="00E2354F">
        <w:rPr>
          <w:b/>
          <w:bCs/>
          <w:color w:val="222222"/>
          <w:sz w:val="24"/>
          <w:szCs w:val="24"/>
          <w:shd w:val="clear" w:color="auto" w:fill="FFFFFF"/>
        </w:rPr>
        <w:t>Sarkar, S. U. R. A. J., Pal, S., Sahoo, S., Laskar, N., &amp; Ghosh, J. O. Y. D. E. B. (2022</w:t>
      </w:r>
      <w:r w:rsidR="00092917" w:rsidRPr="00E2354F">
        <w:rPr>
          <w:color w:val="222222"/>
          <w:sz w:val="24"/>
          <w:szCs w:val="24"/>
          <w:shd w:val="clear" w:color="auto" w:fill="FFFFFF"/>
        </w:rPr>
        <w:t>). Field efficacy study of different biorationals and insecticides against brinjal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under terai region of West Bengal. </w:t>
      </w:r>
      <w:r w:rsidR="00092917" w:rsidRPr="00E2354F">
        <w:rPr>
          <w:i/>
          <w:iCs/>
          <w:color w:val="222222"/>
          <w:sz w:val="24"/>
          <w:szCs w:val="24"/>
          <w:shd w:val="clear" w:color="auto" w:fill="FFFFFF"/>
        </w:rPr>
        <w:t>Uttar Pradesh Journal of Zoology</w:t>
      </w:r>
      <w:r w:rsidR="00092917" w:rsidRPr="00E2354F">
        <w:rPr>
          <w:color w:val="222222"/>
          <w:sz w:val="24"/>
          <w:szCs w:val="24"/>
          <w:shd w:val="clear" w:color="auto" w:fill="FFFFFF"/>
        </w:rPr>
        <w:t>, </w:t>
      </w:r>
      <w:r w:rsidR="00092917" w:rsidRPr="00E2354F">
        <w:rPr>
          <w:i/>
          <w:iCs/>
          <w:color w:val="222222"/>
          <w:sz w:val="24"/>
          <w:szCs w:val="24"/>
          <w:shd w:val="clear" w:color="auto" w:fill="FFFFFF"/>
        </w:rPr>
        <w:t>43</w:t>
      </w:r>
      <w:r w:rsidR="00092917" w:rsidRPr="00E2354F">
        <w:rPr>
          <w:color w:val="222222"/>
          <w:sz w:val="24"/>
          <w:szCs w:val="24"/>
          <w:shd w:val="clear" w:color="auto" w:fill="FFFFFF"/>
        </w:rPr>
        <w:t>, 57-66.</w:t>
      </w:r>
    </w:p>
    <w:p w14:paraId="62D6D89D"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20. </w:t>
      </w:r>
      <w:proofErr w:type="spellStart"/>
      <w:r w:rsidR="00092917" w:rsidRPr="00E2354F">
        <w:rPr>
          <w:b/>
          <w:bCs/>
          <w:sz w:val="24"/>
          <w:szCs w:val="24"/>
        </w:rPr>
        <w:t>Sarsaiya</w:t>
      </w:r>
      <w:proofErr w:type="spellEnd"/>
      <w:r w:rsidR="00092917" w:rsidRPr="00E2354F">
        <w:rPr>
          <w:b/>
          <w:bCs/>
          <w:sz w:val="24"/>
          <w:szCs w:val="24"/>
        </w:rPr>
        <w:t xml:space="preserve">, V., </w:t>
      </w:r>
      <w:proofErr w:type="spellStart"/>
      <w:r w:rsidR="00092917" w:rsidRPr="00E2354F">
        <w:rPr>
          <w:b/>
          <w:bCs/>
          <w:sz w:val="24"/>
          <w:szCs w:val="24"/>
        </w:rPr>
        <w:t>Gangwar</w:t>
      </w:r>
      <w:proofErr w:type="spellEnd"/>
      <w:r w:rsidR="00092917" w:rsidRPr="00E2354F">
        <w:rPr>
          <w:b/>
          <w:bCs/>
          <w:sz w:val="24"/>
          <w:szCs w:val="24"/>
        </w:rPr>
        <w:t xml:space="preserve">, B., Kumar, P., </w:t>
      </w:r>
      <w:proofErr w:type="spellStart"/>
      <w:r w:rsidR="00092917" w:rsidRPr="00E2354F">
        <w:rPr>
          <w:b/>
          <w:bCs/>
          <w:sz w:val="24"/>
          <w:szCs w:val="24"/>
        </w:rPr>
        <w:t>Ahirwar</w:t>
      </w:r>
      <w:proofErr w:type="spellEnd"/>
      <w:r w:rsidR="00092917" w:rsidRPr="00E2354F">
        <w:rPr>
          <w:b/>
          <w:bCs/>
          <w:sz w:val="24"/>
          <w:szCs w:val="24"/>
        </w:rPr>
        <w:t>, G. K., Patel, A. K., &amp; Singh, H. (2020).</w:t>
      </w:r>
      <w:r w:rsidR="00092917" w:rsidRPr="00E2354F">
        <w:rPr>
          <w:sz w:val="24"/>
          <w:szCs w:val="24"/>
        </w:rPr>
        <w:t xml:space="preserve"> Cost benefits analysis of different bio-pesticides used for control of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at Bundelkhand region (Uttar Pradesh).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8</w:t>
      </w:r>
      <w:r w:rsidR="00092917" w:rsidRPr="00E2354F">
        <w:rPr>
          <w:sz w:val="24"/>
          <w:szCs w:val="24"/>
        </w:rPr>
        <w:t>(5), 640–642.</w:t>
      </w:r>
    </w:p>
    <w:p w14:paraId="6740FBA4" w14:textId="77777777" w:rsidR="00092917" w:rsidRPr="00E2354F" w:rsidRDefault="00AE7C37" w:rsidP="00E2354F">
      <w:pPr>
        <w:spacing w:after="200" w:line="360" w:lineRule="auto"/>
        <w:ind w:left="567" w:hanging="567"/>
        <w:jc w:val="both"/>
        <w:rPr>
          <w:spacing w:val="-2"/>
          <w:sz w:val="24"/>
          <w:szCs w:val="24"/>
        </w:rPr>
      </w:pPr>
      <w:r w:rsidRPr="00E2354F">
        <w:rPr>
          <w:b/>
          <w:bCs/>
          <w:color w:val="222222"/>
          <w:sz w:val="24"/>
          <w:szCs w:val="24"/>
          <w:shd w:val="clear" w:color="auto" w:fill="FFFFFF"/>
        </w:rPr>
        <w:t xml:space="preserve">21. </w:t>
      </w:r>
      <w:r w:rsidR="00092917" w:rsidRPr="00E2354F">
        <w:rPr>
          <w:b/>
          <w:bCs/>
          <w:color w:val="222222"/>
          <w:sz w:val="24"/>
          <w:szCs w:val="24"/>
          <w:shd w:val="clear" w:color="auto" w:fill="FFFFFF"/>
        </w:rPr>
        <w:t>Sharma, J. H., &amp; Tayde, A. R. (2017).</w:t>
      </w:r>
      <w:r w:rsidR="00092917" w:rsidRPr="00E2354F">
        <w:rPr>
          <w:color w:val="222222"/>
          <w:sz w:val="24"/>
          <w:szCs w:val="24"/>
          <w:shd w:val="clear" w:color="auto" w:fill="FFFFFF"/>
        </w:rPr>
        <w:t xml:space="preserve"> Evaluation of bio-Rational pesticides, against brinjal fruit and shoot borer, </w:t>
      </w:r>
      <w:proofErr w:type="spellStart"/>
      <w:r w:rsidR="00092917" w:rsidRPr="00E2354F">
        <w:rPr>
          <w:color w:val="222222"/>
          <w:sz w:val="24"/>
          <w:szCs w:val="24"/>
          <w:shd w:val="clear" w:color="auto" w:fill="FFFFFF"/>
        </w:rPr>
        <w:t>Leucinodes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orbonalis</w:t>
      </w:r>
      <w:proofErr w:type="spellEnd"/>
      <w:r w:rsidR="00092917" w:rsidRPr="00E2354F">
        <w:rPr>
          <w:color w:val="222222"/>
          <w:sz w:val="24"/>
          <w:szCs w:val="24"/>
          <w:shd w:val="clear" w:color="auto" w:fill="FFFFFF"/>
        </w:rPr>
        <w:t xml:space="preserve"> Guen. on brinjal at Allahabad </w:t>
      </w:r>
      <w:proofErr w:type="spellStart"/>
      <w:r w:rsidR="00092917" w:rsidRPr="00E2354F">
        <w:rPr>
          <w:color w:val="222222"/>
          <w:sz w:val="24"/>
          <w:szCs w:val="24"/>
          <w:shd w:val="clear" w:color="auto" w:fill="FFFFFF"/>
        </w:rPr>
        <w:t>agro</w:t>
      </w:r>
      <w:proofErr w:type="spellEnd"/>
      <w:r w:rsidR="00092917" w:rsidRPr="00E2354F">
        <w:rPr>
          <w:color w:val="222222"/>
          <w:sz w:val="24"/>
          <w:szCs w:val="24"/>
          <w:shd w:val="clear" w:color="auto" w:fill="FFFFFF"/>
        </w:rPr>
        <w:t xml:space="preserve"> climatic region. </w:t>
      </w:r>
      <w:r w:rsidR="00092917" w:rsidRPr="00E2354F">
        <w:rPr>
          <w:i/>
          <w:iCs/>
          <w:color w:val="222222"/>
          <w:sz w:val="24"/>
          <w:szCs w:val="24"/>
          <w:shd w:val="clear" w:color="auto" w:fill="FFFFFF"/>
        </w:rPr>
        <w:t xml:space="preserve">International Journal of Current Microbiology and Applied </w:t>
      </w:r>
      <w:r w:rsidR="00092917" w:rsidRPr="00E2354F">
        <w:rPr>
          <w:i/>
          <w:iCs/>
          <w:color w:val="222222"/>
          <w:sz w:val="24"/>
          <w:szCs w:val="24"/>
          <w:shd w:val="clear" w:color="auto" w:fill="FFFFFF"/>
        </w:rPr>
        <w:lastRenderedPageBreak/>
        <w:t>Sciences</w:t>
      </w:r>
      <w:r w:rsidR="00092917" w:rsidRPr="00E2354F">
        <w:rPr>
          <w:color w:val="222222"/>
          <w:sz w:val="24"/>
          <w:szCs w:val="24"/>
          <w:shd w:val="clear" w:color="auto" w:fill="FFFFFF"/>
        </w:rPr>
        <w:t>, </w:t>
      </w:r>
      <w:r w:rsidR="00092917" w:rsidRPr="00E2354F">
        <w:rPr>
          <w:i/>
          <w:iCs/>
          <w:color w:val="222222"/>
          <w:sz w:val="24"/>
          <w:szCs w:val="24"/>
          <w:shd w:val="clear" w:color="auto" w:fill="FFFFFF"/>
        </w:rPr>
        <w:t>6</w:t>
      </w:r>
      <w:r w:rsidR="00092917" w:rsidRPr="00E2354F">
        <w:rPr>
          <w:color w:val="222222"/>
          <w:sz w:val="24"/>
          <w:szCs w:val="24"/>
          <w:shd w:val="clear" w:color="auto" w:fill="FFFFFF"/>
        </w:rPr>
        <w:t>(6), 2049-2054.</w:t>
      </w:r>
    </w:p>
    <w:p w14:paraId="43029F0A" w14:textId="77777777" w:rsidR="00092917" w:rsidRPr="00E2354F" w:rsidRDefault="00AE7C37" w:rsidP="00E2354F">
      <w:pPr>
        <w:spacing w:after="200" w:line="360" w:lineRule="auto"/>
        <w:ind w:left="567" w:hanging="567"/>
        <w:jc w:val="both"/>
        <w:rPr>
          <w:spacing w:val="-2"/>
          <w:sz w:val="24"/>
          <w:szCs w:val="24"/>
        </w:rPr>
      </w:pPr>
      <w:r w:rsidRPr="00E2354F">
        <w:rPr>
          <w:b/>
          <w:bCs/>
          <w:sz w:val="24"/>
          <w:szCs w:val="24"/>
        </w:rPr>
        <w:t xml:space="preserve">22. </w:t>
      </w:r>
      <w:proofErr w:type="spellStart"/>
      <w:r w:rsidR="00092917" w:rsidRPr="00E2354F">
        <w:rPr>
          <w:b/>
          <w:bCs/>
          <w:sz w:val="24"/>
          <w:szCs w:val="24"/>
        </w:rPr>
        <w:t>Shyamrao</w:t>
      </w:r>
      <w:proofErr w:type="spellEnd"/>
      <w:r w:rsidR="00092917" w:rsidRPr="00E2354F">
        <w:rPr>
          <w:b/>
          <w:bCs/>
          <w:sz w:val="24"/>
          <w:szCs w:val="24"/>
        </w:rPr>
        <w:t>, N. J., Kumar, A., Patil, A. A., &amp;</w:t>
      </w:r>
      <w:proofErr w:type="spellStart"/>
      <w:r w:rsidR="00092917" w:rsidRPr="00E2354F">
        <w:rPr>
          <w:b/>
          <w:bCs/>
          <w:sz w:val="24"/>
          <w:szCs w:val="24"/>
        </w:rPr>
        <w:t>Narode</w:t>
      </w:r>
      <w:proofErr w:type="spellEnd"/>
      <w:r w:rsidR="00092917" w:rsidRPr="00E2354F">
        <w:rPr>
          <w:b/>
          <w:bCs/>
          <w:sz w:val="24"/>
          <w:szCs w:val="24"/>
        </w:rPr>
        <w:t xml:space="preserve">, M. K. (2018). </w:t>
      </w:r>
      <w:r w:rsidR="00092917" w:rsidRPr="00E2354F">
        <w:rPr>
          <w:sz w:val="24"/>
          <w:szCs w:val="24"/>
        </w:rPr>
        <w:t>Efficacy of certain insecticides and bio-pesticides against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Guenee</w:t>
      </w:r>
      <w:proofErr w:type="spellEnd"/>
      <w:r w:rsidR="00092917" w:rsidRPr="00E2354F">
        <w:rPr>
          <w:sz w:val="24"/>
          <w:szCs w:val="24"/>
        </w:rPr>
        <w:t xml:space="preserve">). </w:t>
      </w:r>
      <w:r w:rsidR="00092917" w:rsidRPr="00E2354F">
        <w:rPr>
          <w:rStyle w:val="Emphasis"/>
          <w:sz w:val="24"/>
          <w:szCs w:val="24"/>
        </w:rPr>
        <w:t>Journal of Entomology and Zoology Studies</w:t>
      </w:r>
      <w:r w:rsidR="00092917" w:rsidRPr="00E2354F">
        <w:rPr>
          <w:sz w:val="24"/>
          <w:szCs w:val="24"/>
        </w:rPr>
        <w:t xml:space="preserve">, </w:t>
      </w:r>
      <w:r w:rsidR="00092917" w:rsidRPr="00E2354F">
        <w:rPr>
          <w:rStyle w:val="Emphasis"/>
          <w:sz w:val="24"/>
          <w:szCs w:val="24"/>
        </w:rPr>
        <w:t>6</w:t>
      </w:r>
      <w:r w:rsidR="00092917" w:rsidRPr="00E2354F">
        <w:rPr>
          <w:sz w:val="24"/>
          <w:szCs w:val="24"/>
        </w:rPr>
        <w:t>(5), 292–295.</w:t>
      </w:r>
    </w:p>
    <w:p w14:paraId="569C2204" w14:textId="77777777" w:rsidR="00092917" w:rsidRPr="00E2354F" w:rsidRDefault="005B3537" w:rsidP="00E2354F">
      <w:pPr>
        <w:spacing w:after="200" w:line="360" w:lineRule="auto"/>
        <w:ind w:left="567" w:hanging="567"/>
        <w:jc w:val="both"/>
        <w:rPr>
          <w:spacing w:val="-2"/>
          <w:sz w:val="24"/>
          <w:szCs w:val="24"/>
        </w:rPr>
      </w:pPr>
      <w:r w:rsidRPr="00E2354F">
        <w:rPr>
          <w:b/>
          <w:sz w:val="24"/>
          <w:szCs w:val="24"/>
        </w:rPr>
        <w:t>23.</w:t>
      </w:r>
      <w:r w:rsidR="005C4BA4" w:rsidRPr="00E2354F">
        <w:rPr>
          <w:b/>
          <w:sz w:val="24"/>
          <w:szCs w:val="24"/>
        </w:rPr>
        <w:t xml:space="preserve"> </w:t>
      </w:r>
      <w:r w:rsidR="00092917" w:rsidRPr="00E2354F">
        <w:rPr>
          <w:b/>
          <w:sz w:val="24"/>
          <w:szCs w:val="24"/>
        </w:rPr>
        <w:t xml:space="preserve">Singh, J. P., Singh, R. and Singh, S. (2018). </w:t>
      </w:r>
      <w:r w:rsidR="00092917" w:rsidRPr="00E2354F">
        <w:rPr>
          <w:sz w:val="24"/>
          <w:szCs w:val="24"/>
        </w:rPr>
        <w:t xml:space="preserve">Efficacy of newer insecticides and bio-pesticides against shoot and fruit borer, </w:t>
      </w:r>
      <w:proofErr w:type="spellStart"/>
      <w:r w:rsidR="00092917" w:rsidRPr="00E2354F">
        <w:rPr>
          <w:i/>
          <w:sz w:val="24"/>
          <w:szCs w:val="24"/>
        </w:rPr>
        <w:t>Leucinodes</w:t>
      </w:r>
      <w:proofErr w:type="spellEnd"/>
      <w:r w:rsidR="00092917" w:rsidRPr="00E2354F">
        <w:rPr>
          <w:i/>
          <w:sz w:val="24"/>
          <w:szCs w:val="24"/>
        </w:rPr>
        <w:t xml:space="preserve"> </w:t>
      </w:r>
      <w:proofErr w:type="spellStart"/>
      <w:r w:rsidR="00092917" w:rsidRPr="00E2354F">
        <w:rPr>
          <w:i/>
          <w:sz w:val="24"/>
          <w:szCs w:val="24"/>
        </w:rPr>
        <w:t>orbonalis</w:t>
      </w:r>
      <w:proofErr w:type="spellEnd"/>
      <w:r w:rsidR="00092917" w:rsidRPr="00E2354F">
        <w:rPr>
          <w:i/>
          <w:sz w:val="24"/>
          <w:szCs w:val="24"/>
        </w:rPr>
        <w:t xml:space="preserve"> </w:t>
      </w:r>
      <w:proofErr w:type="spellStart"/>
      <w:r w:rsidR="00092917" w:rsidRPr="00E2354F">
        <w:rPr>
          <w:sz w:val="24"/>
          <w:szCs w:val="24"/>
        </w:rPr>
        <w:t>Guenee</w:t>
      </w:r>
      <w:proofErr w:type="spellEnd"/>
      <w:r w:rsidR="00092917" w:rsidRPr="00E2354F">
        <w:rPr>
          <w:sz w:val="24"/>
          <w:szCs w:val="24"/>
        </w:rPr>
        <w:t xml:space="preserve"> brinjal (</w:t>
      </w:r>
      <w:r w:rsidR="00092917" w:rsidRPr="00E2354F">
        <w:rPr>
          <w:i/>
          <w:sz w:val="24"/>
          <w:szCs w:val="24"/>
        </w:rPr>
        <w:t xml:space="preserve">Solanum melongena </w:t>
      </w:r>
      <w:r w:rsidR="00092917" w:rsidRPr="00E2354F">
        <w:rPr>
          <w:sz w:val="24"/>
          <w:szCs w:val="24"/>
        </w:rPr>
        <w:t xml:space="preserve">Linnaeus) </w:t>
      </w:r>
      <w:r w:rsidR="00092917" w:rsidRPr="00E2354F">
        <w:rPr>
          <w:i/>
          <w:sz w:val="24"/>
          <w:szCs w:val="24"/>
        </w:rPr>
        <w:t>Journal of Pharmacognosy and Phytochemistry</w:t>
      </w:r>
      <w:r w:rsidR="00092917" w:rsidRPr="00E2354F">
        <w:rPr>
          <w:sz w:val="24"/>
          <w:szCs w:val="24"/>
        </w:rPr>
        <w:t>, SP2: 339-347.</w:t>
      </w:r>
    </w:p>
    <w:p w14:paraId="3ED1D60F" w14:textId="77777777" w:rsidR="00092917" w:rsidRPr="00E2354F" w:rsidRDefault="005B3537" w:rsidP="00E2354F">
      <w:pPr>
        <w:spacing w:after="200" w:line="360" w:lineRule="auto"/>
        <w:ind w:left="567" w:hanging="567"/>
        <w:jc w:val="both"/>
        <w:rPr>
          <w:b/>
          <w:bCs/>
          <w:sz w:val="24"/>
          <w:szCs w:val="24"/>
        </w:rPr>
      </w:pPr>
      <w:r w:rsidRPr="00E2354F">
        <w:rPr>
          <w:b/>
          <w:bCs/>
          <w:color w:val="222222"/>
          <w:sz w:val="24"/>
          <w:szCs w:val="24"/>
          <w:shd w:val="clear" w:color="auto" w:fill="FFFFFF"/>
        </w:rPr>
        <w:t>24.</w:t>
      </w:r>
      <w:r w:rsidR="00AE7C37" w:rsidRPr="00E2354F">
        <w:rPr>
          <w:b/>
          <w:bCs/>
          <w:color w:val="222222"/>
          <w:sz w:val="24"/>
          <w:szCs w:val="24"/>
          <w:shd w:val="clear" w:color="auto" w:fill="FFFFFF"/>
        </w:rPr>
        <w:t xml:space="preserve"> </w:t>
      </w:r>
      <w:r w:rsidR="00092917" w:rsidRPr="00E2354F">
        <w:rPr>
          <w:b/>
          <w:bCs/>
          <w:color w:val="222222"/>
          <w:sz w:val="24"/>
          <w:szCs w:val="24"/>
          <w:shd w:val="clear" w:color="auto" w:fill="FFFFFF"/>
        </w:rPr>
        <w:t>Tripura, A., Chatterjee, M. L., Pande, R., &amp; Patra, S. (2017).</w:t>
      </w:r>
      <w:r w:rsidR="00092917" w:rsidRPr="00E2354F">
        <w:rPr>
          <w:color w:val="222222"/>
          <w:sz w:val="24"/>
          <w:szCs w:val="24"/>
          <w:shd w:val="clear" w:color="auto" w:fill="FFFFFF"/>
        </w:rPr>
        <w:t xml:space="preserve"> Biorational management of brinjal shoot and fruit borer (</w:t>
      </w:r>
      <w:proofErr w:type="spellStart"/>
      <w:r w:rsidR="00092917" w:rsidRPr="00E2354F">
        <w:rPr>
          <w:i/>
          <w:iCs/>
          <w:color w:val="222222"/>
          <w:sz w:val="24"/>
          <w:szCs w:val="24"/>
          <w:shd w:val="clear" w:color="auto" w:fill="FFFFFF"/>
        </w:rPr>
        <w:t>Leucinodes</w:t>
      </w:r>
      <w:proofErr w:type="spellEnd"/>
      <w:r w:rsidR="00092917" w:rsidRPr="00E2354F">
        <w:rPr>
          <w:i/>
          <w:iCs/>
          <w:color w:val="222222"/>
          <w:sz w:val="24"/>
          <w:szCs w:val="24"/>
          <w:shd w:val="clear" w:color="auto" w:fill="FFFFFF"/>
        </w:rPr>
        <w:t xml:space="preserve"> </w:t>
      </w:r>
      <w:proofErr w:type="spellStart"/>
      <w:r w:rsidR="00092917" w:rsidRPr="00E2354F">
        <w:rPr>
          <w:i/>
          <w:iCs/>
          <w:color w:val="222222"/>
          <w:sz w:val="24"/>
          <w:szCs w:val="24"/>
          <w:shd w:val="clear" w:color="auto" w:fill="FFFFFF"/>
        </w:rPr>
        <w:t>orbonalis</w:t>
      </w:r>
      <w:proofErr w:type="spellEnd"/>
      <w:r w:rsidR="00092917" w:rsidRPr="00E2354F">
        <w:rPr>
          <w:color w:val="222222"/>
          <w:sz w:val="24"/>
          <w:szCs w:val="24"/>
          <w:shd w:val="clear" w:color="auto" w:fill="FFFFFF"/>
        </w:rPr>
        <w:t xml:space="preserve"> </w:t>
      </w:r>
      <w:proofErr w:type="spellStart"/>
      <w:r w:rsidR="00092917" w:rsidRPr="00E2354F">
        <w:rPr>
          <w:color w:val="222222"/>
          <w:sz w:val="24"/>
          <w:szCs w:val="24"/>
          <w:shd w:val="clear" w:color="auto" w:fill="FFFFFF"/>
        </w:rPr>
        <w:t>Guenee</w:t>
      </w:r>
      <w:proofErr w:type="spellEnd"/>
      <w:r w:rsidR="00092917" w:rsidRPr="00E2354F">
        <w:rPr>
          <w:color w:val="222222"/>
          <w:sz w:val="24"/>
          <w:szCs w:val="24"/>
          <w:shd w:val="clear" w:color="auto" w:fill="FFFFFF"/>
        </w:rPr>
        <w:t>) in mid hills of Meghalaya. </w:t>
      </w:r>
      <w:r w:rsidR="00092917" w:rsidRPr="00E2354F">
        <w:rPr>
          <w:i/>
          <w:iCs/>
          <w:color w:val="222222"/>
          <w:sz w:val="24"/>
          <w:szCs w:val="24"/>
          <w:shd w:val="clear" w:color="auto" w:fill="FFFFFF"/>
        </w:rPr>
        <w:t>Journal of Entomology and Zoology Studies</w:t>
      </w:r>
      <w:r w:rsidR="00092917" w:rsidRPr="00E2354F">
        <w:rPr>
          <w:color w:val="222222"/>
          <w:sz w:val="24"/>
          <w:szCs w:val="24"/>
          <w:shd w:val="clear" w:color="auto" w:fill="FFFFFF"/>
        </w:rPr>
        <w:t>, </w:t>
      </w:r>
      <w:r w:rsidR="00092917" w:rsidRPr="00E2354F">
        <w:rPr>
          <w:i/>
          <w:iCs/>
          <w:color w:val="222222"/>
          <w:sz w:val="24"/>
          <w:szCs w:val="24"/>
          <w:shd w:val="clear" w:color="auto" w:fill="FFFFFF"/>
        </w:rPr>
        <w:t>5</w:t>
      </w:r>
      <w:r w:rsidR="00092917" w:rsidRPr="00E2354F">
        <w:rPr>
          <w:color w:val="222222"/>
          <w:sz w:val="24"/>
          <w:szCs w:val="24"/>
          <w:shd w:val="clear" w:color="auto" w:fill="FFFFFF"/>
        </w:rPr>
        <w:t>(4), 41-45.</w:t>
      </w:r>
    </w:p>
    <w:p w14:paraId="130DD8CA" w14:textId="77777777" w:rsidR="00092917" w:rsidRPr="00E2354F" w:rsidRDefault="005B3537" w:rsidP="00E2354F">
      <w:pPr>
        <w:spacing w:after="200" w:line="360" w:lineRule="auto"/>
        <w:ind w:left="567" w:hanging="567"/>
        <w:jc w:val="both"/>
        <w:rPr>
          <w:b/>
          <w:bCs/>
          <w:sz w:val="24"/>
          <w:szCs w:val="24"/>
        </w:rPr>
      </w:pPr>
      <w:r w:rsidRPr="00E2354F">
        <w:rPr>
          <w:b/>
          <w:bCs/>
          <w:sz w:val="24"/>
          <w:szCs w:val="24"/>
        </w:rPr>
        <w:t>25</w:t>
      </w:r>
      <w:r w:rsidR="00AE7C37" w:rsidRPr="00E2354F">
        <w:rPr>
          <w:b/>
          <w:bCs/>
          <w:sz w:val="24"/>
          <w:szCs w:val="24"/>
        </w:rPr>
        <w:t xml:space="preserve">. </w:t>
      </w:r>
      <w:r w:rsidR="00092917" w:rsidRPr="00E2354F">
        <w:rPr>
          <w:b/>
          <w:bCs/>
          <w:sz w:val="24"/>
          <w:szCs w:val="24"/>
        </w:rPr>
        <w:t>Yadav R., Lyall H., Kumar S. and Sanp R.K. (2015).</w:t>
      </w:r>
      <w:r w:rsidR="00092917" w:rsidRPr="00E2354F">
        <w:rPr>
          <w:sz w:val="24"/>
          <w:szCs w:val="24"/>
        </w:rPr>
        <w:t xml:space="preserve"> Efficacy of certain botanical insecticides against shoot and fruit borer, (</w:t>
      </w:r>
      <w:proofErr w:type="spellStart"/>
      <w:r w:rsidR="00092917" w:rsidRPr="00E2354F">
        <w:rPr>
          <w:i/>
          <w:iCs/>
          <w:sz w:val="24"/>
          <w:szCs w:val="24"/>
        </w:rPr>
        <w:t>Leucinodes</w:t>
      </w:r>
      <w:proofErr w:type="spellEnd"/>
      <w:r w:rsidR="00092917" w:rsidRPr="00E2354F">
        <w:rPr>
          <w:i/>
          <w:iCs/>
          <w:sz w:val="24"/>
          <w:szCs w:val="24"/>
        </w:rPr>
        <w:t xml:space="preserve"> </w:t>
      </w:r>
      <w:proofErr w:type="spellStart"/>
      <w:r w:rsidR="00092917" w:rsidRPr="00E2354F">
        <w:rPr>
          <w:i/>
          <w:iCs/>
          <w:sz w:val="24"/>
          <w:szCs w:val="24"/>
        </w:rPr>
        <w:t>orbonalis</w:t>
      </w:r>
      <w:proofErr w:type="spellEnd"/>
      <w:r w:rsidR="00092917" w:rsidRPr="00E2354F">
        <w:rPr>
          <w:sz w:val="24"/>
          <w:szCs w:val="24"/>
        </w:rPr>
        <w:t xml:space="preserve"> </w:t>
      </w:r>
      <w:proofErr w:type="spellStart"/>
      <w:r w:rsidR="00092917" w:rsidRPr="00E2354F">
        <w:rPr>
          <w:sz w:val="24"/>
          <w:szCs w:val="24"/>
        </w:rPr>
        <w:t>Guenee</w:t>
      </w:r>
      <w:proofErr w:type="spellEnd"/>
      <w:r w:rsidR="00092917" w:rsidRPr="00E2354F">
        <w:rPr>
          <w:sz w:val="24"/>
          <w:szCs w:val="24"/>
        </w:rPr>
        <w:t>) on brinjal (</w:t>
      </w:r>
      <w:r w:rsidR="00092917" w:rsidRPr="00E2354F">
        <w:rPr>
          <w:i/>
          <w:iCs/>
          <w:sz w:val="24"/>
          <w:szCs w:val="24"/>
        </w:rPr>
        <w:t>Solanum melongena</w:t>
      </w:r>
      <w:r w:rsidR="00092917" w:rsidRPr="00E2354F">
        <w:rPr>
          <w:sz w:val="24"/>
          <w:szCs w:val="24"/>
        </w:rPr>
        <w:t xml:space="preserve"> L.), The Bios can. 2015; 10(2):987-990.</w:t>
      </w:r>
    </w:p>
    <w:p w14:paraId="154280F9" w14:textId="77777777" w:rsidR="00092917" w:rsidRPr="00E2354F" w:rsidRDefault="005B3537" w:rsidP="00E2354F">
      <w:pPr>
        <w:spacing w:after="200" w:line="360" w:lineRule="auto"/>
        <w:ind w:left="567" w:hanging="567"/>
        <w:jc w:val="both"/>
        <w:rPr>
          <w:spacing w:val="-2"/>
          <w:sz w:val="24"/>
          <w:szCs w:val="24"/>
        </w:rPr>
      </w:pPr>
      <w:r w:rsidRPr="00E2354F">
        <w:rPr>
          <w:b/>
          <w:bCs/>
          <w:sz w:val="24"/>
          <w:szCs w:val="24"/>
        </w:rPr>
        <w:t>26.</w:t>
      </w:r>
      <w:r w:rsidR="00AE7C37" w:rsidRPr="00E2354F">
        <w:rPr>
          <w:b/>
          <w:bCs/>
          <w:sz w:val="24"/>
          <w:szCs w:val="24"/>
        </w:rPr>
        <w:t xml:space="preserve"> </w:t>
      </w:r>
      <w:proofErr w:type="spellStart"/>
      <w:r w:rsidR="00092917" w:rsidRPr="00E2354F">
        <w:rPr>
          <w:b/>
          <w:bCs/>
          <w:sz w:val="24"/>
          <w:szCs w:val="24"/>
        </w:rPr>
        <w:t>Yousafi</w:t>
      </w:r>
      <w:proofErr w:type="spellEnd"/>
      <w:r w:rsidR="00092917" w:rsidRPr="00E2354F">
        <w:rPr>
          <w:b/>
          <w:bCs/>
          <w:sz w:val="24"/>
          <w:szCs w:val="24"/>
        </w:rPr>
        <w:t>, Q., Afzal, M., &amp; Aslam, M. (2015).</w:t>
      </w:r>
      <w:r w:rsidR="00092917" w:rsidRPr="00E2354F">
        <w:rPr>
          <w:sz w:val="24"/>
          <w:szCs w:val="24"/>
        </w:rPr>
        <w:t xml:space="preserve"> Management of brinjal shoot and fruit borer, </w:t>
      </w:r>
      <w:proofErr w:type="spellStart"/>
      <w:r w:rsidR="00092917" w:rsidRPr="00E2354F">
        <w:rPr>
          <w:rStyle w:val="Emphasis"/>
          <w:sz w:val="24"/>
          <w:szCs w:val="24"/>
        </w:rPr>
        <w:t>Leucinodes</w:t>
      </w:r>
      <w:proofErr w:type="spellEnd"/>
      <w:r w:rsidR="00092917" w:rsidRPr="00E2354F">
        <w:rPr>
          <w:rStyle w:val="Emphasis"/>
          <w:sz w:val="24"/>
          <w:szCs w:val="24"/>
        </w:rPr>
        <w:t xml:space="preserve"> </w:t>
      </w:r>
      <w:proofErr w:type="spellStart"/>
      <w:r w:rsidR="00092917" w:rsidRPr="00E2354F">
        <w:rPr>
          <w:rStyle w:val="Emphasis"/>
          <w:sz w:val="24"/>
          <w:szCs w:val="24"/>
        </w:rPr>
        <w:t>orbonalis</w:t>
      </w:r>
      <w:proofErr w:type="spellEnd"/>
      <w:r w:rsidR="00092917" w:rsidRPr="00E2354F">
        <w:rPr>
          <w:rStyle w:val="Emphasis"/>
          <w:sz w:val="24"/>
          <w:szCs w:val="24"/>
        </w:rPr>
        <w:t xml:space="preserve"> </w:t>
      </w:r>
      <w:proofErr w:type="spellStart"/>
      <w:r w:rsidR="00092917" w:rsidRPr="00E2354F">
        <w:rPr>
          <w:sz w:val="24"/>
          <w:szCs w:val="24"/>
        </w:rPr>
        <w:t>Guenée</w:t>
      </w:r>
      <w:proofErr w:type="spellEnd"/>
      <w:r w:rsidR="00092917" w:rsidRPr="00E2354F">
        <w:rPr>
          <w:sz w:val="24"/>
          <w:szCs w:val="24"/>
        </w:rPr>
        <w:t xml:space="preserve">, with selected insecticides. </w:t>
      </w:r>
      <w:r w:rsidR="00092917" w:rsidRPr="00E2354F">
        <w:rPr>
          <w:rStyle w:val="Emphasis"/>
          <w:sz w:val="24"/>
          <w:szCs w:val="24"/>
        </w:rPr>
        <w:t>Pakistan Journal of Zoology</w:t>
      </w:r>
      <w:r w:rsidR="00092917" w:rsidRPr="00E2354F">
        <w:rPr>
          <w:sz w:val="24"/>
          <w:szCs w:val="24"/>
        </w:rPr>
        <w:t xml:space="preserve">, </w:t>
      </w:r>
      <w:r w:rsidR="00092917" w:rsidRPr="00E2354F">
        <w:rPr>
          <w:rStyle w:val="Emphasis"/>
          <w:sz w:val="24"/>
          <w:szCs w:val="24"/>
        </w:rPr>
        <w:t>47</w:t>
      </w:r>
      <w:r w:rsidR="00092917" w:rsidRPr="00E2354F">
        <w:rPr>
          <w:sz w:val="24"/>
          <w:szCs w:val="24"/>
        </w:rPr>
        <w:t>(5), 1413–1420.</w:t>
      </w:r>
    </w:p>
    <w:p w14:paraId="335A7DCA" w14:textId="77777777" w:rsidR="00935731" w:rsidRPr="00164771" w:rsidRDefault="00935731" w:rsidP="00935731">
      <w:pPr>
        <w:pStyle w:val="BodyText"/>
        <w:spacing w:line="360" w:lineRule="auto"/>
        <w:jc w:val="both"/>
        <w:rPr>
          <w:b/>
          <w:bCs/>
          <w:position w:val="2"/>
        </w:rPr>
      </w:pPr>
    </w:p>
    <w:p w14:paraId="3198841A" w14:textId="77777777" w:rsidR="00F72278" w:rsidRDefault="00F72278" w:rsidP="00F72278">
      <w:pPr>
        <w:jc w:val="both"/>
        <w:rPr>
          <w:sz w:val="24"/>
          <w:szCs w:val="24"/>
        </w:rPr>
      </w:pPr>
    </w:p>
    <w:p w14:paraId="4310AB7E" w14:textId="77777777" w:rsidR="00F72278" w:rsidRPr="00B2319A" w:rsidRDefault="00F72278" w:rsidP="000A0936">
      <w:pPr>
        <w:ind w:left="-142" w:right="260" w:firstLine="142"/>
        <w:jc w:val="both"/>
        <w:rPr>
          <w:b/>
          <w:bCs/>
          <w:sz w:val="24"/>
          <w:szCs w:val="24"/>
        </w:rPr>
      </w:pPr>
    </w:p>
    <w:sectPr w:rsidR="00F72278" w:rsidRPr="00B2319A" w:rsidSect="000544DE">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BE02" w14:textId="77777777" w:rsidR="00B51A21" w:rsidRDefault="00B51A21" w:rsidP="00884A18">
      <w:r>
        <w:separator/>
      </w:r>
    </w:p>
  </w:endnote>
  <w:endnote w:type="continuationSeparator" w:id="0">
    <w:p w14:paraId="11EF8963" w14:textId="77777777" w:rsidR="00B51A21" w:rsidRDefault="00B51A21" w:rsidP="0088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A1C8" w14:textId="77777777" w:rsidR="00750D45" w:rsidRDefault="00750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FDCE" w14:textId="77777777" w:rsidR="00750D45" w:rsidRDefault="00750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22BA" w14:textId="77777777" w:rsidR="00750D45" w:rsidRDefault="00750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2210" w14:textId="77777777" w:rsidR="00B51A21" w:rsidRDefault="00B51A21" w:rsidP="00884A18">
      <w:r>
        <w:separator/>
      </w:r>
    </w:p>
  </w:footnote>
  <w:footnote w:type="continuationSeparator" w:id="0">
    <w:p w14:paraId="150ACBF7" w14:textId="77777777" w:rsidR="00B51A21" w:rsidRDefault="00B51A21" w:rsidP="0088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FF41" w14:textId="1289FE9E" w:rsidR="00750D45" w:rsidRDefault="00B51A21">
    <w:pPr>
      <w:pStyle w:val="Header"/>
    </w:pPr>
    <w:r>
      <w:rPr>
        <w:noProof/>
      </w:rPr>
      <w:pict w14:anchorId="00A9F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7" o:spid="_x0000_s1027" type="#_x0000_t136" alt="" style="position:absolute;margin-left:0;margin-top:0;width:574.15pt;height:63.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81D2" w14:textId="1A94BC71" w:rsidR="00750D45" w:rsidRDefault="00B51A21">
    <w:pPr>
      <w:pStyle w:val="Header"/>
    </w:pPr>
    <w:r>
      <w:rPr>
        <w:noProof/>
      </w:rPr>
      <w:pict w14:anchorId="34040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8" o:spid="_x0000_s1026" type="#_x0000_t136" alt="" style="position:absolute;margin-left:0;margin-top:0;width:574.15pt;height:63.7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589A" w14:textId="2D738D3B" w:rsidR="00750D45" w:rsidRDefault="00B51A21">
    <w:pPr>
      <w:pStyle w:val="Header"/>
    </w:pPr>
    <w:r>
      <w:rPr>
        <w:noProof/>
      </w:rPr>
      <w:pict w14:anchorId="40057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753546" o:spid="_x0000_s1025" type="#_x0000_t136" alt="" style="position:absolute;margin-left:0;margin-top:0;width:574.15pt;height:63.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51B6E"/>
    <w:multiLevelType w:val="hybridMultilevel"/>
    <w:tmpl w:val="7DE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35E1D"/>
    <w:multiLevelType w:val="hybridMultilevel"/>
    <w:tmpl w:val="7B54B6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ED6E5C"/>
    <w:multiLevelType w:val="hybridMultilevel"/>
    <w:tmpl w:val="31A62AFA"/>
    <w:lvl w:ilvl="0" w:tplc="809A0EEE">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237322">
    <w:abstractNumId w:val="1"/>
  </w:num>
  <w:num w:numId="2" w16cid:durableId="248586748">
    <w:abstractNumId w:val="0"/>
  </w:num>
  <w:num w:numId="3" w16cid:durableId="1685207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E07"/>
    <w:rsid w:val="000045F4"/>
    <w:rsid w:val="00036E99"/>
    <w:rsid w:val="000423E9"/>
    <w:rsid w:val="00051528"/>
    <w:rsid w:val="000544DE"/>
    <w:rsid w:val="00092917"/>
    <w:rsid w:val="000A0936"/>
    <w:rsid w:val="000B0193"/>
    <w:rsid w:val="000B1C82"/>
    <w:rsid w:val="000D5210"/>
    <w:rsid w:val="0012260B"/>
    <w:rsid w:val="001451BC"/>
    <w:rsid w:val="00146439"/>
    <w:rsid w:val="0014673B"/>
    <w:rsid w:val="00195DD4"/>
    <w:rsid w:val="001B6A78"/>
    <w:rsid w:val="001E2F40"/>
    <w:rsid w:val="001F1296"/>
    <w:rsid w:val="002047F6"/>
    <w:rsid w:val="00220F14"/>
    <w:rsid w:val="002221C0"/>
    <w:rsid w:val="002337D9"/>
    <w:rsid w:val="0025046F"/>
    <w:rsid w:val="002767C0"/>
    <w:rsid w:val="00277DCC"/>
    <w:rsid w:val="00286B92"/>
    <w:rsid w:val="002A3586"/>
    <w:rsid w:val="002C2EB3"/>
    <w:rsid w:val="002D3C77"/>
    <w:rsid w:val="002F7A14"/>
    <w:rsid w:val="00300972"/>
    <w:rsid w:val="003320C0"/>
    <w:rsid w:val="0033421F"/>
    <w:rsid w:val="0033649C"/>
    <w:rsid w:val="00341B0D"/>
    <w:rsid w:val="00342AC0"/>
    <w:rsid w:val="0035016F"/>
    <w:rsid w:val="003A6795"/>
    <w:rsid w:val="003B0C01"/>
    <w:rsid w:val="003B33C8"/>
    <w:rsid w:val="003B3994"/>
    <w:rsid w:val="003C1F21"/>
    <w:rsid w:val="003C69E3"/>
    <w:rsid w:val="003E6E07"/>
    <w:rsid w:val="00402D66"/>
    <w:rsid w:val="00403E70"/>
    <w:rsid w:val="004200D0"/>
    <w:rsid w:val="00434537"/>
    <w:rsid w:val="004353DF"/>
    <w:rsid w:val="004655DF"/>
    <w:rsid w:val="00483953"/>
    <w:rsid w:val="00496234"/>
    <w:rsid w:val="00523B15"/>
    <w:rsid w:val="00534670"/>
    <w:rsid w:val="005448F6"/>
    <w:rsid w:val="005559AF"/>
    <w:rsid w:val="005617A0"/>
    <w:rsid w:val="00561C1F"/>
    <w:rsid w:val="0058156D"/>
    <w:rsid w:val="00584840"/>
    <w:rsid w:val="0059581C"/>
    <w:rsid w:val="005B1BDA"/>
    <w:rsid w:val="005B2739"/>
    <w:rsid w:val="005B3537"/>
    <w:rsid w:val="005C3064"/>
    <w:rsid w:val="005C4BA4"/>
    <w:rsid w:val="005C74DF"/>
    <w:rsid w:val="005C7A3B"/>
    <w:rsid w:val="005D1413"/>
    <w:rsid w:val="005E5031"/>
    <w:rsid w:val="005F2737"/>
    <w:rsid w:val="00613B38"/>
    <w:rsid w:val="00626A48"/>
    <w:rsid w:val="006639A2"/>
    <w:rsid w:val="006D20D5"/>
    <w:rsid w:val="007038D1"/>
    <w:rsid w:val="0072197A"/>
    <w:rsid w:val="00742470"/>
    <w:rsid w:val="00750D45"/>
    <w:rsid w:val="007616D7"/>
    <w:rsid w:val="0078346B"/>
    <w:rsid w:val="007A06AF"/>
    <w:rsid w:val="007B26EC"/>
    <w:rsid w:val="007B7F43"/>
    <w:rsid w:val="007C1041"/>
    <w:rsid w:val="007C2762"/>
    <w:rsid w:val="007C649B"/>
    <w:rsid w:val="007D1309"/>
    <w:rsid w:val="007E6CC3"/>
    <w:rsid w:val="007E7EDE"/>
    <w:rsid w:val="008371B8"/>
    <w:rsid w:val="00837457"/>
    <w:rsid w:val="008610AD"/>
    <w:rsid w:val="008639C1"/>
    <w:rsid w:val="008731C5"/>
    <w:rsid w:val="008766D1"/>
    <w:rsid w:val="00884A18"/>
    <w:rsid w:val="00896996"/>
    <w:rsid w:val="00897AD5"/>
    <w:rsid w:val="008B330E"/>
    <w:rsid w:val="008D4257"/>
    <w:rsid w:val="008E0086"/>
    <w:rsid w:val="008E68D9"/>
    <w:rsid w:val="00905ADD"/>
    <w:rsid w:val="00916B01"/>
    <w:rsid w:val="00931E02"/>
    <w:rsid w:val="00935483"/>
    <w:rsid w:val="00935731"/>
    <w:rsid w:val="00944A27"/>
    <w:rsid w:val="00965B4B"/>
    <w:rsid w:val="009A4B81"/>
    <w:rsid w:val="009B3A3C"/>
    <w:rsid w:val="009B6FC4"/>
    <w:rsid w:val="009C0AC1"/>
    <w:rsid w:val="009C6094"/>
    <w:rsid w:val="009E4DC1"/>
    <w:rsid w:val="009E5214"/>
    <w:rsid w:val="009F5FCA"/>
    <w:rsid w:val="00A16552"/>
    <w:rsid w:val="00A32D62"/>
    <w:rsid w:val="00A3656E"/>
    <w:rsid w:val="00A63686"/>
    <w:rsid w:val="00A871EC"/>
    <w:rsid w:val="00AA10D8"/>
    <w:rsid w:val="00AB04C1"/>
    <w:rsid w:val="00AD580C"/>
    <w:rsid w:val="00AE5C42"/>
    <w:rsid w:val="00AE7C37"/>
    <w:rsid w:val="00B076F3"/>
    <w:rsid w:val="00B2319A"/>
    <w:rsid w:val="00B33C62"/>
    <w:rsid w:val="00B502A8"/>
    <w:rsid w:val="00B51A21"/>
    <w:rsid w:val="00B563AA"/>
    <w:rsid w:val="00B60A44"/>
    <w:rsid w:val="00B66AEE"/>
    <w:rsid w:val="00B907DD"/>
    <w:rsid w:val="00B9088A"/>
    <w:rsid w:val="00BB51B3"/>
    <w:rsid w:val="00BC6060"/>
    <w:rsid w:val="00BE0F00"/>
    <w:rsid w:val="00C13CE6"/>
    <w:rsid w:val="00C256E6"/>
    <w:rsid w:val="00C33A7F"/>
    <w:rsid w:val="00C4303D"/>
    <w:rsid w:val="00C664CA"/>
    <w:rsid w:val="00C77301"/>
    <w:rsid w:val="00C81736"/>
    <w:rsid w:val="00D2394E"/>
    <w:rsid w:val="00D26DBB"/>
    <w:rsid w:val="00D4035A"/>
    <w:rsid w:val="00D93F9E"/>
    <w:rsid w:val="00DC0D84"/>
    <w:rsid w:val="00DC3AD4"/>
    <w:rsid w:val="00DE17D8"/>
    <w:rsid w:val="00E009B2"/>
    <w:rsid w:val="00E07525"/>
    <w:rsid w:val="00E2354F"/>
    <w:rsid w:val="00EB1482"/>
    <w:rsid w:val="00ED0E8F"/>
    <w:rsid w:val="00ED29AD"/>
    <w:rsid w:val="00ED4689"/>
    <w:rsid w:val="00F0553A"/>
    <w:rsid w:val="00F11061"/>
    <w:rsid w:val="00F33282"/>
    <w:rsid w:val="00F33666"/>
    <w:rsid w:val="00F51307"/>
    <w:rsid w:val="00F56F23"/>
    <w:rsid w:val="00F72278"/>
    <w:rsid w:val="00F739FF"/>
    <w:rsid w:val="00F860F8"/>
    <w:rsid w:val="00F87483"/>
    <w:rsid w:val="00FB4B58"/>
    <w:rsid w:val="00FB70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7699"/>
  <w15:docId w15:val="{688F1E8E-D546-ED4C-BE7E-458D11A7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6E07"/>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3">
    <w:name w:val="heading 3"/>
    <w:basedOn w:val="Normal"/>
    <w:next w:val="Normal"/>
    <w:link w:val="Heading3Char"/>
    <w:uiPriority w:val="9"/>
    <w:semiHidden/>
    <w:unhideWhenUsed/>
    <w:qFormat/>
    <w:rsid w:val="005B1B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B6F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0D8"/>
    <w:rPr>
      <w:sz w:val="24"/>
      <w:szCs w:val="24"/>
    </w:rPr>
  </w:style>
  <w:style w:type="character" w:customStyle="1" w:styleId="BodyTextChar">
    <w:name w:val="Body Text Char"/>
    <w:basedOn w:val="DefaultParagraphFont"/>
    <w:link w:val="BodyText"/>
    <w:uiPriority w:val="1"/>
    <w:rsid w:val="00AA10D8"/>
    <w:rPr>
      <w:rFonts w:ascii="Times New Roman" w:eastAsia="Times New Roman" w:hAnsi="Times New Roman" w:cs="Times New Roman"/>
      <w:sz w:val="24"/>
      <w:szCs w:val="24"/>
      <w:lang w:val="en-US" w:bidi="ar-SA"/>
    </w:rPr>
  </w:style>
  <w:style w:type="character" w:customStyle="1" w:styleId="Heading4Char">
    <w:name w:val="Heading 4 Char"/>
    <w:basedOn w:val="DefaultParagraphFont"/>
    <w:link w:val="Heading4"/>
    <w:uiPriority w:val="9"/>
    <w:rsid w:val="009B6FC4"/>
    <w:rPr>
      <w:rFonts w:asciiTheme="majorHAnsi" w:eastAsiaTheme="majorEastAsia" w:hAnsiTheme="majorHAnsi" w:cstheme="majorBidi"/>
      <w:b/>
      <w:bCs/>
      <w:i/>
      <w:iCs/>
      <w:color w:val="4F81BD" w:themeColor="accent1"/>
      <w:szCs w:val="22"/>
      <w:lang w:val="en-US" w:bidi="ar-SA"/>
    </w:rPr>
  </w:style>
  <w:style w:type="paragraph" w:customStyle="1" w:styleId="TableParagraph">
    <w:name w:val="Table Paragraph"/>
    <w:basedOn w:val="Normal"/>
    <w:uiPriority w:val="1"/>
    <w:qFormat/>
    <w:rsid w:val="009B6FC4"/>
    <w:pPr>
      <w:jc w:val="center"/>
    </w:pPr>
  </w:style>
  <w:style w:type="paragraph" w:styleId="BalloonText">
    <w:name w:val="Balloon Text"/>
    <w:basedOn w:val="Normal"/>
    <w:link w:val="BalloonTextChar"/>
    <w:uiPriority w:val="99"/>
    <w:semiHidden/>
    <w:unhideWhenUsed/>
    <w:rsid w:val="00A3656E"/>
    <w:rPr>
      <w:rFonts w:ascii="Tahoma" w:hAnsi="Tahoma" w:cs="Tahoma"/>
      <w:sz w:val="16"/>
      <w:szCs w:val="16"/>
    </w:rPr>
  </w:style>
  <w:style w:type="character" w:customStyle="1" w:styleId="BalloonTextChar">
    <w:name w:val="Balloon Text Char"/>
    <w:basedOn w:val="DefaultParagraphFont"/>
    <w:link w:val="BalloonText"/>
    <w:uiPriority w:val="99"/>
    <w:semiHidden/>
    <w:rsid w:val="00A3656E"/>
    <w:rPr>
      <w:rFonts w:ascii="Tahoma" w:eastAsia="Times New Roman" w:hAnsi="Tahoma" w:cs="Tahoma"/>
      <w:sz w:val="16"/>
      <w:szCs w:val="16"/>
      <w:lang w:val="en-US" w:bidi="ar-SA"/>
    </w:rPr>
  </w:style>
  <w:style w:type="character" w:styleId="Emphasis">
    <w:name w:val="Emphasis"/>
    <w:basedOn w:val="DefaultParagraphFont"/>
    <w:uiPriority w:val="20"/>
    <w:qFormat/>
    <w:rsid w:val="00561C1F"/>
    <w:rPr>
      <w:i/>
      <w:iCs/>
    </w:rPr>
  </w:style>
  <w:style w:type="character" w:styleId="Hyperlink">
    <w:name w:val="Hyperlink"/>
    <w:basedOn w:val="DefaultParagraphFont"/>
    <w:uiPriority w:val="99"/>
    <w:unhideWhenUsed/>
    <w:rsid w:val="00935483"/>
    <w:rPr>
      <w:color w:val="0000FF" w:themeColor="hyperlink"/>
      <w:u w:val="single"/>
    </w:rPr>
  </w:style>
  <w:style w:type="paragraph" w:styleId="ListParagraph">
    <w:name w:val="List Paragraph"/>
    <w:basedOn w:val="Normal"/>
    <w:uiPriority w:val="34"/>
    <w:qFormat/>
    <w:rsid w:val="00C256E6"/>
    <w:pPr>
      <w:widowControl/>
      <w:autoSpaceDE/>
      <w:autoSpaceDN/>
      <w:spacing w:after="160" w:line="256" w:lineRule="auto"/>
      <w:ind w:left="720"/>
      <w:contextualSpacing/>
    </w:pPr>
    <w:rPr>
      <w:rFonts w:ascii="Calibri" w:eastAsia="Calibri" w:hAnsi="Calibri" w:cs="Mangal"/>
      <w:lang w:val="en-IN"/>
    </w:rPr>
  </w:style>
  <w:style w:type="paragraph" w:styleId="Header">
    <w:name w:val="header"/>
    <w:basedOn w:val="Normal"/>
    <w:link w:val="HeaderChar"/>
    <w:uiPriority w:val="99"/>
    <w:unhideWhenUsed/>
    <w:rsid w:val="00884A18"/>
    <w:pPr>
      <w:tabs>
        <w:tab w:val="center" w:pos="4680"/>
        <w:tab w:val="right" w:pos="9360"/>
      </w:tabs>
    </w:pPr>
  </w:style>
  <w:style w:type="character" w:customStyle="1" w:styleId="HeaderChar">
    <w:name w:val="Header Char"/>
    <w:basedOn w:val="DefaultParagraphFont"/>
    <w:link w:val="Header"/>
    <w:uiPriority w:val="99"/>
    <w:rsid w:val="00884A18"/>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884A18"/>
    <w:pPr>
      <w:tabs>
        <w:tab w:val="center" w:pos="4680"/>
        <w:tab w:val="right" w:pos="9360"/>
      </w:tabs>
    </w:pPr>
  </w:style>
  <w:style w:type="character" w:customStyle="1" w:styleId="FooterChar">
    <w:name w:val="Footer Char"/>
    <w:basedOn w:val="DefaultParagraphFont"/>
    <w:link w:val="Footer"/>
    <w:uiPriority w:val="99"/>
    <w:rsid w:val="00884A18"/>
    <w:rPr>
      <w:rFonts w:ascii="Times New Roman" w:eastAsia="Times New Roman" w:hAnsi="Times New Roman" w:cs="Times New Roman"/>
      <w:szCs w:val="22"/>
      <w:lang w:val="en-US" w:bidi="ar-SA"/>
    </w:rPr>
  </w:style>
  <w:style w:type="paragraph" w:customStyle="1" w:styleId="p1">
    <w:name w:val="p1"/>
    <w:basedOn w:val="Normal"/>
    <w:rsid w:val="002337D9"/>
    <w:pPr>
      <w:widowControl/>
      <w:autoSpaceDE/>
      <w:autoSpaceDN/>
    </w:pPr>
    <w:rPr>
      <w:rFonts w:ascii="Arial" w:hAnsi="Arial" w:cs="Arial"/>
      <w:color w:val="000000"/>
      <w:sz w:val="17"/>
      <w:szCs w:val="17"/>
      <w:lang w:val="en-IN" w:eastAsia="en-GB"/>
    </w:rPr>
  </w:style>
  <w:style w:type="paragraph" w:customStyle="1" w:styleId="p2">
    <w:name w:val="p2"/>
    <w:basedOn w:val="Normal"/>
    <w:rsid w:val="002337D9"/>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5B1BDA"/>
    <w:rPr>
      <w:rFonts w:asciiTheme="majorHAnsi" w:eastAsiaTheme="majorEastAsia" w:hAnsiTheme="majorHAnsi" w:cstheme="majorBidi"/>
      <w:color w:val="243F60" w:themeColor="accent1" w:themeShade="7F"/>
      <w:sz w:val="24"/>
      <w:szCs w:val="24"/>
      <w:lang w:val="en-US" w:bidi="ar-SA"/>
    </w:rPr>
  </w:style>
  <w:style w:type="paragraph" w:styleId="NormalWeb">
    <w:name w:val="Normal (Web)"/>
    <w:basedOn w:val="Normal"/>
    <w:uiPriority w:val="99"/>
    <w:unhideWhenUsed/>
    <w:rsid w:val="00D4035A"/>
    <w:pPr>
      <w:widowControl/>
      <w:autoSpaceDE/>
      <w:autoSpaceDN/>
      <w:spacing w:before="100" w:beforeAutospacing="1" w:after="100" w:afterAutospacing="1"/>
    </w:pPr>
    <w:rPr>
      <w:sz w:val="24"/>
      <w:szCs w:val="24"/>
      <w:lang w:val="en-IN" w:eastAsia="en-GB"/>
    </w:rPr>
  </w:style>
  <w:style w:type="character" w:styleId="Strong">
    <w:name w:val="Strong"/>
    <w:basedOn w:val="DefaultParagraphFont"/>
    <w:uiPriority w:val="22"/>
    <w:qFormat/>
    <w:rsid w:val="00D40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17269">
      <w:bodyDiv w:val="1"/>
      <w:marLeft w:val="0"/>
      <w:marRight w:val="0"/>
      <w:marTop w:val="0"/>
      <w:marBottom w:val="0"/>
      <w:divBdr>
        <w:top w:val="none" w:sz="0" w:space="0" w:color="auto"/>
        <w:left w:val="none" w:sz="0" w:space="0" w:color="auto"/>
        <w:bottom w:val="none" w:sz="0" w:space="0" w:color="auto"/>
        <w:right w:val="none" w:sz="0" w:space="0" w:color="auto"/>
      </w:divBdr>
    </w:div>
    <w:div w:id="12973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031624193187583E-2"/>
          <c:y val="9.6592082056617304E-2"/>
          <c:w val="0.9138903857294125"/>
          <c:h val="0.73900479801469054"/>
        </c:manualLayout>
      </c:layout>
      <c:barChart>
        <c:barDir val="col"/>
        <c:grouping val="clustered"/>
        <c:varyColors val="0"/>
        <c:ser>
          <c:idx val="0"/>
          <c:order val="0"/>
          <c:tx>
            <c:strRef>
              <c:f>Sheet1!$B$1</c:f>
              <c:strCache>
                <c:ptCount val="1"/>
                <c:pt idx="0">
                  <c:v>3rd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c:v>
                </c:pt>
                <c:pt idx="1">
                  <c:v>5.39</c:v>
                </c:pt>
                <c:pt idx="2">
                  <c:v>6.08</c:v>
                </c:pt>
                <c:pt idx="3">
                  <c:v>4.74</c:v>
                </c:pt>
                <c:pt idx="4">
                  <c:v>6.03</c:v>
                </c:pt>
                <c:pt idx="5">
                  <c:v>5.46</c:v>
                </c:pt>
                <c:pt idx="6">
                  <c:v>4.57</c:v>
                </c:pt>
                <c:pt idx="7">
                  <c:v>4</c:v>
                </c:pt>
              </c:numCache>
            </c:numRef>
          </c:val>
          <c:extLst>
            <c:ext xmlns:c16="http://schemas.microsoft.com/office/drawing/2014/chart" uri="{C3380CC4-5D6E-409C-BE32-E72D297353CC}">
              <c16:uniqueId val="{00000000-D194-48E9-928F-8F3D732C6D91}"/>
            </c:ext>
          </c:extLst>
        </c:ser>
        <c:ser>
          <c:idx val="1"/>
          <c:order val="1"/>
          <c:tx>
            <c:strRef>
              <c:f>Sheet1!$C$1</c:f>
              <c:strCache>
                <c:ptCount val="1"/>
                <c:pt idx="0">
                  <c:v>7th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7.42</c:v>
                </c:pt>
                <c:pt idx="1">
                  <c:v>3.7800000000000002</c:v>
                </c:pt>
                <c:pt idx="2">
                  <c:v>5.8599999999999985</c:v>
                </c:pt>
                <c:pt idx="3">
                  <c:v>3.63</c:v>
                </c:pt>
                <c:pt idx="4">
                  <c:v>5.42</c:v>
                </c:pt>
                <c:pt idx="5">
                  <c:v>4.72</c:v>
                </c:pt>
                <c:pt idx="6">
                  <c:v>3.4299999999999997</c:v>
                </c:pt>
                <c:pt idx="7">
                  <c:v>3.27</c:v>
                </c:pt>
              </c:numCache>
            </c:numRef>
          </c:val>
          <c:extLst>
            <c:ext xmlns:c16="http://schemas.microsoft.com/office/drawing/2014/chart" uri="{C3380CC4-5D6E-409C-BE32-E72D297353CC}">
              <c16:uniqueId val="{00000001-D194-48E9-928F-8F3D732C6D91}"/>
            </c:ext>
          </c:extLst>
        </c:ser>
        <c:ser>
          <c:idx val="2"/>
          <c:order val="2"/>
          <c:tx>
            <c:strRef>
              <c:f>Sheet1!$D$1</c:f>
              <c:strCache>
                <c:ptCount val="1"/>
                <c:pt idx="0">
                  <c:v>14th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7.51</c:v>
                </c:pt>
                <c:pt idx="1">
                  <c:v>4.68</c:v>
                </c:pt>
                <c:pt idx="2">
                  <c:v>6.03</c:v>
                </c:pt>
                <c:pt idx="3">
                  <c:v>4.6599999999999975</c:v>
                </c:pt>
                <c:pt idx="4">
                  <c:v>5.41</c:v>
                </c:pt>
                <c:pt idx="5">
                  <c:v>5.24</c:v>
                </c:pt>
                <c:pt idx="6">
                  <c:v>3.8499999999999988</c:v>
                </c:pt>
                <c:pt idx="7">
                  <c:v>3.66</c:v>
                </c:pt>
              </c:numCache>
            </c:numRef>
          </c:val>
          <c:extLst>
            <c:ext xmlns:c16="http://schemas.microsoft.com/office/drawing/2014/chart" uri="{C3380CC4-5D6E-409C-BE32-E72D297353CC}">
              <c16:uniqueId val="{00000002-D194-48E9-928F-8F3D732C6D91}"/>
            </c:ext>
          </c:extLst>
        </c:ser>
        <c:ser>
          <c:idx val="3"/>
          <c:order val="3"/>
          <c:tx>
            <c:strRef>
              <c:f>Sheet1!$E$1</c:f>
              <c:strCache>
                <c:ptCount val="1"/>
                <c:pt idx="0">
                  <c:v>Mean</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7.3</c:v>
                </c:pt>
                <c:pt idx="1">
                  <c:v>4.6199999999999966</c:v>
                </c:pt>
                <c:pt idx="2">
                  <c:v>5.99</c:v>
                </c:pt>
                <c:pt idx="3">
                  <c:v>4.34</c:v>
                </c:pt>
                <c:pt idx="4">
                  <c:v>5.6199999999999966</c:v>
                </c:pt>
                <c:pt idx="5">
                  <c:v>5.14</c:v>
                </c:pt>
                <c:pt idx="6">
                  <c:v>3.9499999999999997</c:v>
                </c:pt>
                <c:pt idx="7">
                  <c:v>3.64</c:v>
                </c:pt>
              </c:numCache>
            </c:numRef>
          </c:val>
          <c:extLst>
            <c:ext xmlns:c16="http://schemas.microsoft.com/office/drawing/2014/chart" uri="{C3380CC4-5D6E-409C-BE32-E72D297353CC}">
              <c16:uniqueId val="{00000003-D194-48E9-928F-8F3D732C6D91}"/>
            </c:ext>
          </c:extLst>
        </c:ser>
        <c:dLbls>
          <c:showLegendKey val="0"/>
          <c:showVal val="0"/>
          <c:showCatName val="0"/>
          <c:showSerName val="0"/>
          <c:showPercent val="0"/>
          <c:showBubbleSize val="0"/>
        </c:dLbls>
        <c:gapWidth val="150"/>
        <c:axId val="178342144"/>
        <c:axId val="178425856"/>
      </c:barChart>
      <c:catAx>
        <c:axId val="178342144"/>
        <c:scaling>
          <c:orientation val="minMax"/>
        </c:scaling>
        <c:delete val="0"/>
        <c:axPos val="b"/>
        <c:numFmt formatCode="General" sourceLinked="0"/>
        <c:majorTickMark val="out"/>
        <c:minorTickMark val="none"/>
        <c:tickLblPos val="nextTo"/>
        <c:crossAx val="178425856"/>
        <c:crosses val="autoZero"/>
        <c:auto val="1"/>
        <c:lblAlgn val="ctr"/>
        <c:lblOffset val="100"/>
        <c:noMultiLvlLbl val="0"/>
      </c:catAx>
      <c:valAx>
        <c:axId val="178425856"/>
        <c:scaling>
          <c:orientation val="minMax"/>
        </c:scaling>
        <c:delete val="1"/>
        <c:axPos val="l"/>
        <c:majorGridlines/>
        <c:numFmt formatCode="General" sourceLinked="1"/>
        <c:majorTickMark val="out"/>
        <c:minorTickMark val="none"/>
        <c:tickLblPos val="nextTo"/>
        <c:crossAx val="178342144"/>
        <c:crosses val="autoZero"/>
        <c:crossBetween val="between"/>
      </c:valAx>
    </c:plotArea>
    <c:legend>
      <c:legendPos val="r"/>
      <c:layout>
        <c:manualLayout>
          <c:xMode val="edge"/>
          <c:yMode val="edge"/>
          <c:x val="8.9091134699613758E-2"/>
          <c:y val="0.90692179639485848"/>
          <c:w val="0.71835088528919711"/>
          <c:h val="9.016702410425404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856729916694789E-2"/>
          <c:y val="7.9850295057996443E-2"/>
          <c:w val="0.90503668763376743"/>
          <c:h val="0.75485873772042444"/>
        </c:manualLayout>
      </c:layout>
      <c:barChart>
        <c:barDir val="col"/>
        <c:grouping val="clustered"/>
        <c:varyColors val="0"/>
        <c:ser>
          <c:idx val="0"/>
          <c:order val="0"/>
          <c:tx>
            <c:strRef>
              <c:f>Sheet1!$B$1</c:f>
              <c:strCache>
                <c:ptCount val="1"/>
                <c:pt idx="0">
                  <c:v>3rd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7.54</c:v>
                </c:pt>
                <c:pt idx="1">
                  <c:v>5.22</c:v>
                </c:pt>
                <c:pt idx="2">
                  <c:v>6.03</c:v>
                </c:pt>
                <c:pt idx="3">
                  <c:v>4.6599999999999975</c:v>
                </c:pt>
                <c:pt idx="4">
                  <c:v>5.9300000000000024</c:v>
                </c:pt>
                <c:pt idx="5">
                  <c:v>5.42</c:v>
                </c:pt>
                <c:pt idx="6">
                  <c:v>4.5199999999999996</c:v>
                </c:pt>
                <c:pt idx="7">
                  <c:v>3.9499999999999997</c:v>
                </c:pt>
              </c:numCache>
            </c:numRef>
          </c:val>
          <c:extLst>
            <c:ext xmlns:c16="http://schemas.microsoft.com/office/drawing/2014/chart" uri="{C3380CC4-5D6E-409C-BE32-E72D297353CC}">
              <c16:uniqueId val="{00000000-940D-4B2C-80B1-4E0EBC089D2F}"/>
            </c:ext>
          </c:extLst>
        </c:ser>
        <c:ser>
          <c:idx val="1"/>
          <c:order val="1"/>
          <c:tx>
            <c:strRef>
              <c:f>Sheet1!$C$1</c:f>
              <c:strCache>
                <c:ptCount val="1"/>
                <c:pt idx="0">
                  <c:v>7th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7.83</c:v>
                </c:pt>
                <c:pt idx="1">
                  <c:v>5</c:v>
                </c:pt>
                <c:pt idx="2">
                  <c:v>5.92</c:v>
                </c:pt>
                <c:pt idx="3">
                  <c:v>4.5199999999999996</c:v>
                </c:pt>
                <c:pt idx="4">
                  <c:v>5.3199999999999985</c:v>
                </c:pt>
                <c:pt idx="5">
                  <c:v>5.1599999999999975</c:v>
                </c:pt>
                <c:pt idx="6">
                  <c:v>4.1599999999999975</c:v>
                </c:pt>
                <c:pt idx="7">
                  <c:v>3.8899999999999997</c:v>
                </c:pt>
              </c:numCache>
            </c:numRef>
          </c:val>
          <c:extLst>
            <c:ext xmlns:c16="http://schemas.microsoft.com/office/drawing/2014/chart" uri="{C3380CC4-5D6E-409C-BE32-E72D297353CC}">
              <c16:uniqueId val="{00000001-940D-4B2C-80B1-4E0EBC089D2F}"/>
            </c:ext>
          </c:extLst>
        </c:ser>
        <c:ser>
          <c:idx val="2"/>
          <c:order val="2"/>
          <c:tx>
            <c:strRef>
              <c:f>Sheet1!$D$1</c:f>
              <c:strCache>
                <c:ptCount val="1"/>
                <c:pt idx="0">
                  <c:v>14th day</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7.9</c:v>
                </c:pt>
                <c:pt idx="1">
                  <c:v>5.1599999999999975</c:v>
                </c:pt>
                <c:pt idx="2">
                  <c:v>6.01</c:v>
                </c:pt>
                <c:pt idx="3">
                  <c:v>4.6399999999999997</c:v>
                </c:pt>
                <c:pt idx="4">
                  <c:v>5.46</c:v>
                </c:pt>
                <c:pt idx="5">
                  <c:v>5.3599999999999985</c:v>
                </c:pt>
                <c:pt idx="6">
                  <c:v>4.37</c:v>
                </c:pt>
                <c:pt idx="7">
                  <c:v>3.8899999999999997</c:v>
                </c:pt>
              </c:numCache>
            </c:numRef>
          </c:val>
          <c:extLst>
            <c:ext xmlns:c16="http://schemas.microsoft.com/office/drawing/2014/chart" uri="{C3380CC4-5D6E-409C-BE32-E72D297353CC}">
              <c16:uniqueId val="{00000002-940D-4B2C-80B1-4E0EBC089D2F}"/>
            </c:ext>
          </c:extLst>
        </c:ser>
        <c:ser>
          <c:idx val="3"/>
          <c:order val="3"/>
          <c:tx>
            <c:strRef>
              <c:f>Sheet1!$E$1</c:f>
              <c:strCache>
                <c:ptCount val="1"/>
                <c:pt idx="0">
                  <c:v>Mean</c:v>
                </c:pt>
              </c:strCache>
            </c:strRef>
          </c:tx>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7.76</c:v>
                </c:pt>
                <c:pt idx="1">
                  <c:v>5.13</c:v>
                </c:pt>
                <c:pt idx="2">
                  <c:v>5.99</c:v>
                </c:pt>
                <c:pt idx="3">
                  <c:v>4.6099999999999985</c:v>
                </c:pt>
                <c:pt idx="4">
                  <c:v>5.57</c:v>
                </c:pt>
                <c:pt idx="5">
                  <c:v>5.31</c:v>
                </c:pt>
                <c:pt idx="6">
                  <c:v>4.3499999999999996</c:v>
                </c:pt>
                <c:pt idx="7">
                  <c:v>3.9099999999999997</c:v>
                </c:pt>
              </c:numCache>
            </c:numRef>
          </c:val>
          <c:extLst>
            <c:ext xmlns:c16="http://schemas.microsoft.com/office/drawing/2014/chart" uri="{C3380CC4-5D6E-409C-BE32-E72D297353CC}">
              <c16:uniqueId val="{00000003-940D-4B2C-80B1-4E0EBC089D2F}"/>
            </c:ext>
          </c:extLst>
        </c:ser>
        <c:dLbls>
          <c:showLegendKey val="0"/>
          <c:showVal val="0"/>
          <c:showCatName val="0"/>
          <c:showSerName val="0"/>
          <c:showPercent val="0"/>
          <c:showBubbleSize val="0"/>
        </c:dLbls>
        <c:gapWidth val="150"/>
        <c:axId val="171700224"/>
        <c:axId val="171701760"/>
      </c:barChart>
      <c:catAx>
        <c:axId val="171700224"/>
        <c:scaling>
          <c:orientation val="minMax"/>
        </c:scaling>
        <c:delete val="0"/>
        <c:axPos val="b"/>
        <c:numFmt formatCode="General" sourceLinked="0"/>
        <c:majorTickMark val="out"/>
        <c:minorTickMark val="none"/>
        <c:tickLblPos val="nextTo"/>
        <c:crossAx val="171701760"/>
        <c:crosses val="autoZero"/>
        <c:auto val="1"/>
        <c:lblAlgn val="ctr"/>
        <c:lblOffset val="100"/>
        <c:noMultiLvlLbl val="0"/>
      </c:catAx>
      <c:valAx>
        <c:axId val="171701760"/>
        <c:scaling>
          <c:orientation val="minMax"/>
        </c:scaling>
        <c:delete val="0"/>
        <c:axPos val="l"/>
        <c:majorGridlines/>
        <c:numFmt formatCode="General" sourceLinked="1"/>
        <c:majorTickMark val="out"/>
        <c:minorTickMark val="none"/>
        <c:tickLblPos val="nextTo"/>
        <c:crossAx val="171700224"/>
        <c:crosses val="autoZero"/>
        <c:crossBetween val="between"/>
      </c:valAx>
    </c:plotArea>
    <c:legend>
      <c:legendPos val="r"/>
      <c:layout>
        <c:manualLayout>
          <c:xMode val="edge"/>
          <c:yMode val="edge"/>
          <c:x val="8.9091134699613758E-2"/>
          <c:y val="0.90692179639485815"/>
          <c:w val="0.71835088528919688"/>
          <c:h val="9.0167024104253798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8D66-8655-45A0-B546-9532A685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12</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 yadav</dc:creator>
  <cp:lastModifiedBy>atulbawane1995@gmail.com</cp:lastModifiedBy>
  <cp:revision>100</cp:revision>
  <dcterms:created xsi:type="dcterms:W3CDTF">2025-06-02T19:01:00Z</dcterms:created>
  <dcterms:modified xsi:type="dcterms:W3CDTF">2025-06-16T18:31:00Z</dcterms:modified>
</cp:coreProperties>
</file>