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1320" w:rsidRDefault="00CE1320" w:rsidP="00776432">
      <w:pPr>
        <w:spacing w:before="0" w:beforeAutospacing="0" w:after="0" w:line="480" w:lineRule="auto"/>
        <w:rPr>
          <w:rFonts w:ascii="Times New Roman" w:eastAsia="Calibri" w:hAnsi="Times New Roman" w:cs="Times New Roman"/>
          <w:b/>
          <w:sz w:val="24"/>
          <w:szCs w:val="24"/>
        </w:rPr>
      </w:pPr>
    </w:p>
    <w:p w:rsidR="00065E57" w:rsidRPr="00065E57" w:rsidRDefault="00065E57" w:rsidP="00065E57">
      <w:pPr>
        <w:spacing w:before="0" w:beforeAutospacing="0" w:after="0" w:line="240" w:lineRule="auto"/>
        <w:jc w:val="right"/>
        <w:outlineLvl w:val="0"/>
        <w:rPr>
          <w:rFonts w:ascii="Arial" w:hAnsi="Arial" w:cs="Arial"/>
          <w:b/>
          <w:bCs/>
          <w:i/>
          <w:iCs/>
          <w:kern w:val="28"/>
          <w:sz w:val="36"/>
          <w:szCs w:val="20"/>
          <w:u w:val="single"/>
        </w:rPr>
      </w:pPr>
      <w:bookmarkStart w:id="0" w:name="_Hlk194045888"/>
      <w:r w:rsidRPr="00065E57">
        <w:rPr>
          <w:rFonts w:ascii="Arial" w:hAnsi="Arial" w:cs="Arial"/>
          <w:b/>
          <w:bCs/>
          <w:i/>
          <w:iCs/>
          <w:kern w:val="28"/>
          <w:sz w:val="36"/>
          <w:szCs w:val="20"/>
          <w:u w:val="single"/>
        </w:rPr>
        <w:t>Original Research Article</w:t>
      </w:r>
    </w:p>
    <w:p w:rsidR="00CE1320" w:rsidRDefault="00CE1320" w:rsidP="00CE1320">
      <w:pPr>
        <w:spacing w:after="0" w:line="480" w:lineRule="auto"/>
        <w:jc w:val="center"/>
        <w:rPr>
          <w:rFonts w:ascii="Times New Roman" w:eastAsia="Calibri" w:hAnsi="Times New Roman" w:cs="Times New Roman"/>
          <w:b/>
          <w:sz w:val="24"/>
          <w:szCs w:val="24"/>
        </w:rPr>
      </w:pPr>
      <w:r w:rsidRPr="00970163">
        <w:rPr>
          <w:rFonts w:ascii="Times New Roman" w:eastAsia="Calibri" w:hAnsi="Times New Roman" w:cs="Times New Roman"/>
          <w:b/>
          <w:sz w:val="24"/>
          <w:szCs w:val="24"/>
        </w:rPr>
        <w:t>Identification, Characterization and Quantification of Lipid Peroxidation Products in Re-used Deep Fried</w:t>
      </w:r>
      <w:r>
        <w:rPr>
          <w:rFonts w:ascii="Times New Roman" w:eastAsia="Calibri" w:hAnsi="Times New Roman" w:cs="Times New Roman"/>
          <w:b/>
          <w:sz w:val="24"/>
          <w:szCs w:val="24"/>
        </w:rPr>
        <w:t xml:space="preserve"> Oil from Food Vendors in South Eastern Nigeria</w:t>
      </w:r>
    </w:p>
    <w:bookmarkEnd w:id="0"/>
    <w:p w:rsidR="00CE1320" w:rsidRPr="00CE1320" w:rsidRDefault="00CE1320" w:rsidP="00CE1320">
      <w:pPr>
        <w:autoSpaceDE w:val="0"/>
        <w:autoSpaceDN w:val="0"/>
        <w:adjustRightInd w:val="0"/>
        <w:spacing w:before="0" w:beforeAutospacing="0" w:after="0" w:line="240" w:lineRule="auto"/>
        <w:rPr>
          <w:rFonts w:ascii="Times New Roman" w:eastAsia="CIDFont+F2" w:hAnsi="Times New Roman" w:cs="Times New Roman"/>
          <w:sz w:val="24"/>
          <w:szCs w:val="24"/>
          <w:lang w:val="en-GB" w:eastAsia="en-GB"/>
        </w:rPr>
      </w:pPr>
    </w:p>
    <w:p w:rsidR="00970163" w:rsidRDefault="00970163" w:rsidP="00776432">
      <w:pPr>
        <w:spacing w:before="0" w:beforeAutospacing="0" w:after="0" w:line="480" w:lineRule="auto"/>
        <w:rPr>
          <w:rFonts w:ascii="Times New Roman" w:eastAsia="Calibri" w:hAnsi="Times New Roman" w:cs="Times New Roman"/>
          <w:b/>
          <w:sz w:val="24"/>
          <w:szCs w:val="24"/>
        </w:rPr>
      </w:pPr>
    </w:p>
    <w:p w:rsidR="003B3559" w:rsidRDefault="00727B14" w:rsidP="00776432">
      <w:pPr>
        <w:spacing w:before="0" w:beforeAutospacing="0" w:after="0" w:line="480" w:lineRule="auto"/>
        <w:rPr>
          <w:rFonts w:ascii="Times New Roman" w:eastAsia="Calibri" w:hAnsi="Times New Roman" w:cs="Times New Roman"/>
          <w:b/>
          <w:sz w:val="24"/>
          <w:szCs w:val="24"/>
        </w:rPr>
      </w:pPr>
      <w:r>
        <w:rPr>
          <w:rFonts w:ascii="Times New Roman" w:eastAsia="Calibri" w:hAnsi="Times New Roman" w:cs="Times New Roman"/>
          <w:b/>
          <w:sz w:val="24"/>
          <w:szCs w:val="24"/>
        </w:rPr>
        <w:t>Abstract</w:t>
      </w:r>
    </w:p>
    <w:p w:rsidR="003B3559" w:rsidRDefault="00727B14" w:rsidP="00776432">
      <w:pPr>
        <w:spacing w:before="0" w:beforeAutospacing="0" w:after="0" w:line="480" w:lineRule="auto"/>
        <w:jc w:val="both"/>
        <w:rPr>
          <w:rFonts w:ascii="Times New Roman" w:hAnsi="Times New Roman" w:cs="Times New Roman"/>
          <w:sz w:val="24"/>
          <w:szCs w:val="24"/>
        </w:rPr>
      </w:pPr>
      <w:r w:rsidRPr="00EE004C">
        <w:rPr>
          <w:rFonts w:ascii="Times New Roman" w:eastAsia="Calibri" w:hAnsi="Times New Roman" w:cs="Times New Roman"/>
          <w:sz w:val="24"/>
          <w:szCs w:val="24"/>
          <w:highlight w:val="yellow"/>
        </w:rPr>
        <w:t xml:space="preserve">Daily consumption of highly oxidized products of fatty acids from re-used deep fried vegetable oil via intake of deep-fried foods leads to gradual accumulation of end products of lipid peroxidation, </w:t>
      </w:r>
      <w:r w:rsidRPr="00EE004C">
        <w:rPr>
          <w:rFonts w:ascii="Times New Roman" w:eastAsia="Calibri" w:hAnsi="Times New Roman" w:cs="Times New Roman"/>
          <w:bCs/>
          <w:highlight w:val="yellow"/>
        </w:rPr>
        <w:t xml:space="preserve">which are </w:t>
      </w:r>
      <w:r w:rsidRPr="00EE004C">
        <w:rPr>
          <w:rFonts w:ascii="Times New Roman" w:eastAsia="Calibri" w:hAnsi="Times New Roman" w:cs="Times New Roman"/>
          <w:sz w:val="24"/>
          <w:szCs w:val="24"/>
          <w:highlight w:val="yellow"/>
        </w:rPr>
        <w:t>capable of distorting most biochemical homeostasis, with health complications such as inflammation of the vascular system.</w:t>
      </w:r>
      <w:r>
        <w:rPr>
          <w:rFonts w:ascii="Times New Roman" w:eastAsia="Calibri" w:hAnsi="Times New Roman" w:cs="Times New Roman"/>
          <w:sz w:val="24"/>
          <w:szCs w:val="24"/>
        </w:rPr>
        <w:t xml:space="preserve"> </w:t>
      </w:r>
      <w:bookmarkStart w:id="1" w:name="_Hlk194046333"/>
      <w:r>
        <w:rPr>
          <w:rFonts w:ascii="Times New Roman" w:eastAsia="Calibri" w:hAnsi="Times New Roman" w:cs="Times New Roman"/>
          <w:sz w:val="24"/>
          <w:szCs w:val="24"/>
        </w:rPr>
        <w:t xml:space="preserve">This research work aims to identify, characterize and quantify the presence of cytotoxic lipid peroxidation products in re-used deep fried culinary oil </w:t>
      </w:r>
      <w:r>
        <w:rPr>
          <w:rFonts w:ascii="Times New Roman" w:hAnsi="Times New Roman" w:cs="Times New Roman"/>
          <w:sz w:val="24"/>
          <w:szCs w:val="24"/>
        </w:rPr>
        <w:t xml:space="preserve">collected from different fast food vendors within (Enugu, Ebonyi, Anambra, Abia and Imo) States in Eastern Nigeria. Hundred </w:t>
      </w:r>
      <w:r w:rsidR="00B45DB7">
        <w:rPr>
          <w:rFonts w:ascii="Times New Roman" w:hAnsi="Times New Roman" w:cs="Times New Roman"/>
          <w:sz w:val="24"/>
          <w:szCs w:val="24"/>
        </w:rPr>
        <w:t>milliliter</w:t>
      </w:r>
      <w:r>
        <w:rPr>
          <w:rFonts w:ascii="Times New Roman" w:hAnsi="Times New Roman" w:cs="Times New Roman"/>
          <w:sz w:val="24"/>
          <w:szCs w:val="24"/>
        </w:rPr>
        <w:t xml:space="preserve"> (100 mL) of </w:t>
      </w:r>
      <w:r>
        <w:rPr>
          <w:rFonts w:ascii="Times New Roman" w:eastAsia="Calibri" w:hAnsi="Times New Roman" w:cs="Times New Roman"/>
          <w:sz w:val="24"/>
          <w:szCs w:val="24"/>
        </w:rPr>
        <w:t>re-used deep fried vegetable oil</w:t>
      </w:r>
      <w:r>
        <w:rPr>
          <w:rFonts w:ascii="Times New Roman" w:hAnsi="Times New Roman" w:cs="Times New Roman"/>
          <w:sz w:val="24"/>
          <w:szCs w:val="24"/>
        </w:rPr>
        <w:t xml:space="preserve"> collected from different fast food vendors within </w:t>
      </w:r>
      <w:r w:rsidR="00B45DB7">
        <w:rPr>
          <w:rFonts w:ascii="Times New Roman" w:hAnsi="Times New Roman" w:cs="Times New Roman"/>
          <w:sz w:val="24"/>
          <w:szCs w:val="24"/>
        </w:rPr>
        <w:t xml:space="preserve">these </w:t>
      </w:r>
      <w:r>
        <w:rPr>
          <w:rFonts w:ascii="Times New Roman" w:hAnsi="Times New Roman" w:cs="Times New Roman"/>
          <w:sz w:val="24"/>
          <w:szCs w:val="24"/>
        </w:rPr>
        <w:t>States, were subjected to characterization, and further identification and quantification of end products of lipid peroxidation level using thiobarbituric acid reactive substances (TBARS) metho</w:t>
      </w:r>
      <w:r w:rsidR="00D92BDD">
        <w:rPr>
          <w:rFonts w:ascii="Times New Roman" w:hAnsi="Times New Roman" w:cs="Times New Roman"/>
          <w:sz w:val="24"/>
          <w:szCs w:val="24"/>
        </w:rPr>
        <w:t>d,</w:t>
      </w:r>
      <w:r>
        <w:rPr>
          <w:rFonts w:ascii="Times New Roman" w:eastAsia="Calibri" w:hAnsi="Times New Roman"/>
          <w:color w:val="231F20"/>
          <w:sz w:val="24"/>
          <w:szCs w:val="24"/>
        </w:rPr>
        <w:t>slightly modified ferrous oxidation-xylenol orange assay method (</w:t>
      </w:r>
      <w:r>
        <w:rPr>
          <w:rFonts w:ascii="Times New Roman" w:hAnsi="Times New Roman" w:cs="Times New Roman"/>
          <w:sz w:val="24"/>
          <w:szCs w:val="24"/>
        </w:rPr>
        <w:t xml:space="preserve">FOX2 assay) and GC-MS analysis. Our findings indicate significant (p&lt;0.05) increase in aldehyde groups, lipid hydroperoxide concentrations, saponification values, rancidity, percentage free fatty acid values, acid values, and remarkable decrease in iodine values in comparison with fresh refined vegetable oil. Our result from Gas chromatography-mass spectrometry analysis of methylated </w:t>
      </w:r>
      <w:r w:rsidR="00D92BDD">
        <w:rPr>
          <w:rFonts w:ascii="Times New Roman" w:eastAsia="Calibri" w:hAnsi="Times New Roman" w:cs="Times New Roman"/>
          <w:sz w:val="24"/>
          <w:szCs w:val="24"/>
        </w:rPr>
        <w:t xml:space="preserve">re-used deep fried vegetable </w:t>
      </w:r>
      <w:r>
        <w:rPr>
          <w:rFonts w:ascii="Times New Roman" w:hAnsi="Times New Roman" w:cs="Times New Roman"/>
          <w:sz w:val="24"/>
          <w:szCs w:val="24"/>
        </w:rPr>
        <w:t>oil detected</w:t>
      </w:r>
      <w:r w:rsidR="00D92BDD">
        <w:rPr>
          <w:rFonts w:ascii="Times New Roman" w:hAnsi="Times New Roman" w:cs="Times New Roman"/>
          <w:sz w:val="24"/>
          <w:szCs w:val="24"/>
        </w:rPr>
        <w:t>,</w:t>
      </w:r>
      <w:r>
        <w:rPr>
          <w:rFonts w:ascii="Times New Roman" w:hAnsi="Times New Roman" w:cs="Times New Roman"/>
          <w:sz w:val="24"/>
          <w:szCs w:val="24"/>
        </w:rPr>
        <w:t xml:space="preserve">  Cholest-5-en-3-ol (3β)- a known </w:t>
      </w:r>
      <w:r>
        <w:rPr>
          <w:rFonts w:ascii="Times New Roman" w:eastAsia="Calibri" w:hAnsi="Times New Roman" w:cs="Times New Roman"/>
          <w:sz w:val="24"/>
          <w:szCs w:val="24"/>
        </w:rPr>
        <w:t>inducer of echinocytic transformation of human erythrocytes and further causes decrease in osmotic fragility of red blood</w:t>
      </w:r>
      <w:r w:rsidR="00D92BDD">
        <w:rPr>
          <w:rFonts w:ascii="Times New Roman" w:eastAsia="Calibri" w:hAnsi="Times New Roman" w:cs="Times New Roman"/>
          <w:sz w:val="24"/>
          <w:szCs w:val="24"/>
        </w:rPr>
        <w:t xml:space="preserve"> cells. </w:t>
      </w:r>
      <w:bookmarkEnd w:id="1"/>
      <w:r w:rsidR="00D92BDD" w:rsidRPr="001626F6">
        <w:rPr>
          <w:rFonts w:ascii="Times New Roman" w:eastAsia="Calibri" w:hAnsi="Times New Roman" w:cs="Times New Roman"/>
          <w:sz w:val="24"/>
          <w:szCs w:val="24"/>
        </w:rPr>
        <w:t xml:space="preserve">The </w:t>
      </w:r>
      <w:r w:rsidRPr="001626F6">
        <w:rPr>
          <w:rFonts w:ascii="Times New Roman" w:hAnsi="Times New Roman" w:cs="Times New Roman"/>
          <w:sz w:val="24"/>
          <w:szCs w:val="24"/>
        </w:rPr>
        <w:lastRenderedPageBreak/>
        <w:t>fail</w:t>
      </w:r>
      <w:r w:rsidR="00D92BDD" w:rsidRPr="001626F6">
        <w:rPr>
          <w:rFonts w:ascii="Times New Roman" w:hAnsi="Times New Roman" w:cs="Times New Roman"/>
          <w:sz w:val="24"/>
          <w:szCs w:val="24"/>
        </w:rPr>
        <w:t xml:space="preserve">ure of methylation process </w:t>
      </w:r>
      <w:r w:rsidRPr="001626F6">
        <w:rPr>
          <w:rFonts w:ascii="Times New Roman" w:hAnsi="Times New Roman" w:cs="Times New Roman"/>
          <w:sz w:val="24"/>
          <w:szCs w:val="24"/>
        </w:rPr>
        <w:t>to capture very short chain hydrocarbons necessitate</w:t>
      </w:r>
      <w:r w:rsidR="00D92BDD" w:rsidRPr="001626F6">
        <w:rPr>
          <w:rFonts w:ascii="Times New Roman" w:hAnsi="Times New Roman" w:cs="Times New Roman"/>
          <w:sz w:val="24"/>
          <w:szCs w:val="24"/>
        </w:rPr>
        <w:t>d</w:t>
      </w:r>
      <w:r w:rsidRPr="001626F6">
        <w:rPr>
          <w:rFonts w:ascii="Times New Roman" w:hAnsi="Times New Roman" w:cs="Times New Roman"/>
          <w:sz w:val="24"/>
          <w:szCs w:val="24"/>
        </w:rPr>
        <w:t xml:space="preserve"> the</w:t>
      </w:r>
      <w:r w:rsidR="00D92BDD" w:rsidRPr="001626F6">
        <w:rPr>
          <w:rFonts w:ascii="Times New Roman" w:hAnsi="Times New Roman" w:cs="Times New Roman"/>
          <w:sz w:val="24"/>
          <w:szCs w:val="24"/>
        </w:rPr>
        <w:t xml:space="preserve"> use </w:t>
      </w:r>
      <w:r w:rsidR="001626F6" w:rsidRPr="001626F6">
        <w:rPr>
          <w:rFonts w:ascii="Times New Roman" w:hAnsi="Times New Roman" w:cs="Times New Roman"/>
          <w:sz w:val="24"/>
          <w:szCs w:val="24"/>
        </w:rPr>
        <w:t>of derivitazation</w:t>
      </w:r>
      <w:r w:rsidRPr="001626F6">
        <w:rPr>
          <w:rFonts w:ascii="Times New Roman" w:hAnsi="Times New Roman" w:cs="Times New Roman"/>
          <w:sz w:val="24"/>
          <w:szCs w:val="24"/>
        </w:rPr>
        <w:t xml:space="preserve"> method</w:t>
      </w:r>
      <w:r w:rsidR="00D92BDD" w:rsidRPr="001626F6">
        <w:rPr>
          <w:rFonts w:ascii="Times New Roman" w:hAnsi="Times New Roman" w:cs="Times New Roman"/>
          <w:sz w:val="24"/>
          <w:szCs w:val="24"/>
        </w:rPr>
        <w:t xml:space="preserve">, which </w:t>
      </w:r>
      <w:r w:rsidRPr="001626F6">
        <w:rPr>
          <w:rFonts w:ascii="Times New Roman" w:hAnsi="Times New Roman" w:cs="Times New Roman"/>
          <w:sz w:val="24"/>
          <w:szCs w:val="24"/>
        </w:rPr>
        <w:t>was able to detected</w:t>
      </w:r>
      <w:r>
        <w:rPr>
          <w:rFonts w:ascii="Times New Roman" w:hAnsi="Times New Roman" w:cs="Times New Roman"/>
          <w:sz w:val="24"/>
          <w:szCs w:val="24"/>
        </w:rPr>
        <w:t xml:space="preserve"> already established cytotoxic product namely; </w:t>
      </w:r>
      <w:bookmarkStart w:id="2" w:name="_Hlk194046660"/>
      <w:r>
        <w:rPr>
          <w:rFonts w:ascii="Times New Roman" w:eastAsia="Calibri" w:hAnsi="Times New Roman" w:cs="Times New Roman"/>
          <w:sz w:val="24"/>
          <w:szCs w:val="24"/>
        </w:rPr>
        <w:t>trans, trans-2,4-decadienal, a highly reactive and pro-apoptotic α,β-unsaturated aldehyde capable of initiating nitrative/oxidative stress</w:t>
      </w:r>
      <w:bookmarkEnd w:id="2"/>
      <w:r>
        <w:rPr>
          <w:rFonts w:ascii="Times New Roman" w:eastAsia="Calibri" w:hAnsi="Times New Roman" w:cs="Times New Roman"/>
          <w:sz w:val="24"/>
          <w:szCs w:val="24"/>
        </w:rPr>
        <w:t>.</w:t>
      </w:r>
    </w:p>
    <w:p w:rsidR="007E7CC3" w:rsidRDefault="007E7CC3" w:rsidP="004D643C">
      <w:pPr>
        <w:spacing w:before="0" w:beforeAutospacing="0" w:after="0" w:line="480" w:lineRule="auto"/>
        <w:jc w:val="both"/>
        <w:rPr>
          <w:rFonts w:ascii="Times New Roman" w:eastAsia="Calibri" w:hAnsi="Times New Roman" w:cs="Times New Roman"/>
          <w:color w:val="000000"/>
          <w:sz w:val="24"/>
          <w:szCs w:val="24"/>
        </w:rPr>
      </w:pPr>
    </w:p>
    <w:p w:rsidR="00970163" w:rsidRDefault="00970163" w:rsidP="004D643C">
      <w:pPr>
        <w:spacing w:before="0" w:beforeAutospacing="0" w:after="0" w:line="480" w:lineRule="auto"/>
        <w:jc w:val="both"/>
        <w:rPr>
          <w:rFonts w:ascii="Times New Roman" w:hAnsi="Times New Roman" w:cs="Times New Roman"/>
          <w:b/>
          <w:sz w:val="24"/>
          <w:szCs w:val="24"/>
        </w:rPr>
      </w:pPr>
    </w:p>
    <w:p w:rsidR="003B3559" w:rsidRDefault="00727B14" w:rsidP="004D643C">
      <w:pPr>
        <w:spacing w:before="0" w:beforeAutospacing="0" w:after="0" w:line="480" w:lineRule="auto"/>
        <w:jc w:val="both"/>
        <w:rPr>
          <w:rFonts w:ascii="Times New Roman" w:hAnsi="Times New Roman" w:cs="Times New Roman"/>
          <w:b/>
          <w:sz w:val="24"/>
          <w:szCs w:val="24"/>
        </w:rPr>
      </w:pPr>
      <w:r>
        <w:rPr>
          <w:rFonts w:ascii="Times New Roman" w:hAnsi="Times New Roman" w:cs="Times New Roman"/>
          <w:b/>
          <w:sz w:val="24"/>
          <w:szCs w:val="24"/>
        </w:rPr>
        <w:t>Introduction</w:t>
      </w:r>
    </w:p>
    <w:p w:rsidR="003B3559" w:rsidRDefault="00727B14" w:rsidP="004D643C">
      <w:pPr>
        <w:spacing w:before="0" w:beforeAutospacing="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Palm oil, which consists of red palm and palm kernel oil are indispensable products in the developing countries where it is used mostly for cooking. It is very useful in making consumable products, detergents, cosmetics and, to some extent, biofuel. Nigeria spent approximately N300billion on importation of palm oil between 2007 and 2022, since the then local production level could not cope with the demand. This implies that Nigeria spends an average of N50billion per annum on importation of these products, knowing fully well that Nigeria used to be the world’s major producer of the commodity in the 1960s. Currently, we were producing approximately 1.4 </w:t>
      </w:r>
      <w:r>
        <w:rPr>
          <w:noProof/>
        </w:rPr>
        <w:drawing>
          <wp:inline distT="0" distB="0" distL="0" distR="0">
            <wp:extent cx="107950" cy="174625"/>
            <wp:effectExtent l="0" t="0" r="6350" b="0"/>
            <wp:docPr id="82" name="Picture 82" descr="C:\Users\FRANK\AppData\Local\Temp\ksohtml11152\wps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C:\Users\FRANK\AppData\Local\Temp\ksohtml11152\wps83.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07950" cy="174625"/>
                    </a:xfrm>
                    <a:prstGeom prst="rect">
                      <a:avLst/>
                    </a:prstGeom>
                    <a:noFill/>
                    <a:ln>
                      <a:noFill/>
                    </a:ln>
                  </pic:spPr>
                </pic:pic>
              </a:graphicData>
            </a:graphic>
          </wp:inline>
        </w:drawing>
      </w:r>
      <w:r>
        <w:rPr>
          <w:rFonts w:ascii="Times New Roman" w:hAnsi="Times New Roman" w:cs="Times New Roman"/>
          <w:sz w:val="24"/>
          <w:szCs w:val="24"/>
        </w:rPr>
        <w:t xml:space="preserve"> 10</w:t>
      </w:r>
      <w:r>
        <w:rPr>
          <w:rFonts w:ascii="Times New Roman" w:hAnsi="Times New Roman" w:cs="Times New Roman"/>
          <w:sz w:val="24"/>
          <w:szCs w:val="24"/>
          <w:vertAlign w:val="superscript"/>
        </w:rPr>
        <w:t>9</w:t>
      </w:r>
      <w:r>
        <w:rPr>
          <w:rFonts w:ascii="Times New Roman" w:hAnsi="Times New Roman" w:cs="Times New Roman"/>
          <w:sz w:val="24"/>
          <w:szCs w:val="24"/>
        </w:rPr>
        <w:t xml:space="preserve"> kg against the 3.0 </w:t>
      </w:r>
      <w:r>
        <w:rPr>
          <w:noProof/>
        </w:rPr>
        <w:drawing>
          <wp:inline distT="0" distB="0" distL="0" distR="0">
            <wp:extent cx="107950" cy="174625"/>
            <wp:effectExtent l="0" t="0" r="6350" b="0"/>
            <wp:docPr id="81" name="Picture 81" descr="C:\Users\FRANK\AppData\Local\Temp\ksohtml11152\wps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C:\Users\FRANK\AppData\Local\Temp\ksohtml11152\wps84.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07950" cy="174625"/>
                    </a:xfrm>
                    <a:prstGeom prst="rect">
                      <a:avLst/>
                    </a:prstGeom>
                    <a:noFill/>
                    <a:ln>
                      <a:noFill/>
                    </a:ln>
                  </pic:spPr>
                </pic:pic>
              </a:graphicData>
            </a:graphic>
          </wp:inline>
        </w:drawing>
      </w:r>
      <w:r>
        <w:rPr>
          <w:rFonts w:ascii="Times New Roman" w:hAnsi="Times New Roman" w:cs="Times New Roman"/>
          <w:sz w:val="24"/>
          <w:szCs w:val="24"/>
        </w:rPr>
        <w:t xml:space="preserve"> 10</w:t>
      </w:r>
      <w:r>
        <w:rPr>
          <w:rFonts w:ascii="Times New Roman" w:hAnsi="Times New Roman" w:cs="Times New Roman"/>
          <w:sz w:val="24"/>
          <w:szCs w:val="24"/>
          <w:vertAlign w:val="superscript"/>
        </w:rPr>
        <w:t>9</w:t>
      </w:r>
      <w:r>
        <w:rPr>
          <w:rFonts w:ascii="Times New Roman" w:hAnsi="Times New Roman" w:cs="Times New Roman"/>
          <w:sz w:val="24"/>
          <w:szCs w:val="24"/>
        </w:rPr>
        <w:t xml:space="preserve"> kg consumed locally (Adegbyega, 2023). However, based on the hash economic situation in the country coupled with the current removal of fuel subsidy, which translate</w:t>
      </w:r>
      <w:r w:rsidR="001626F6">
        <w:rPr>
          <w:rFonts w:ascii="Times New Roman" w:hAnsi="Times New Roman" w:cs="Times New Roman"/>
          <w:sz w:val="24"/>
          <w:szCs w:val="24"/>
        </w:rPr>
        <w:t>d</w:t>
      </w:r>
      <w:r>
        <w:rPr>
          <w:rFonts w:ascii="Times New Roman" w:hAnsi="Times New Roman" w:cs="Times New Roman"/>
          <w:sz w:val="24"/>
          <w:szCs w:val="24"/>
        </w:rPr>
        <w:t xml:space="preserve"> to increase in inflation, all the </w:t>
      </w:r>
      <w:r>
        <w:rPr>
          <w:rFonts w:ascii="Times New Roman" w:eastAsia="Calibri" w:hAnsi="Times New Roman"/>
          <w:color w:val="000000"/>
          <w:sz w:val="24"/>
          <w:szCs w:val="24"/>
        </w:rPr>
        <w:t>ready-made deep-fried fast food</w:t>
      </w:r>
      <w:r>
        <w:rPr>
          <w:rFonts w:ascii="Times New Roman" w:hAnsi="Times New Roman" w:cs="Times New Roman"/>
          <w:sz w:val="24"/>
          <w:szCs w:val="24"/>
        </w:rPr>
        <w:t xml:space="preserve"> vendors asked confirmed that they do not discard oil after re-using it many times. Instead, they add fresh oil to the re-used deep fried oil. Discarding vegetable oil after re-using it many times was strange to all the food vendors interviewed. Many of them said that it would be practically impossible for them to engage in the practice of discarding their oil without re-using them considering the economic cost. </w:t>
      </w:r>
      <w:r>
        <w:rPr>
          <w:rFonts w:ascii="Times New Roman" w:eastAsia="Calibri" w:hAnsi="Times New Roman"/>
          <w:color w:val="000000"/>
          <w:sz w:val="24"/>
          <w:szCs w:val="24"/>
        </w:rPr>
        <w:t>Recent</w:t>
      </w:r>
      <w:r w:rsidR="001626F6">
        <w:rPr>
          <w:rFonts w:ascii="Times New Roman" w:eastAsia="Calibri" w:hAnsi="Times New Roman"/>
          <w:color w:val="000000"/>
          <w:sz w:val="24"/>
          <w:szCs w:val="24"/>
        </w:rPr>
        <w:t xml:space="preserve">ly discovered </w:t>
      </w:r>
      <w:r>
        <w:rPr>
          <w:rFonts w:ascii="Times New Roman" w:eastAsia="Calibri" w:hAnsi="Times New Roman"/>
          <w:color w:val="000000"/>
          <w:sz w:val="24"/>
          <w:szCs w:val="24"/>
        </w:rPr>
        <w:t xml:space="preserve">increase in </w:t>
      </w:r>
      <w:r>
        <w:rPr>
          <w:rFonts w:ascii="Times New Roman" w:eastAsia="Calibri" w:hAnsi="Times New Roman" w:cs="Times New Roman"/>
          <w:sz w:val="24"/>
          <w:szCs w:val="24"/>
        </w:rPr>
        <w:t xml:space="preserve">distortion of most biochemical homeostasis, with health complications such as inflammation of the vascular system, </w:t>
      </w:r>
      <w:r>
        <w:rPr>
          <w:rFonts w:ascii="Times New Roman" w:eastAsia="MinionPro-Regular" w:hAnsi="Times New Roman"/>
          <w:iCs/>
          <w:sz w:val="24"/>
          <w:szCs w:val="24"/>
        </w:rPr>
        <w:t xml:space="preserve">disorders, </w:t>
      </w:r>
      <w:r w:rsidR="00970163">
        <w:rPr>
          <w:rFonts w:ascii="Times New Roman" w:eastAsia="MinionPro-Regular" w:hAnsi="Times New Roman"/>
          <w:iCs/>
          <w:sz w:val="24"/>
          <w:szCs w:val="24"/>
        </w:rPr>
        <w:lastRenderedPageBreak/>
        <w:t>hematological</w:t>
      </w:r>
      <w:r>
        <w:rPr>
          <w:rFonts w:ascii="Times New Roman" w:eastAsia="MinionPro-Regular" w:hAnsi="Times New Roman"/>
          <w:iCs/>
          <w:sz w:val="24"/>
          <w:szCs w:val="24"/>
        </w:rPr>
        <w:t xml:space="preserve"> complications and premature death, among Nigerians, may partly be attributed to increased rate of consumption of </w:t>
      </w:r>
      <w:r>
        <w:rPr>
          <w:rFonts w:ascii="Times New Roman" w:eastAsia="Calibri" w:hAnsi="Times New Roman"/>
          <w:color w:val="000000"/>
          <w:sz w:val="24"/>
          <w:szCs w:val="24"/>
        </w:rPr>
        <w:t xml:space="preserve">highly oxidized lipids unknowingly via intake of deep-fried food </w:t>
      </w:r>
      <w:r>
        <w:rPr>
          <w:rFonts w:ascii="Times New Roman" w:eastAsia="MinionPro-Regular" w:hAnsi="Times New Roman"/>
          <w:iCs/>
          <w:sz w:val="24"/>
          <w:szCs w:val="24"/>
        </w:rPr>
        <w:t xml:space="preserve">(Ezenwali, 2022). The all-inclusivewell-being of the cells of an organism determines the total well-being of an organism which is central to its quality of life. </w:t>
      </w:r>
      <w:r>
        <w:rPr>
          <w:rFonts w:ascii="Times New Roman" w:hAnsi="Times New Roman" w:cs="Times New Roman"/>
          <w:sz w:val="24"/>
          <w:szCs w:val="24"/>
        </w:rPr>
        <w:t xml:space="preserve">Maintenance of good public health requires critical identification of potential exogenous sources of free radicals especially via research analysis and conscious avoidance of such, coupled with mitigation policies. </w:t>
      </w:r>
      <w:r>
        <w:rPr>
          <w:rFonts w:ascii="Times New Roman" w:eastAsia="MinionPro-Regular" w:hAnsi="Times New Roman"/>
          <w:iCs/>
          <w:sz w:val="24"/>
          <w:szCs w:val="24"/>
        </w:rPr>
        <w:t xml:space="preserve">The </w:t>
      </w:r>
      <w:r>
        <w:rPr>
          <w:rFonts w:ascii="Times New Roman" w:eastAsia="Calibri" w:hAnsi="Times New Roman"/>
          <w:sz w:val="24"/>
          <w:szCs w:val="24"/>
        </w:rPr>
        <w:t xml:space="preserve">membrane lipids represent the first line of attack by </w:t>
      </w:r>
      <w:r>
        <w:rPr>
          <w:rFonts w:ascii="Times New Roman" w:hAnsi="Times New Roman" w:cs="Times New Roman"/>
          <w:iCs/>
          <w:sz w:val="24"/>
          <w:szCs w:val="24"/>
        </w:rPr>
        <w:t>lipid peroxidation products</w:t>
      </w:r>
      <w:r>
        <w:rPr>
          <w:rFonts w:ascii="Times New Roman" w:eastAsia="Calibri" w:hAnsi="Times New Roman"/>
          <w:sz w:val="24"/>
          <w:szCs w:val="24"/>
        </w:rPr>
        <w:t xml:space="preserve">/oxidative free radicals, since they constitute the outer most part of body cells. </w:t>
      </w:r>
      <w:r>
        <w:rPr>
          <w:rFonts w:ascii="Times New Roman" w:hAnsi="Times New Roman" w:cs="Times New Roman"/>
          <w:sz w:val="24"/>
          <w:szCs w:val="24"/>
        </w:rPr>
        <w:t>U</w:t>
      </w:r>
      <w:r>
        <w:rPr>
          <w:rFonts w:ascii="Times New Roman" w:eastAsia="Calibri" w:hAnsi="Times New Roman"/>
          <w:sz w:val="24"/>
          <w:szCs w:val="24"/>
        </w:rPr>
        <w:t xml:space="preserve">nsaturated fatty acids (omega-9, -6 and -3 series), which are the major constituents of membrane lipids serve as good substrates for free radical attacks </w:t>
      </w:r>
      <w:r w:rsidR="00803179" w:rsidRPr="00803179">
        <w:rPr>
          <w:rFonts w:ascii="Times New Roman" w:hAnsi="Times New Roman" w:cs="Times New Roman"/>
          <w:sz w:val="24"/>
          <w:szCs w:val="24"/>
        </w:rPr>
        <w:t xml:space="preserve">because of the presence of active bis-allylic methylene groups. The carbon-hydrogen bonds on these activated methylene units have lower bond dissociation energies, making these hydrogen atoms more easily abstracted during free radical reaction/attack (Brash, 2000).The unpaired electron on the carbon, undergoes molecular rearrangement of the double bond to form a conjugated diene which then combines with oxygen to form a peroxyl radical (Halliwell </w:t>
      </w:r>
      <w:r w:rsidR="00803179">
        <w:rPr>
          <w:rFonts w:ascii="Times New Roman" w:hAnsi="Times New Roman" w:cs="Times New Roman"/>
          <w:sz w:val="24"/>
          <w:szCs w:val="24"/>
        </w:rPr>
        <w:t>&amp;</w:t>
      </w:r>
      <w:r w:rsidR="00803179" w:rsidRPr="00803179">
        <w:rPr>
          <w:rFonts w:ascii="Times New Roman" w:hAnsi="Times New Roman" w:cs="Times New Roman"/>
          <w:sz w:val="24"/>
          <w:szCs w:val="24"/>
        </w:rPr>
        <w:t xml:space="preserve"> Gutteridge, 1984). This reaction generates a variety of toxic compounds, including reactive oxygen species (ROS) and lipid peroxidation products (Yin, </w:t>
      </w:r>
      <w:r w:rsidR="00803179" w:rsidRPr="00EE004C">
        <w:rPr>
          <w:rFonts w:ascii="Times New Roman" w:hAnsi="Times New Roman" w:cs="Times New Roman"/>
          <w:sz w:val="24"/>
          <w:szCs w:val="24"/>
          <w:highlight w:val="yellow"/>
        </w:rPr>
        <w:t>et al.,</w:t>
      </w:r>
      <w:r w:rsidR="00803179" w:rsidRPr="00803179">
        <w:rPr>
          <w:rFonts w:ascii="Times New Roman" w:hAnsi="Times New Roman" w:cs="Times New Roman"/>
          <w:sz w:val="24"/>
          <w:szCs w:val="24"/>
        </w:rPr>
        <w:t xml:space="preserve"> 2011), which can distort most biochemical homeostasis (including endoplasmic reticulum homeostasis).</w:t>
      </w:r>
      <w:r>
        <w:rPr>
          <w:rFonts w:ascii="Times New Roman" w:eastAsia="Calibri" w:hAnsi="Times New Roman"/>
          <w:sz w:val="24"/>
          <w:szCs w:val="24"/>
        </w:rPr>
        <w:t>However, some of these products of lipids peroxidation have been confirmed to have mutagenic (Rekhadevi</w:t>
      </w:r>
      <w:r>
        <w:rPr>
          <w:rFonts w:ascii="Cambria Math" w:eastAsia="HBEBP J+ MTSY" w:hAnsi="Cambria Math"/>
          <w:sz w:val="24"/>
          <w:szCs w:val="24"/>
        </w:rPr>
        <w:t>&amp;</w:t>
      </w:r>
      <w:r>
        <w:rPr>
          <w:rFonts w:ascii="Times New Roman" w:eastAsia="HBEBP J+ MTSY" w:hAnsi="Times New Roman"/>
          <w:sz w:val="24"/>
          <w:szCs w:val="24"/>
        </w:rPr>
        <w:t xml:space="preserve">Rajagopal, </w:t>
      </w:r>
      <w:r>
        <w:rPr>
          <w:rFonts w:ascii="Times New Roman" w:eastAsia="Calibri" w:hAnsi="Times New Roman"/>
          <w:sz w:val="24"/>
          <w:szCs w:val="24"/>
        </w:rPr>
        <w:t>2016), carcinogenic ((</w:t>
      </w:r>
      <w:r>
        <w:rPr>
          <w:rStyle w:val="16"/>
          <w:rFonts w:ascii="Times New Roman" w:eastAsia="Calibri" w:hAnsi="Times New Roman" w:cs="Times New Roman"/>
          <w:sz w:val="24"/>
          <w:szCs w:val="24"/>
        </w:rPr>
        <w:t>Pelucchi</w:t>
      </w:r>
      <w:r w:rsidR="00EE004C">
        <w:rPr>
          <w:rStyle w:val="16"/>
          <w:rFonts w:ascii="Times New Roman" w:eastAsia="Calibri" w:hAnsi="Times New Roman" w:cs="Times New Roman"/>
          <w:sz w:val="24"/>
          <w:szCs w:val="24"/>
        </w:rPr>
        <w:t xml:space="preserve"> </w:t>
      </w:r>
      <w:r w:rsidRPr="00EE004C">
        <w:rPr>
          <w:rStyle w:val="16"/>
          <w:rFonts w:ascii="Times New Roman" w:eastAsia="Calibri" w:hAnsi="Times New Roman" w:cs="Times New Roman"/>
          <w:iCs/>
          <w:sz w:val="24"/>
          <w:szCs w:val="24"/>
          <w:highlight w:val="yellow"/>
        </w:rPr>
        <w:t>et al</w:t>
      </w:r>
      <w:r w:rsidRPr="00EE004C">
        <w:rPr>
          <w:rStyle w:val="16"/>
          <w:rFonts w:ascii="Times New Roman" w:eastAsia="Calibri" w:hAnsi="Times New Roman" w:cs="Times New Roman"/>
          <w:sz w:val="24"/>
          <w:szCs w:val="24"/>
          <w:highlight w:val="yellow"/>
        </w:rPr>
        <w:t>.,</w:t>
      </w:r>
      <w:r>
        <w:rPr>
          <w:rStyle w:val="16"/>
          <w:rFonts w:ascii="Times New Roman" w:eastAsia="Calibri" w:hAnsi="Times New Roman" w:cs="Times New Roman"/>
          <w:sz w:val="24"/>
          <w:szCs w:val="24"/>
        </w:rPr>
        <w:t xml:space="preserve"> 2014)</w:t>
      </w:r>
      <w:r>
        <w:rPr>
          <w:rFonts w:ascii="Times New Roman" w:eastAsia="Calibri" w:hAnsi="Times New Roman"/>
          <w:sz w:val="24"/>
          <w:szCs w:val="24"/>
        </w:rPr>
        <w:t xml:space="preserve"> cytotoxic and genotoxic (Srivastava, </w:t>
      </w:r>
      <w:r w:rsidRPr="00EE004C">
        <w:rPr>
          <w:rFonts w:ascii="Times New Roman" w:eastAsia="Calibri" w:hAnsi="Times New Roman"/>
          <w:iCs/>
          <w:sz w:val="24"/>
          <w:szCs w:val="24"/>
          <w:highlight w:val="yellow"/>
        </w:rPr>
        <w:t>et al</w:t>
      </w:r>
      <w:r w:rsidRPr="00EE004C">
        <w:rPr>
          <w:rFonts w:ascii="Times New Roman" w:eastAsia="Calibri" w:hAnsi="Times New Roman"/>
          <w:sz w:val="24"/>
          <w:szCs w:val="24"/>
          <w:highlight w:val="yellow"/>
        </w:rPr>
        <w:t>.,</w:t>
      </w:r>
      <w:r>
        <w:rPr>
          <w:rFonts w:ascii="Times New Roman" w:eastAsia="Calibri" w:hAnsi="Times New Roman"/>
          <w:sz w:val="24"/>
          <w:szCs w:val="24"/>
        </w:rPr>
        <w:t xml:space="preserve"> 2010a; Srivastava, </w:t>
      </w:r>
      <w:r w:rsidRPr="00EE004C">
        <w:rPr>
          <w:rFonts w:ascii="Times New Roman" w:eastAsia="Calibri" w:hAnsi="Times New Roman"/>
          <w:iCs/>
          <w:sz w:val="24"/>
          <w:szCs w:val="24"/>
          <w:highlight w:val="yellow"/>
        </w:rPr>
        <w:t>et al</w:t>
      </w:r>
      <w:r w:rsidRPr="00EE004C">
        <w:rPr>
          <w:rFonts w:ascii="Times New Roman" w:eastAsia="Calibri" w:hAnsi="Times New Roman"/>
          <w:sz w:val="24"/>
          <w:szCs w:val="24"/>
          <w:highlight w:val="yellow"/>
        </w:rPr>
        <w:t>.,</w:t>
      </w:r>
      <w:r>
        <w:rPr>
          <w:rFonts w:ascii="Times New Roman" w:eastAsia="Calibri" w:hAnsi="Times New Roman"/>
          <w:sz w:val="24"/>
          <w:szCs w:val="24"/>
        </w:rPr>
        <w:t xml:space="preserve"> 2010b)</w:t>
      </w:r>
      <w:r w:rsidR="00803179">
        <w:rPr>
          <w:rFonts w:ascii="Times New Roman" w:eastAsia="Calibri" w:hAnsi="Times New Roman"/>
          <w:sz w:val="24"/>
          <w:szCs w:val="24"/>
        </w:rPr>
        <w:t>)</w:t>
      </w:r>
      <w:r>
        <w:rPr>
          <w:rFonts w:ascii="Times New Roman" w:eastAsia="Calibri" w:hAnsi="Times New Roman"/>
          <w:sz w:val="24"/>
          <w:szCs w:val="24"/>
        </w:rPr>
        <w:t xml:space="preserve"> properties and constitute risk factors to overall health of body cells. </w:t>
      </w:r>
      <w:r>
        <w:rPr>
          <w:rFonts w:ascii="Times New Roman" w:eastAsia="Calibri" w:hAnsi="Times New Roman" w:cs="Times New Roman"/>
          <w:sz w:val="24"/>
          <w:szCs w:val="24"/>
        </w:rPr>
        <w:t xml:space="preserve">Although, over five decades now the pathophysiological, nutritional and toxicological effects of </w:t>
      </w:r>
      <w:r w:rsidR="00803179">
        <w:rPr>
          <w:rFonts w:ascii="Times New Roman" w:eastAsia="Calibri" w:hAnsi="Times New Roman" w:cs="Times New Roman"/>
          <w:sz w:val="24"/>
          <w:szCs w:val="24"/>
        </w:rPr>
        <w:t xml:space="preserve">re-used </w:t>
      </w:r>
      <w:r>
        <w:rPr>
          <w:rFonts w:ascii="Times New Roman" w:eastAsia="Calibri" w:hAnsi="Times New Roman" w:cs="Times New Roman"/>
          <w:sz w:val="24"/>
          <w:szCs w:val="24"/>
        </w:rPr>
        <w:t xml:space="preserve">deep fried oil have been the subject of intensive researches (Dobarganes&amp; Márquez-Ruiz, 2015), but the difficulties in reaching thorough </w:t>
      </w:r>
      <w:r>
        <w:rPr>
          <w:rFonts w:ascii="Times New Roman" w:eastAsia="Calibri" w:hAnsi="Times New Roman" w:cs="Times New Roman"/>
          <w:sz w:val="24"/>
          <w:szCs w:val="24"/>
        </w:rPr>
        <w:lastRenderedPageBreak/>
        <w:t xml:space="preserve">conclusions has been partly the disparities in total concentration of products of lipid peroxidation generated in fried oil and the heating conditions used. This was estimated using the formula which states that the sum </w:t>
      </w:r>
      <w:r>
        <w:rPr>
          <w:rFonts w:ascii="Times New Roman" w:eastAsia="Calibri" w:hAnsi="Times New Roman"/>
          <w:color w:val="000000"/>
          <w:sz w:val="24"/>
          <w:szCs w:val="24"/>
        </w:rPr>
        <w:t xml:space="preserve">total of products of lipid peroxidation in deep fried fast food sample is equals the total concentration of volatile and non-volatile products of lipid peroxidation of fried oil absorbed by the deep-fried fast food plus the total concentration of intrinsic volatile and non-volatile products of lipid peroxidation constituents of the deep-fried food} (Ezenwali, 2022). </w:t>
      </w:r>
      <w:r>
        <w:rPr>
          <w:rFonts w:ascii="Times New Roman" w:eastAsia="Calibri" w:hAnsi="Times New Roman" w:cs="Times New Roman"/>
          <w:sz w:val="24"/>
          <w:szCs w:val="24"/>
        </w:rPr>
        <w:t xml:space="preserve">With regard to epidemiological studies, no research work has so far linked normal culinary use of frying oil and distorted biochemical homeostasis (Dobarganes&amp; Márquez-Ruiz, 2015), coupled with the fact that, fried food diets are crucial constituents of Mediterranean diet, which is strongly linked with a reduced risk of cardiovascular events. The number and concentrations of toxic lipid peroxidation compounds thus formed in fried Mediterranean diets are significantly low, since their oil are subjected to normal culinary practices. The health benefits of Mediterranean fried foods (diets) should not be attributed to frying but to the nutritional composition of the </w:t>
      </w:r>
      <w:r w:rsidR="00803179">
        <w:rPr>
          <w:rFonts w:ascii="Times New Roman" w:eastAsia="Calibri" w:hAnsi="Times New Roman" w:cs="Times New Roman"/>
          <w:sz w:val="24"/>
          <w:szCs w:val="24"/>
        </w:rPr>
        <w:t>oil</w:t>
      </w:r>
      <w:r>
        <w:rPr>
          <w:rFonts w:ascii="Times New Roman" w:eastAsia="Calibri" w:hAnsi="Times New Roman" w:cs="Times New Roman"/>
          <w:sz w:val="24"/>
          <w:szCs w:val="24"/>
        </w:rPr>
        <w:t>. However, o</w:t>
      </w:r>
      <w:r>
        <w:rPr>
          <w:rFonts w:ascii="Times New Roman" w:eastAsia="Calibri" w:hAnsi="Times New Roman"/>
          <w:sz w:val="24"/>
          <w:szCs w:val="24"/>
        </w:rPr>
        <w:t xml:space="preserve">xidative free radicals have been implicated in the </w:t>
      </w:r>
      <w:r>
        <w:rPr>
          <w:rFonts w:ascii="Times New Roman" w:eastAsia="MinionPro-Regular" w:hAnsi="Times New Roman"/>
          <w:iCs/>
          <w:sz w:val="24"/>
          <w:szCs w:val="24"/>
        </w:rPr>
        <w:t xml:space="preserve">distortion of </w:t>
      </w:r>
      <w:r>
        <w:rPr>
          <w:rFonts w:ascii="Times New Roman" w:eastAsia="Calibri" w:hAnsi="Times New Roman"/>
          <w:color w:val="000000"/>
          <w:sz w:val="24"/>
          <w:szCs w:val="24"/>
        </w:rPr>
        <w:t>biochemical homeostasis</w:t>
      </w:r>
      <w:r>
        <w:rPr>
          <w:rFonts w:ascii="Times New Roman" w:eastAsia="MinionPro-Regular" w:hAnsi="Times New Roman"/>
          <w:iCs/>
          <w:sz w:val="24"/>
          <w:szCs w:val="24"/>
        </w:rPr>
        <w:t xml:space="preserve"> resulting in health impairments. One of the most </w:t>
      </w:r>
      <w:r>
        <w:rPr>
          <w:rFonts w:ascii="Times New Roman" w:eastAsia="Calibri" w:hAnsi="Times New Roman" w:cs="Times New Roman"/>
          <w:sz w:val="24"/>
          <w:szCs w:val="24"/>
        </w:rPr>
        <w:t xml:space="preserve">commonly known markers ofoxidative/nitrative stress and antioxidant status in cancerous patients is malondialdehyde level (Stefan Gawel, </w:t>
      </w:r>
      <w:r w:rsidRPr="00EE004C">
        <w:rPr>
          <w:rFonts w:ascii="Times New Roman" w:eastAsia="Calibri" w:hAnsi="Times New Roman" w:cs="Times New Roman"/>
          <w:iCs/>
          <w:sz w:val="24"/>
          <w:szCs w:val="24"/>
          <w:highlight w:val="yellow"/>
        </w:rPr>
        <w:t>et al.</w:t>
      </w:r>
      <w:r w:rsidRPr="00EE004C">
        <w:rPr>
          <w:rFonts w:ascii="Times New Roman" w:eastAsia="Calibri" w:hAnsi="Times New Roman" w:cs="Times New Roman"/>
          <w:sz w:val="24"/>
          <w:szCs w:val="24"/>
          <w:highlight w:val="yellow"/>
        </w:rPr>
        <w:t>,</w:t>
      </w:r>
      <w:r>
        <w:rPr>
          <w:rFonts w:ascii="Times New Roman" w:eastAsia="Calibri" w:hAnsi="Times New Roman" w:cs="Times New Roman"/>
          <w:sz w:val="24"/>
          <w:szCs w:val="24"/>
        </w:rPr>
        <w:t xml:space="preserve"> 2004). The aim of this research work is to identify, characterize and quantify the presence of cytotoxic lipid peroxidation products in re-used deep fried culinary oil </w:t>
      </w:r>
      <w:r>
        <w:rPr>
          <w:rFonts w:ascii="Times New Roman" w:hAnsi="Times New Roman" w:cs="Times New Roman"/>
          <w:sz w:val="24"/>
          <w:szCs w:val="24"/>
        </w:rPr>
        <w:t xml:space="preserve">collected from different fast food vendors within (Enugu, Ebonyi, Anambra, Abia and Imo) States in Eastern Nigeria. </w:t>
      </w:r>
    </w:p>
    <w:p w:rsidR="003B3559" w:rsidRDefault="003B3559">
      <w:pPr>
        <w:spacing w:after="0" w:line="480" w:lineRule="auto"/>
        <w:jc w:val="both"/>
        <w:rPr>
          <w:rFonts w:ascii="Times New Roman" w:hAnsi="Times New Roman" w:cs="Times New Roman"/>
          <w:sz w:val="24"/>
          <w:szCs w:val="24"/>
        </w:rPr>
      </w:pPr>
    </w:p>
    <w:p w:rsidR="00970163" w:rsidRDefault="00970163">
      <w:pPr>
        <w:spacing w:after="0" w:line="480" w:lineRule="auto"/>
        <w:jc w:val="both"/>
        <w:rPr>
          <w:rFonts w:ascii="Times New Roman" w:hAnsi="Times New Roman" w:cs="Times New Roman"/>
          <w:sz w:val="24"/>
          <w:szCs w:val="24"/>
        </w:rPr>
      </w:pPr>
    </w:p>
    <w:p w:rsidR="00970163" w:rsidRDefault="00970163">
      <w:pPr>
        <w:spacing w:after="0" w:line="480" w:lineRule="auto"/>
        <w:jc w:val="both"/>
        <w:rPr>
          <w:rFonts w:ascii="Times New Roman" w:hAnsi="Times New Roman" w:cs="Times New Roman"/>
          <w:sz w:val="24"/>
          <w:szCs w:val="24"/>
        </w:rPr>
      </w:pPr>
    </w:p>
    <w:p w:rsidR="00970163" w:rsidRDefault="00970163">
      <w:pPr>
        <w:spacing w:after="0" w:line="480" w:lineRule="auto"/>
        <w:jc w:val="both"/>
        <w:rPr>
          <w:rFonts w:ascii="Times New Roman" w:hAnsi="Times New Roman" w:cs="Times New Roman"/>
          <w:sz w:val="24"/>
          <w:szCs w:val="24"/>
        </w:rPr>
      </w:pPr>
    </w:p>
    <w:p w:rsidR="00970163" w:rsidRDefault="00970163">
      <w:pPr>
        <w:spacing w:after="0" w:line="480" w:lineRule="auto"/>
        <w:jc w:val="both"/>
        <w:rPr>
          <w:rFonts w:ascii="Times New Roman" w:hAnsi="Times New Roman" w:cs="Times New Roman"/>
          <w:sz w:val="24"/>
          <w:szCs w:val="24"/>
        </w:rPr>
      </w:pPr>
    </w:p>
    <w:p w:rsidR="004D643C" w:rsidRDefault="004D643C">
      <w:pPr>
        <w:spacing w:after="0" w:line="480" w:lineRule="auto"/>
        <w:jc w:val="both"/>
        <w:rPr>
          <w:rFonts w:ascii="Times New Roman" w:hAnsi="Times New Roman" w:cs="Times New Roman"/>
          <w:sz w:val="24"/>
          <w:szCs w:val="24"/>
        </w:rPr>
      </w:pPr>
    </w:p>
    <w:p w:rsidR="004D643C" w:rsidRDefault="004D643C">
      <w:pPr>
        <w:spacing w:after="0" w:line="480" w:lineRule="auto"/>
        <w:jc w:val="both"/>
        <w:rPr>
          <w:rFonts w:ascii="Times New Roman" w:hAnsi="Times New Roman" w:cs="Times New Roman"/>
          <w:sz w:val="24"/>
          <w:szCs w:val="24"/>
        </w:rPr>
      </w:pPr>
    </w:p>
    <w:p w:rsidR="003B3559" w:rsidRDefault="00727B14" w:rsidP="00803179">
      <w:pPr>
        <w:spacing w:after="0" w:line="48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2. Materials and Methods</w:t>
      </w:r>
    </w:p>
    <w:p w:rsidR="003B3559" w:rsidRDefault="00727B14">
      <w:pPr>
        <w:autoSpaceDE w:val="0"/>
        <w:autoSpaceDN w:val="0"/>
        <w:adjustRightInd w:val="0"/>
        <w:spacing w:after="0" w:line="48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2.1</w:t>
      </w:r>
      <w:r>
        <w:rPr>
          <w:rFonts w:ascii="Times New Roman" w:eastAsia="Calibri" w:hAnsi="Times New Roman" w:cs="Times New Roman"/>
          <w:b/>
          <w:bCs/>
          <w:sz w:val="24"/>
          <w:szCs w:val="24"/>
        </w:rPr>
        <w:tab/>
        <w:t>Materials</w:t>
      </w:r>
    </w:p>
    <w:p w:rsidR="003B3559" w:rsidRDefault="00727B14" w:rsidP="004D643C">
      <w:pPr>
        <w:spacing w:before="0" w:beforeAutospacing="0" w:after="0" w:line="480" w:lineRule="auto"/>
        <w:jc w:val="both"/>
        <w:rPr>
          <w:rFonts w:ascii="Times New Roman" w:eastAsia="Calibri" w:hAnsi="Times New Roman"/>
          <w:b/>
          <w:sz w:val="24"/>
          <w:szCs w:val="24"/>
        </w:rPr>
      </w:pPr>
      <w:r>
        <w:rPr>
          <w:rFonts w:ascii="Times New Roman" w:eastAsia="Calibri" w:hAnsi="Times New Roman" w:cs="Times New Roman"/>
          <w:b/>
          <w:bCs/>
          <w:sz w:val="24"/>
          <w:szCs w:val="24"/>
        </w:rPr>
        <w:t>2.1.1</w:t>
      </w:r>
      <w:r>
        <w:rPr>
          <w:rFonts w:ascii="Times New Roman" w:eastAsia="Calibri" w:hAnsi="Times New Roman" w:cs="Times New Roman"/>
          <w:b/>
          <w:bCs/>
          <w:sz w:val="24"/>
          <w:szCs w:val="24"/>
        </w:rPr>
        <w:tab/>
      </w:r>
      <w:r>
        <w:rPr>
          <w:rFonts w:ascii="Times New Roman" w:eastAsia="Calibri" w:hAnsi="Times New Roman"/>
          <w:b/>
          <w:sz w:val="24"/>
          <w:szCs w:val="24"/>
        </w:rPr>
        <w:t>Equipment</w:t>
      </w:r>
    </w:p>
    <w:p w:rsidR="003B3559" w:rsidRDefault="00727B14" w:rsidP="004D643C">
      <w:pPr>
        <w:spacing w:before="0" w:beforeAutospacing="0" w:after="0" w:line="480" w:lineRule="auto"/>
        <w:jc w:val="both"/>
        <w:rPr>
          <w:rFonts w:ascii="Times New Roman" w:eastAsia="Calibri" w:hAnsi="Times New Roman"/>
          <w:sz w:val="24"/>
          <w:szCs w:val="24"/>
        </w:rPr>
      </w:pPr>
      <w:r>
        <w:rPr>
          <w:rFonts w:ascii="Times New Roman" w:eastAsia="Calibri" w:hAnsi="Times New Roman"/>
          <w:sz w:val="24"/>
          <w:szCs w:val="24"/>
        </w:rPr>
        <w:t>Precision weighing balance, refrigerator, water bath (U-Clear England), spectrophotometer (U-Clear England), incubator (U-Clear England), Rotary evaporator (Eyla N-1000, Japan), desiccator, centrifuge (Hanil, MF-80, Korea) and Shimadzu GC–MS QP2010 Ultra equipment (Japan).</w:t>
      </w:r>
    </w:p>
    <w:p w:rsidR="003B3559" w:rsidRDefault="00727B14">
      <w:pPr>
        <w:autoSpaceDE w:val="0"/>
        <w:autoSpaceDN w:val="0"/>
        <w:adjustRightInd w:val="0"/>
        <w:spacing w:after="0" w:line="480" w:lineRule="auto"/>
        <w:contextualSpacing/>
        <w:jc w:val="both"/>
        <w:rPr>
          <w:rFonts w:ascii="Times New Roman" w:eastAsia="Calibri" w:hAnsi="Times New Roman" w:cs="Times New Roman"/>
          <w:i/>
          <w:iCs/>
          <w:sz w:val="24"/>
          <w:szCs w:val="24"/>
        </w:rPr>
      </w:pPr>
      <w:r>
        <w:rPr>
          <w:rFonts w:ascii="Times New Roman" w:eastAsia="Calibri" w:hAnsi="Times New Roman" w:cs="Times New Roman"/>
          <w:b/>
          <w:iCs/>
          <w:sz w:val="24"/>
          <w:szCs w:val="24"/>
        </w:rPr>
        <w:t>2.1.2</w:t>
      </w:r>
      <w:r>
        <w:rPr>
          <w:rFonts w:ascii="Times New Roman" w:eastAsia="Calibri" w:hAnsi="Times New Roman" w:cs="Times New Roman"/>
          <w:b/>
          <w:iCs/>
          <w:sz w:val="24"/>
          <w:szCs w:val="24"/>
        </w:rPr>
        <w:tab/>
        <w:t>Chemicals and Reagents</w:t>
      </w:r>
    </w:p>
    <w:p w:rsidR="003B3559" w:rsidRDefault="00727B14">
      <w:pPr>
        <w:autoSpaceDE w:val="0"/>
        <w:autoSpaceDN w:val="0"/>
        <w:adjustRightInd w:val="0"/>
        <w:spacing w:after="0"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Thiobarbituric acid (TBA) (Molychem India); malondialdehyde tetrabutyl ammonium salt (MDA salt), 2, 4-Dintrophenlyhydrazine 98%, Methanol (CDH), and Chloroform (Lab-Chem)</w:t>
      </w:r>
      <w:r w:rsidR="00A04ACB">
        <w:rPr>
          <w:rFonts w:ascii="Times New Roman" w:eastAsia="Calibri" w:hAnsi="Times New Roman" w:cs="Times New Roman"/>
          <w:sz w:val="24"/>
          <w:szCs w:val="24"/>
        </w:rPr>
        <w:t>,</w:t>
      </w:r>
      <w:r>
        <w:rPr>
          <w:rFonts w:ascii="Times New Roman" w:eastAsia="Calibri" w:hAnsi="Times New Roman" w:cs="Times New Roman"/>
          <w:sz w:val="24"/>
          <w:szCs w:val="24"/>
        </w:rPr>
        <w:t xml:space="preserve"> Butylated Hydroxyl Toluene (Lobachemie). All other chemicals and reagents were of analytical standard with high purity.</w:t>
      </w:r>
    </w:p>
    <w:p w:rsidR="003B3559" w:rsidRDefault="00727B14">
      <w:pPr>
        <w:autoSpaceDE w:val="0"/>
        <w:autoSpaceDN w:val="0"/>
        <w:adjustRightInd w:val="0"/>
        <w:spacing w:after="0" w:line="480" w:lineRule="auto"/>
        <w:contextualSpacing/>
        <w:jc w:val="both"/>
        <w:rPr>
          <w:rFonts w:ascii="Times New Roman" w:eastAsia="Calibri" w:hAnsi="Times New Roman" w:cs="Times New Roman"/>
          <w:b/>
          <w:iCs/>
          <w:sz w:val="24"/>
          <w:szCs w:val="24"/>
        </w:rPr>
      </w:pPr>
      <w:r>
        <w:rPr>
          <w:rFonts w:ascii="Times New Roman" w:eastAsia="Calibri" w:hAnsi="Times New Roman" w:cs="Times New Roman"/>
          <w:b/>
          <w:iCs/>
          <w:sz w:val="24"/>
          <w:szCs w:val="24"/>
        </w:rPr>
        <w:t>2.2</w:t>
      </w:r>
      <w:r>
        <w:rPr>
          <w:rFonts w:ascii="Times New Roman" w:eastAsia="Calibri" w:hAnsi="Times New Roman" w:cs="Times New Roman"/>
          <w:b/>
          <w:iCs/>
          <w:sz w:val="24"/>
          <w:szCs w:val="24"/>
        </w:rPr>
        <w:tab/>
        <w:t>Methods</w:t>
      </w:r>
    </w:p>
    <w:p w:rsidR="003B3559" w:rsidRDefault="00727B14">
      <w:pPr>
        <w:autoSpaceDE w:val="0"/>
        <w:autoSpaceDN w:val="0"/>
        <w:adjustRightInd w:val="0"/>
        <w:spacing w:after="0" w:line="480" w:lineRule="auto"/>
        <w:contextualSpacing/>
        <w:jc w:val="both"/>
        <w:rPr>
          <w:rFonts w:ascii="Times New Roman" w:eastAsia="Calibri" w:hAnsi="Times New Roman" w:cs="Times New Roman"/>
          <w:b/>
          <w:iCs/>
          <w:sz w:val="24"/>
          <w:szCs w:val="24"/>
        </w:rPr>
      </w:pPr>
      <w:r>
        <w:rPr>
          <w:rFonts w:ascii="Times New Roman" w:eastAsia="Calibri" w:hAnsi="Times New Roman" w:cs="Times New Roman"/>
          <w:b/>
          <w:iCs/>
          <w:sz w:val="24"/>
          <w:szCs w:val="24"/>
        </w:rPr>
        <w:t>2.2.1</w:t>
      </w:r>
      <w:r>
        <w:rPr>
          <w:rFonts w:ascii="Times New Roman" w:eastAsia="Calibri" w:hAnsi="Times New Roman" w:cs="Times New Roman"/>
          <w:b/>
          <w:iCs/>
          <w:sz w:val="24"/>
          <w:szCs w:val="24"/>
        </w:rPr>
        <w:tab/>
        <w:t>Reagent Preparations</w:t>
      </w:r>
    </w:p>
    <w:p w:rsidR="003B3559" w:rsidRDefault="00727B14">
      <w:pPr>
        <w:autoSpaceDE w:val="0"/>
        <w:autoSpaceDN w:val="0"/>
        <w:adjustRightInd w:val="0"/>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2.2.1.1</w:t>
      </w:r>
      <w:r>
        <w:rPr>
          <w:rFonts w:ascii="Times New Roman" w:eastAsia="Calibri" w:hAnsi="Times New Roman" w:cs="Times New Roman"/>
          <w:b/>
          <w:sz w:val="24"/>
          <w:szCs w:val="24"/>
        </w:rPr>
        <w:tab/>
        <w:t xml:space="preserve"> Butylated Hydroxyl Toluene</w:t>
      </w:r>
    </w:p>
    <w:p w:rsidR="003B3559" w:rsidRDefault="00727B14">
      <w:pPr>
        <w:autoSpaceDE w:val="0"/>
        <w:autoSpaceDN w:val="0"/>
        <w:adjustRightInd w:val="0"/>
        <w:spacing w:after="0"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To prevent further oxidation of the sample during the actual analysis, Butylated Hydroxyl Toluene (0.01%) was prepared by dissolving 0.01g of BHT in 100 mL double distilled/deionized water.  </w:t>
      </w:r>
    </w:p>
    <w:p w:rsidR="003B3559" w:rsidRDefault="00727B14">
      <w:pPr>
        <w:autoSpaceDE w:val="0"/>
        <w:autoSpaceDN w:val="0"/>
        <w:adjustRightInd w:val="0"/>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2.2.1.2</w:t>
      </w:r>
      <w:r>
        <w:rPr>
          <w:rFonts w:ascii="Times New Roman" w:eastAsia="Calibri" w:hAnsi="Times New Roman" w:cs="Times New Roman"/>
          <w:b/>
          <w:sz w:val="24"/>
          <w:szCs w:val="24"/>
        </w:rPr>
        <w:tab/>
        <w:t>Preparation of Methanol KOH</w:t>
      </w:r>
    </w:p>
    <w:p w:rsidR="003B3559" w:rsidRDefault="00727B14">
      <w:pPr>
        <w:autoSpaceDE w:val="0"/>
        <w:autoSpaceDN w:val="0"/>
        <w:adjustRightInd w:val="0"/>
        <w:spacing w:after="0"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 known quantity (22.40 g) of KOH was dissolved in 200 ml of analytical standard methanol.</w:t>
      </w:r>
    </w:p>
    <w:p w:rsidR="003B3559" w:rsidRDefault="00727B14" w:rsidP="004D643C">
      <w:pPr>
        <w:autoSpaceDE w:val="0"/>
        <w:autoSpaceDN w:val="0"/>
        <w:adjustRightInd w:val="0"/>
        <w:spacing w:before="0" w:beforeAutospacing="0"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2.2.1.3</w:t>
      </w:r>
      <w:r>
        <w:rPr>
          <w:rFonts w:ascii="Times New Roman" w:eastAsia="Calibri" w:hAnsi="Times New Roman" w:cs="Times New Roman"/>
          <w:b/>
          <w:sz w:val="24"/>
          <w:szCs w:val="24"/>
        </w:rPr>
        <w:tab/>
        <w:t>Collection of Re-used deep fried vegetable oil from food vendors</w:t>
      </w:r>
    </w:p>
    <w:p w:rsidR="003B3559" w:rsidRDefault="00727B14" w:rsidP="004D643C">
      <w:pPr>
        <w:spacing w:before="0" w:beforeAutospacing="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 known volume (100 mL) of re-used deep fried oil were collected from different fast food vendors within the five states in Eastern Nigeria. However, re-used deep fried oil were subjected to characterization, quantification of levels of products of lipid peroxidation using thiobarbituric acid reactive substances (TBARS) assay method, and determination of concentrations of lipid hydroperoxide using </w:t>
      </w:r>
      <w:r w:rsidR="00A04ACB">
        <w:rPr>
          <w:rFonts w:ascii="Times New Roman" w:hAnsi="Times New Roman" w:cs="Times New Roman"/>
          <w:sz w:val="24"/>
          <w:szCs w:val="24"/>
        </w:rPr>
        <w:t xml:space="preserve">slightly modified </w:t>
      </w:r>
      <w:r>
        <w:rPr>
          <w:rFonts w:ascii="Times New Roman" w:hAnsi="Times New Roman" w:cs="Times New Roman"/>
          <w:sz w:val="24"/>
          <w:szCs w:val="24"/>
        </w:rPr>
        <w:t>FOX2 assay method. In the first phase of GC-MS analysis, the raw</w:t>
      </w:r>
      <w:r w:rsidR="00A04ACB">
        <w:rPr>
          <w:rFonts w:ascii="Times New Roman" w:hAnsi="Times New Roman" w:cs="Times New Roman"/>
          <w:sz w:val="24"/>
          <w:szCs w:val="24"/>
        </w:rPr>
        <w:t>,</w:t>
      </w:r>
      <w:r>
        <w:rPr>
          <w:rFonts w:ascii="Times New Roman" w:hAnsi="Times New Roman" w:cs="Times New Roman"/>
          <w:sz w:val="24"/>
          <w:szCs w:val="24"/>
        </w:rPr>
        <w:t xml:space="preserve"> untreated re-used deep fried oil was used, in the second phase </w:t>
      </w:r>
      <w:r w:rsidR="00A04ACB">
        <w:rPr>
          <w:rFonts w:ascii="Times New Roman" w:hAnsi="Times New Roman" w:cs="Times New Roman"/>
          <w:sz w:val="24"/>
          <w:szCs w:val="24"/>
        </w:rPr>
        <w:t xml:space="preserve">methylated </w:t>
      </w:r>
      <w:r>
        <w:rPr>
          <w:rFonts w:ascii="Times New Roman" w:hAnsi="Times New Roman" w:cs="Times New Roman"/>
          <w:sz w:val="24"/>
          <w:szCs w:val="24"/>
        </w:rPr>
        <w:t>re-used deep fried oil was</w:t>
      </w:r>
      <w:r w:rsidR="00A04ACB">
        <w:rPr>
          <w:rFonts w:ascii="Times New Roman" w:hAnsi="Times New Roman" w:cs="Times New Roman"/>
          <w:sz w:val="24"/>
          <w:szCs w:val="24"/>
        </w:rPr>
        <w:t xml:space="preserve"> used</w:t>
      </w:r>
      <w:r>
        <w:rPr>
          <w:rFonts w:ascii="Times New Roman" w:hAnsi="Times New Roman" w:cs="Times New Roman"/>
          <w:sz w:val="24"/>
          <w:szCs w:val="24"/>
        </w:rPr>
        <w:t xml:space="preserve">, while in the third phase </w:t>
      </w:r>
      <w:r w:rsidR="00A04ACB">
        <w:rPr>
          <w:rFonts w:ascii="Times New Roman" w:hAnsi="Times New Roman" w:cs="Times New Roman"/>
          <w:sz w:val="24"/>
          <w:szCs w:val="24"/>
        </w:rPr>
        <w:t xml:space="preserve">derivatized </w:t>
      </w:r>
      <w:r>
        <w:rPr>
          <w:rFonts w:ascii="Times New Roman" w:hAnsi="Times New Roman" w:cs="Times New Roman"/>
          <w:sz w:val="24"/>
          <w:szCs w:val="24"/>
        </w:rPr>
        <w:t>re-used deep fried oil was us</w:t>
      </w:r>
      <w:r w:rsidR="00A04ACB">
        <w:rPr>
          <w:rFonts w:ascii="Times New Roman" w:hAnsi="Times New Roman" w:cs="Times New Roman"/>
          <w:sz w:val="24"/>
          <w:szCs w:val="24"/>
        </w:rPr>
        <w:t>ed</w:t>
      </w:r>
      <w:r>
        <w:rPr>
          <w:rFonts w:ascii="Times New Roman" w:hAnsi="Times New Roman" w:cs="Times New Roman"/>
          <w:sz w:val="24"/>
          <w:szCs w:val="24"/>
        </w:rPr>
        <w:t>. Finally, the untreated raw re</w:t>
      </w:r>
      <w:r w:rsidR="00A04ACB">
        <w:rPr>
          <w:rFonts w:ascii="Times New Roman" w:hAnsi="Times New Roman" w:cs="Times New Roman"/>
          <w:sz w:val="24"/>
          <w:szCs w:val="24"/>
        </w:rPr>
        <w:t>-</w:t>
      </w:r>
      <w:r>
        <w:rPr>
          <w:rFonts w:ascii="Times New Roman" w:hAnsi="Times New Roman" w:cs="Times New Roman"/>
          <w:sz w:val="24"/>
          <w:szCs w:val="24"/>
        </w:rPr>
        <w:t xml:space="preserve">used deep fried oil, methylated and derivatized oil samples were further subjected to GC-MS analysis.   </w:t>
      </w:r>
    </w:p>
    <w:p w:rsidR="003B3559" w:rsidRDefault="003B3559">
      <w:pPr>
        <w:autoSpaceDE w:val="0"/>
        <w:autoSpaceDN w:val="0"/>
        <w:adjustRightInd w:val="0"/>
        <w:spacing w:after="0" w:line="480" w:lineRule="auto"/>
        <w:contextualSpacing/>
        <w:jc w:val="both"/>
        <w:rPr>
          <w:rFonts w:ascii="Times New Roman" w:eastAsia="Calibri" w:hAnsi="Times New Roman" w:cs="Times New Roman"/>
          <w:sz w:val="24"/>
          <w:szCs w:val="24"/>
        </w:rPr>
      </w:pPr>
    </w:p>
    <w:p w:rsidR="003B3559" w:rsidRDefault="00727B14">
      <w:pPr>
        <w:autoSpaceDE w:val="0"/>
        <w:autoSpaceDN w:val="0"/>
        <w:adjustRightInd w:val="0"/>
        <w:spacing w:after="0" w:line="480" w:lineRule="auto"/>
        <w:contextualSpacing/>
        <w:jc w:val="both"/>
        <w:rPr>
          <w:rFonts w:ascii="Times New Roman" w:eastAsia="Calibri" w:hAnsi="Times New Roman" w:cs="Times New Roman"/>
          <w:iCs/>
          <w:sz w:val="24"/>
          <w:szCs w:val="24"/>
        </w:rPr>
      </w:pPr>
      <w:r>
        <w:rPr>
          <w:rFonts w:ascii="Times New Roman" w:eastAsia="Calibri" w:hAnsi="Times New Roman" w:cs="Times New Roman"/>
          <w:b/>
          <w:iCs/>
          <w:sz w:val="24"/>
          <w:szCs w:val="24"/>
        </w:rPr>
        <w:t>2.2.2</w:t>
      </w:r>
      <w:r>
        <w:rPr>
          <w:rFonts w:ascii="Times New Roman" w:eastAsia="Calibri" w:hAnsi="Times New Roman" w:cs="Times New Roman"/>
          <w:b/>
          <w:iCs/>
          <w:sz w:val="24"/>
          <w:szCs w:val="24"/>
        </w:rPr>
        <w:tab/>
        <w:t>Characterization of re-used oil</w:t>
      </w:r>
    </w:p>
    <w:p w:rsidR="003B3559" w:rsidRDefault="00727B14" w:rsidP="000854FD">
      <w:pPr>
        <w:autoSpaceDE w:val="0"/>
        <w:autoSpaceDN w:val="0"/>
        <w:adjustRightInd w:val="0"/>
        <w:spacing w:before="0" w:beforeAutospacing="0" w:after="0" w:line="480" w:lineRule="auto"/>
        <w:contextualSpacing/>
        <w:jc w:val="both"/>
        <w:rPr>
          <w:rFonts w:ascii="Times New Roman" w:eastAsia="Calibri" w:hAnsi="Times New Roman" w:cs="Times New Roman"/>
          <w:b/>
          <w:iCs/>
          <w:sz w:val="24"/>
          <w:szCs w:val="24"/>
        </w:rPr>
      </w:pPr>
      <w:r>
        <w:rPr>
          <w:rFonts w:ascii="Times New Roman" w:eastAsia="Calibri" w:hAnsi="Times New Roman" w:cs="Times New Roman"/>
          <w:b/>
          <w:iCs/>
          <w:sz w:val="24"/>
          <w:szCs w:val="24"/>
        </w:rPr>
        <w:t>2.2.2.1</w:t>
      </w:r>
      <w:r>
        <w:rPr>
          <w:rFonts w:ascii="Times New Roman" w:eastAsia="Calibri" w:hAnsi="Times New Roman" w:cs="Times New Roman"/>
          <w:b/>
          <w:iCs/>
          <w:sz w:val="24"/>
          <w:szCs w:val="24"/>
        </w:rPr>
        <w:tab/>
        <w:t>Percentage Free fatty acid value</w:t>
      </w:r>
    </w:p>
    <w:p w:rsidR="003B3559" w:rsidRDefault="00727B14" w:rsidP="000854FD">
      <w:pPr>
        <w:autoSpaceDE w:val="0"/>
        <w:autoSpaceDN w:val="0"/>
        <w:adjustRightInd w:val="0"/>
        <w:spacing w:before="0" w:beforeAutospacing="0"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Free fatty acid value which indicates the measure of fatty acids </w:t>
      </w:r>
      <w:r w:rsidR="000854FD">
        <w:rPr>
          <w:rFonts w:ascii="Times New Roman" w:eastAsia="Calibri" w:hAnsi="Times New Roman" w:cs="Times New Roman"/>
          <w:sz w:val="24"/>
          <w:szCs w:val="24"/>
        </w:rPr>
        <w:t>hydrolyzed</w:t>
      </w:r>
      <w:r>
        <w:rPr>
          <w:rFonts w:ascii="Times New Roman" w:eastAsia="Calibri" w:hAnsi="Times New Roman" w:cs="Times New Roman"/>
          <w:sz w:val="24"/>
          <w:szCs w:val="24"/>
        </w:rPr>
        <w:t xml:space="preserve"> from esterification bond with glycerol w</w:t>
      </w:r>
      <w:r w:rsidR="0043434C">
        <w:rPr>
          <w:rFonts w:ascii="Times New Roman" w:eastAsia="Calibri" w:hAnsi="Times New Roman" w:cs="Times New Roman"/>
          <w:sz w:val="24"/>
          <w:szCs w:val="24"/>
        </w:rPr>
        <w:t xml:space="preserve">ere determined </w:t>
      </w:r>
      <w:r>
        <w:rPr>
          <w:rFonts w:ascii="Times New Roman" w:eastAsia="Calibri" w:hAnsi="Times New Roman" w:cs="Times New Roman"/>
          <w:sz w:val="24"/>
          <w:szCs w:val="24"/>
        </w:rPr>
        <w:t xml:space="preserve">using the method of Association of Analytical Chemists (2015). A known weight of the oil 1.00g was accurately weighed into a neatly washed and dried 250 mL Erlenmeyer flask using a precision weighing balance. A </w:t>
      </w:r>
      <w:r w:rsidR="0043434C">
        <w:rPr>
          <w:rFonts w:ascii="Times New Roman" w:eastAsia="Calibri" w:hAnsi="Times New Roman" w:cs="Times New Roman"/>
          <w:sz w:val="24"/>
          <w:szCs w:val="24"/>
        </w:rPr>
        <w:t>k</w:t>
      </w:r>
      <w:r>
        <w:rPr>
          <w:rFonts w:ascii="Times New Roman" w:eastAsia="Calibri" w:hAnsi="Times New Roman" w:cs="Times New Roman"/>
          <w:sz w:val="24"/>
          <w:szCs w:val="24"/>
        </w:rPr>
        <w:t xml:space="preserve">nown volume (2.00 mL) of phenolphthalein indicator and 50 mL of neutralized ethanol were added, with proper shaken to </w:t>
      </w:r>
      <w:r>
        <w:rPr>
          <w:rFonts w:ascii="Times New Roman" w:eastAsia="Calibri" w:hAnsi="Times New Roman" w:cs="Times New Roman"/>
          <w:sz w:val="24"/>
          <w:szCs w:val="24"/>
        </w:rPr>
        <w:lastRenderedPageBreak/>
        <w:t>form homogenous mixture. The homogenous mixture was titrated with standard base (0.1</w:t>
      </w:r>
      <w:r>
        <w:rPr>
          <w:rFonts w:ascii="Times New Roman" w:eastAsia="Calibri" w:hAnsi="Times New Roman" w:cs="Times New Roman"/>
          <w:iCs/>
          <w:sz w:val="24"/>
          <w:szCs w:val="24"/>
        </w:rPr>
        <w:t>N</w:t>
      </w:r>
      <w:r>
        <w:rPr>
          <w:rFonts w:ascii="Times New Roman" w:eastAsia="Calibri" w:hAnsi="Times New Roman" w:cs="Times New Roman"/>
          <w:sz w:val="24"/>
          <w:szCs w:val="24"/>
        </w:rPr>
        <w:t xml:space="preserve">NaOH), with vigorous but constant shaking until the endpoint, indicated by a slight pink colour change that persists for 30s, was reached. The titrant volumes were recorded. </w:t>
      </w:r>
    </w:p>
    <w:p w:rsidR="003B3559" w:rsidRDefault="00727B14">
      <w:pPr>
        <w:autoSpaceDE w:val="0"/>
        <w:autoSpaceDN w:val="0"/>
        <w:adjustRightInd w:val="0"/>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FFA value was calculated using the formula; </w:t>
      </w:r>
    </w:p>
    <w:p w:rsidR="003B3559" w:rsidRDefault="00727B14">
      <w:pPr>
        <w:autoSpaceDE w:val="0"/>
        <w:autoSpaceDN w:val="0"/>
        <w:adjustRightInd w:val="0"/>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Percent free fatty acid (as Oleic acid) = </w:t>
      </w:r>
      <w:r>
        <w:rPr>
          <w:noProof/>
        </w:rPr>
        <w:drawing>
          <wp:inline distT="0" distB="0" distL="0" distR="0">
            <wp:extent cx="955675" cy="274320"/>
            <wp:effectExtent l="0" t="0" r="0" b="0"/>
            <wp:docPr id="80" name="Picture 80" descr="C:\Users\FRANK\AppData\Local\Temp\ksohtml11152\wps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C:\Users\FRANK\AppData\Local\Temp\ksohtml11152\wps85.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955675" cy="274320"/>
                    </a:xfrm>
                    <a:prstGeom prst="rect">
                      <a:avLst/>
                    </a:prstGeom>
                    <a:noFill/>
                    <a:ln>
                      <a:noFill/>
                    </a:ln>
                  </pic:spPr>
                </pic:pic>
              </a:graphicData>
            </a:graphic>
          </wp:inline>
        </w:drawing>
      </w:r>
    </w:p>
    <w:p w:rsidR="0043434C" w:rsidRDefault="0043434C">
      <w:pPr>
        <w:autoSpaceDE w:val="0"/>
        <w:autoSpaceDN w:val="0"/>
        <w:adjustRightInd w:val="0"/>
        <w:spacing w:after="0" w:line="480" w:lineRule="auto"/>
        <w:contextualSpacing/>
        <w:jc w:val="both"/>
        <w:rPr>
          <w:rFonts w:ascii="Times New Roman" w:eastAsia="Calibri" w:hAnsi="Times New Roman" w:cs="Times New Roman"/>
          <w:b/>
          <w:iCs/>
          <w:sz w:val="24"/>
          <w:szCs w:val="24"/>
        </w:rPr>
      </w:pPr>
    </w:p>
    <w:p w:rsidR="004D643C" w:rsidRDefault="004D643C">
      <w:pPr>
        <w:autoSpaceDE w:val="0"/>
        <w:autoSpaceDN w:val="0"/>
        <w:adjustRightInd w:val="0"/>
        <w:spacing w:after="0" w:line="480" w:lineRule="auto"/>
        <w:contextualSpacing/>
        <w:jc w:val="both"/>
        <w:rPr>
          <w:rFonts w:ascii="Times New Roman" w:eastAsia="Calibri" w:hAnsi="Times New Roman" w:cs="Times New Roman"/>
          <w:b/>
          <w:iCs/>
          <w:sz w:val="24"/>
          <w:szCs w:val="24"/>
        </w:rPr>
      </w:pPr>
    </w:p>
    <w:p w:rsidR="004D643C" w:rsidRDefault="004D643C">
      <w:pPr>
        <w:autoSpaceDE w:val="0"/>
        <w:autoSpaceDN w:val="0"/>
        <w:adjustRightInd w:val="0"/>
        <w:spacing w:after="0" w:line="480" w:lineRule="auto"/>
        <w:contextualSpacing/>
        <w:jc w:val="both"/>
        <w:rPr>
          <w:rFonts w:ascii="Times New Roman" w:eastAsia="Calibri" w:hAnsi="Times New Roman" w:cs="Times New Roman"/>
          <w:b/>
          <w:iCs/>
          <w:sz w:val="24"/>
          <w:szCs w:val="24"/>
        </w:rPr>
      </w:pPr>
    </w:p>
    <w:p w:rsidR="004D643C" w:rsidRDefault="004D643C">
      <w:pPr>
        <w:autoSpaceDE w:val="0"/>
        <w:autoSpaceDN w:val="0"/>
        <w:adjustRightInd w:val="0"/>
        <w:spacing w:after="0" w:line="480" w:lineRule="auto"/>
        <w:contextualSpacing/>
        <w:jc w:val="both"/>
        <w:rPr>
          <w:rFonts w:ascii="Times New Roman" w:eastAsia="Calibri" w:hAnsi="Times New Roman" w:cs="Times New Roman"/>
          <w:b/>
          <w:iCs/>
          <w:sz w:val="24"/>
          <w:szCs w:val="24"/>
        </w:rPr>
      </w:pPr>
    </w:p>
    <w:p w:rsidR="003B3559" w:rsidRDefault="00727B14" w:rsidP="000854FD">
      <w:pPr>
        <w:autoSpaceDE w:val="0"/>
        <w:autoSpaceDN w:val="0"/>
        <w:adjustRightInd w:val="0"/>
        <w:spacing w:before="0" w:beforeAutospacing="0" w:after="0" w:line="480" w:lineRule="auto"/>
        <w:contextualSpacing/>
        <w:jc w:val="both"/>
        <w:rPr>
          <w:rFonts w:ascii="Times New Roman" w:eastAsia="Calibri" w:hAnsi="Times New Roman" w:cs="Times New Roman"/>
          <w:b/>
          <w:iCs/>
          <w:sz w:val="24"/>
          <w:szCs w:val="24"/>
        </w:rPr>
      </w:pPr>
      <w:r>
        <w:rPr>
          <w:rFonts w:ascii="Times New Roman" w:eastAsia="Calibri" w:hAnsi="Times New Roman" w:cs="Times New Roman"/>
          <w:b/>
          <w:iCs/>
          <w:sz w:val="24"/>
          <w:szCs w:val="24"/>
        </w:rPr>
        <w:t>2.2.2.2</w:t>
      </w:r>
      <w:r>
        <w:rPr>
          <w:rFonts w:ascii="Times New Roman" w:eastAsia="Calibri" w:hAnsi="Times New Roman" w:cs="Times New Roman"/>
          <w:b/>
          <w:iCs/>
          <w:sz w:val="24"/>
          <w:szCs w:val="24"/>
        </w:rPr>
        <w:tab/>
        <w:t>Saponification Value</w:t>
      </w:r>
    </w:p>
    <w:p w:rsidR="003B3559" w:rsidRDefault="00727B14" w:rsidP="000854FD">
      <w:pPr>
        <w:autoSpaceDE w:val="0"/>
        <w:autoSpaceDN w:val="0"/>
        <w:adjustRightInd w:val="0"/>
        <w:spacing w:before="0" w:beforeAutospacing="0"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saponification value, which represent the amount of alkali needed to saponify a given amount of oil, expressed as mg KOH to saponify 1 g sample, was determined using the method of AOCS (2009). A known weight of the oil 5.0g was accurately weighed into a neatly washed and dried 250 mL Erlenmeyer flask using a precision weighing balance. This was followed by the addition of 50 mL of alcoholic potassium hydroxide into the flask. Duplicate blank samples were prepared with just 50 mL of alcoholic potassium hydroxide in 250 mL Erlenmeyer flasks without samples. Few boiling beads were added to the flasks with oil sample and were connected .to condenser. These were gently but steadily heated on a hot plate until the sample is clear and homogenous, indicating complete saponification, then the samples were allowed to cool to room temperature after disconnecting the flask from condenser. A known volume (1ml) of phenolphthalein indicator was added into the samples/blank and titrated with 0.5 </w:t>
      </w:r>
      <w:r>
        <w:rPr>
          <w:rFonts w:ascii="Times New Roman" w:eastAsia="Calibri" w:hAnsi="Times New Roman" w:cs="Times New Roman"/>
          <w:i/>
          <w:iCs/>
          <w:sz w:val="24"/>
          <w:szCs w:val="24"/>
        </w:rPr>
        <w:t xml:space="preserve">N </w:t>
      </w:r>
      <w:r>
        <w:rPr>
          <w:rFonts w:ascii="Times New Roman" w:eastAsia="Calibri" w:hAnsi="Times New Roman" w:cs="Times New Roman"/>
          <w:sz w:val="24"/>
          <w:szCs w:val="24"/>
        </w:rPr>
        <w:t>HCl until the pink colour disappeared. The volumes of titrants used were recorded.</w:t>
      </w:r>
    </w:p>
    <w:p w:rsidR="003B3559" w:rsidRDefault="00727B14">
      <w:pPr>
        <w:autoSpaceDE w:val="0"/>
        <w:autoSpaceDN w:val="0"/>
        <w:adjustRightInd w:val="0"/>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Saponification Value = </w:t>
      </w:r>
      <w:r>
        <w:rPr>
          <w:noProof/>
        </w:rPr>
        <w:drawing>
          <wp:inline distT="0" distB="0" distL="0" distR="0">
            <wp:extent cx="723265" cy="257810"/>
            <wp:effectExtent l="0" t="0" r="635" b="8890"/>
            <wp:docPr id="79" name="Picture 79" descr="C:\Users\FRANK\AppData\Local\Temp\ksohtml11152\wps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C:\Users\FRANK\AppData\Local\Temp\ksohtml11152\wps86.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723265" cy="257810"/>
                    </a:xfrm>
                    <a:prstGeom prst="rect">
                      <a:avLst/>
                    </a:prstGeom>
                    <a:noFill/>
                    <a:ln>
                      <a:noFill/>
                    </a:ln>
                  </pic:spPr>
                </pic:pic>
              </a:graphicData>
            </a:graphic>
          </wp:inline>
        </w:drawing>
      </w:r>
    </w:p>
    <w:p w:rsidR="003B3559" w:rsidRDefault="003B3559">
      <w:pPr>
        <w:autoSpaceDE w:val="0"/>
        <w:autoSpaceDN w:val="0"/>
        <w:adjustRightInd w:val="0"/>
        <w:spacing w:after="0" w:line="480" w:lineRule="auto"/>
        <w:contextualSpacing/>
        <w:jc w:val="both"/>
        <w:rPr>
          <w:rFonts w:ascii="Times New Roman" w:eastAsia="Calibri" w:hAnsi="Times New Roman" w:cs="Times New Roman"/>
          <w:b/>
          <w:iCs/>
          <w:sz w:val="24"/>
          <w:szCs w:val="24"/>
        </w:rPr>
      </w:pPr>
    </w:p>
    <w:p w:rsidR="003B3559" w:rsidRDefault="00727B14" w:rsidP="000854FD">
      <w:pPr>
        <w:autoSpaceDE w:val="0"/>
        <w:autoSpaceDN w:val="0"/>
        <w:adjustRightInd w:val="0"/>
        <w:spacing w:before="0" w:beforeAutospacing="0" w:after="0" w:line="480" w:lineRule="auto"/>
        <w:contextualSpacing/>
        <w:jc w:val="both"/>
        <w:rPr>
          <w:rFonts w:ascii="Times New Roman" w:eastAsia="Calibri" w:hAnsi="Times New Roman" w:cs="Times New Roman"/>
          <w:b/>
          <w:iCs/>
          <w:sz w:val="24"/>
          <w:szCs w:val="24"/>
        </w:rPr>
      </w:pPr>
      <w:r>
        <w:rPr>
          <w:rFonts w:ascii="Times New Roman" w:eastAsia="Calibri" w:hAnsi="Times New Roman" w:cs="Times New Roman"/>
          <w:b/>
          <w:iCs/>
          <w:sz w:val="24"/>
          <w:szCs w:val="24"/>
        </w:rPr>
        <w:t>2.2.2.3</w:t>
      </w:r>
      <w:r>
        <w:rPr>
          <w:rFonts w:ascii="Times New Roman" w:eastAsia="Calibri" w:hAnsi="Times New Roman" w:cs="Times New Roman"/>
          <w:b/>
          <w:iCs/>
          <w:sz w:val="24"/>
          <w:szCs w:val="24"/>
        </w:rPr>
        <w:tab/>
        <w:t>Iodine Value</w:t>
      </w:r>
    </w:p>
    <w:p w:rsidR="003B3559" w:rsidRDefault="00727B14" w:rsidP="000854FD">
      <w:pPr>
        <w:autoSpaceDE w:val="0"/>
        <w:autoSpaceDN w:val="0"/>
        <w:adjustRightInd w:val="0"/>
        <w:spacing w:before="0" w:beforeAutospacing="0"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iodine value (or number) which represent the level of unsaturation is the amount in grams of iodine absorbed per 100g sample, was determined using the method of AOCS (2009).A known weight of the oil 0.5g was accurately weighed into a neatly washed and dried 500 mL glass-stoppered conical flask using a precision weighing balance, followed by addition of 10 ml chloroform to dissolve the oil. Two blank samples were prepared by adding only 10 ml chloroform to 500 ml glass-stoppered flasks. With pipette, 25 ml Wijs iodine solution was added into the sample and blank flasks and were left to stand for 30 min in the dark with occasional shaking. After incubation in the dark, 20 ml potassium iodide solution was added to each flask and were thoroughly shaken. Hundred </w:t>
      </w:r>
      <w:r w:rsidR="008D2E8A">
        <w:rPr>
          <w:rFonts w:ascii="Times New Roman" w:eastAsia="Calibri" w:hAnsi="Times New Roman" w:cs="Times New Roman"/>
          <w:sz w:val="24"/>
          <w:szCs w:val="24"/>
        </w:rPr>
        <w:t>milliliters</w:t>
      </w:r>
      <w:r w:rsidR="00D50953">
        <w:rPr>
          <w:rFonts w:ascii="Times New Roman" w:eastAsia="Calibri" w:hAnsi="Times New Roman" w:cs="Times New Roman"/>
          <w:sz w:val="24"/>
          <w:szCs w:val="24"/>
        </w:rPr>
        <w:t xml:space="preserve"> (100 mL)</w:t>
      </w:r>
      <w:r>
        <w:rPr>
          <w:rFonts w:ascii="Times New Roman" w:eastAsia="Calibri" w:hAnsi="Times New Roman" w:cs="Times New Roman"/>
          <w:sz w:val="24"/>
          <w:szCs w:val="24"/>
        </w:rPr>
        <w:t xml:space="preserve"> of freshly boiled and cooled water was used to wash down any free iodine on the stopper. The final solution was gradually titrated with standard sodium thiosulfate, with constant and vigorous shaking until the yellow colour disappears, and finally followed by the addition of 1ml of starch indicator. The titration continued until the blue colour entirely disappeared. The volumes of titrants used were recorded.</w:t>
      </w:r>
    </w:p>
    <w:p w:rsidR="003B3559" w:rsidRDefault="00727B14">
      <w:pPr>
        <w:autoSpaceDE w:val="0"/>
        <w:autoSpaceDN w:val="0"/>
        <w:adjustRightInd w:val="0"/>
        <w:spacing w:after="0" w:line="480" w:lineRule="auto"/>
        <w:jc w:val="both"/>
        <w:rPr>
          <w:rFonts w:ascii="Times New Roman" w:eastAsia="SimSun" w:hAnsi="Times New Roman" w:cs="Times New Roman"/>
          <w:sz w:val="24"/>
          <w:szCs w:val="24"/>
        </w:rPr>
      </w:pPr>
      <w:r>
        <w:rPr>
          <w:rFonts w:ascii="Times New Roman" w:eastAsia="Calibri" w:hAnsi="Times New Roman" w:cs="Times New Roman"/>
          <w:sz w:val="24"/>
          <w:szCs w:val="24"/>
        </w:rPr>
        <w:t xml:space="preserve">Iodine Value =  </w:t>
      </w:r>
      <w:r>
        <w:rPr>
          <w:noProof/>
        </w:rPr>
        <w:drawing>
          <wp:inline distT="0" distB="0" distL="0" distR="0">
            <wp:extent cx="1221740" cy="257810"/>
            <wp:effectExtent l="0" t="0" r="0" b="8890"/>
            <wp:docPr id="78" name="Picture 78" descr="C:\Users\FRANK\AppData\Local\Temp\ksohtml11152\wps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C:\Users\FRANK\AppData\Local\Temp\ksohtml11152\wps87.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221740" cy="257810"/>
                    </a:xfrm>
                    <a:prstGeom prst="rect">
                      <a:avLst/>
                    </a:prstGeom>
                    <a:noFill/>
                    <a:ln>
                      <a:noFill/>
                    </a:ln>
                  </pic:spPr>
                </pic:pic>
              </a:graphicData>
            </a:graphic>
          </wp:inline>
        </w:drawing>
      </w:r>
    </w:p>
    <w:p w:rsidR="003B3559" w:rsidRDefault="003B3559">
      <w:pPr>
        <w:autoSpaceDE w:val="0"/>
        <w:autoSpaceDN w:val="0"/>
        <w:adjustRightInd w:val="0"/>
        <w:spacing w:after="0" w:line="480" w:lineRule="auto"/>
        <w:jc w:val="both"/>
        <w:rPr>
          <w:rFonts w:ascii="Times New Roman" w:eastAsia="Calibri" w:hAnsi="Times New Roman" w:cs="Times New Roman"/>
          <w:sz w:val="24"/>
          <w:szCs w:val="24"/>
        </w:rPr>
      </w:pPr>
    </w:p>
    <w:p w:rsidR="003B3559" w:rsidRDefault="00727B14" w:rsidP="000854FD">
      <w:pPr>
        <w:autoSpaceDE w:val="0"/>
        <w:autoSpaceDN w:val="0"/>
        <w:adjustRightInd w:val="0"/>
        <w:spacing w:before="0" w:beforeAutospacing="0" w:after="0" w:line="480" w:lineRule="auto"/>
        <w:contextualSpacing/>
        <w:jc w:val="both"/>
        <w:rPr>
          <w:rFonts w:ascii="Times New Roman" w:eastAsia="Calibri" w:hAnsi="Times New Roman" w:cs="Times New Roman"/>
          <w:b/>
          <w:iCs/>
          <w:sz w:val="24"/>
          <w:szCs w:val="24"/>
        </w:rPr>
      </w:pPr>
      <w:r>
        <w:rPr>
          <w:rFonts w:ascii="Times New Roman" w:eastAsia="Calibri" w:hAnsi="Times New Roman" w:cs="Times New Roman"/>
          <w:b/>
          <w:iCs/>
          <w:sz w:val="24"/>
          <w:szCs w:val="24"/>
        </w:rPr>
        <w:t>2.2.2.4</w:t>
      </w:r>
      <w:r>
        <w:rPr>
          <w:rFonts w:ascii="Times New Roman" w:eastAsia="Calibri" w:hAnsi="Times New Roman" w:cs="Times New Roman"/>
          <w:b/>
          <w:iCs/>
          <w:sz w:val="24"/>
          <w:szCs w:val="24"/>
        </w:rPr>
        <w:tab/>
        <w:t>Peroxide values</w:t>
      </w:r>
    </w:p>
    <w:p w:rsidR="003B3559" w:rsidRDefault="00727B14" w:rsidP="000854FD">
      <w:pPr>
        <w:autoSpaceDE w:val="0"/>
        <w:autoSpaceDN w:val="0"/>
        <w:adjustRightInd w:val="0"/>
        <w:spacing w:before="0" w:beforeAutospacing="0"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Peroxide value, the mill equivalents of the amount of peroxide or hydroperoxide groups per kilogram of oil sample, was determined using the method of AOCS, 2009. A known weight of the oil 5.0g was accurately weighed into a neatly washed and dried 250 mL Erlenmeyer flask </w:t>
      </w:r>
      <w:r>
        <w:rPr>
          <w:rFonts w:ascii="Times New Roman" w:eastAsia="Calibri" w:hAnsi="Times New Roman" w:cs="Times New Roman"/>
          <w:sz w:val="24"/>
          <w:szCs w:val="24"/>
        </w:rPr>
        <w:lastRenderedPageBreak/>
        <w:t>using a precision weighing balance, followed by the addition of 30 mL of acetic acid-chloroform solution and was vigorously shaken to dissolve the oil. The blank sample contain</w:t>
      </w:r>
      <w:r w:rsidR="006059E1">
        <w:rPr>
          <w:rFonts w:ascii="Times New Roman" w:eastAsia="Calibri" w:hAnsi="Times New Roman" w:cs="Times New Roman"/>
          <w:sz w:val="24"/>
          <w:szCs w:val="24"/>
        </w:rPr>
        <w:t>ing</w:t>
      </w:r>
      <w:r>
        <w:rPr>
          <w:rFonts w:ascii="Times New Roman" w:eastAsia="Calibri" w:hAnsi="Times New Roman" w:cs="Times New Roman"/>
          <w:sz w:val="24"/>
          <w:szCs w:val="24"/>
        </w:rPr>
        <w:t xml:space="preserve"> only 30 mL of solvent solution, without sample</w:t>
      </w:r>
      <w:r w:rsidR="006059E1">
        <w:rPr>
          <w:rFonts w:ascii="Times New Roman" w:eastAsia="Calibri" w:hAnsi="Times New Roman" w:cs="Times New Roman"/>
          <w:sz w:val="24"/>
          <w:szCs w:val="24"/>
        </w:rPr>
        <w:t xml:space="preserve"> was also prepared</w:t>
      </w:r>
      <w:r>
        <w:rPr>
          <w:rFonts w:ascii="Times New Roman" w:eastAsia="Calibri" w:hAnsi="Times New Roman" w:cs="Times New Roman"/>
          <w:sz w:val="24"/>
          <w:szCs w:val="24"/>
        </w:rPr>
        <w:t xml:space="preserve">.  A known volume 5 mL of saturated KI solution was added to both samples and the blank, followed by shaking for 1 min. Distilled/deionized water (30 mL) was added before titration with 0.1 N sodium thiosulfate solution, with vigorous shaking until yellow colour disappeared. A known volume 0.5 mL of   1% starch solution was added before continue the titration with vigorous shaking to release all iodine from chloroform layer, until blue colour disappeared. The volumes of titrants used were recorded. </w:t>
      </w:r>
    </w:p>
    <w:p w:rsidR="003B3559" w:rsidRDefault="00727B14">
      <w:pPr>
        <w:autoSpaceDE w:val="0"/>
        <w:autoSpaceDN w:val="0"/>
        <w:adjustRightInd w:val="0"/>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Peroxide Value = </w:t>
      </w:r>
      <w:r>
        <w:rPr>
          <w:noProof/>
        </w:rPr>
        <w:drawing>
          <wp:inline distT="0" distB="0" distL="0" distR="0">
            <wp:extent cx="964565" cy="257810"/>
            <wp:effectExtent l="0" t="0" r="6985" b="8890"/>
            <wp:docPr id="77" name="Picture 77" descr="C:\Users\FRANK\AppData\Local\Temp\ksohtml11152\wps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C:\Users\FRANK\AppData\Local\Temp\ksohtml11152\wps88.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964565" cy="257810"/>
                    </a:xfrm>
                    <a:prstGeom prst="rect">
                      <a:avLst/>
                    </a:prstGeom>
                    <a:noFill/>
                    <a:ln>
                      <a:noFill/>
                    </a:ln>
                  </pic:spPr>
                </pic:pic>
              </a:graphicData>
            </a:graphic>
          </wp:inline>
        </w:drawing>
      </w:r>
    </w:p>
    <w:p w:rsidR="003B3559" w:rsidRDefault="003B3559">
      <w:pPr>
        <w:autoSpaceDE w:val="0"/>
        <w:autoSpaceDN w:val="0"/>
        <w:adjustRightInd w:val="0"/>
        <w:spacing w:after="0" w:line="480" w:lineRule="auto"/>
        <w:contextualSpacing/>
        <w:jc w:val="both"/>
        <w:rPr>
          <w:rFonts w:ascii="Times New Roman" w:eastAsia="Calibri" w:hAnsi="Times New Roman" w:cs="Times New Roman"/>
          <w:sz w:val="19"/>
          <w:szCs w:val="19"/>
        </w:rPr>
      </w:pPr>
    </w:p>
    <w:p w:rsidR="003B3559" w:rsidRDefault="00727B14">
      <w:pPr>
        <w:autoSpaceDE w:val="0"/>
        <w:autoSpaceDN w:val="0"/>
        <w:adjustRightInd w:val="0"/>
        <w:spacing w:after="0" w:line="480" w:lineRule="auto"/>
        <w:contextualSpacing/>
        <w:jc w:val="both"/>
        <w:rPr>
          <w:rFonts w:ascii="Times New Roman" w:eastAsia="Calibri" w:hAnsi="Times New Roman" w:cs="Times New Roman"/>
          <w:b/>
          <w:iCs/>
          <w:sz w:val="24"/>
          <w:szCs w:val="24"/>
        </w:rPr>
      </w:pPr>
      <w:r>
        <w:rPr>
          <w:rFonts w:ascii="Times New Roman" w:eastAsia="Calibri" w:hAnsi="Times New Roman" w:cs="Times New Roman"/>
          <w:b/>
          <w:iCs/>
          <w:sz w:val="24"/>
          <w:szCs w:val="24"/>
        </w:rPr>
        <w:t>2.2.2.5</w:t>
      </w:r>
      <w:r>
        <w:rPr>
          <w:rFonts w:ascii="Times New Roman" w:eastAsia="Calibri" w:hAnsi="Times New Roman" w:cs="Times New Roman"/>
          <w:b/>
          <w:iCs/>
          <w:sz w:val="24"/>
          <w:szCs w:val="24"/>
        </w:rPr>
        <w:tab/>
        <w:t>Specific gravity/Density of oil samples</w:t>
      </w:r>
    </w:p>
    <w:p w:rsidR="003B3559" w:rsidRDefault="00727B14">
      <w:pPr>
        <w:autoSpaceDE w:val="0"/>
        <w:autoSpaceDN w:val="0"/>
        <w:adjustRightInd w:val="0"/>
        <w:spacing w:after="0"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The densit</w:t>
      </w:r>
      <w:r w:rsidR="00B86738">
        <w:rPr>
          <w:rFonts w:ascii="Times New Roman" w:eastAsia="Calibri" w:hAnsi="Times New Roman" w:cs="Times New Roman"/>
          <w:sz w:val="24"/>
          <w:szCs w:val="24"/>
        </w:rPr>
        <w:t>y</w:t>
      </w:r>
      <w:r>
        <w:rPr>
          <w:rFonts w:ascii="Times New Roman" w:eastAsia="Calibri" w:hAnsi="Times New Roman" w:cs="Times New Roman"/>
          <w:sz w:val="24"/>
          <w:szCs w:val="24"/>
        </w:rPr>
        <w:t xml:space="preserve"> of the oil sample w</w:t>
      </w:r>
      <w:r w:rsidR="00B86738">
        <w:rPr>
          <w:rFonts w:ascii="Times New Roman" w:eastAsia="Calibri" w:hAnsi="Times New Roman" w:cs="Times New Roman"/>
          <w:sz w:val="24"/>
          <w:szCs w:val="24"/>
        </w:rPr>
        <w:t>as</w:t>
      </w:r>
      <w:r>
        <w:rPr>
          <w:rFonts w:ascii="Times New Roman" w:eastAsia="Calibri" w:hAnsi="Times New Roman" w:cs="Times New Roman"/>
          <w:sz w:val="24"/>
          <w:szCs w:val="24"/>
        </w:rPr>
        <w:t xml:space="preserve"> measured using a clean dry 25ml capacity density bottle with empty weight of (Y</w:t>
      </w:r>
      <w:r>
        <w:rPr>
          <w:rFonts w:ascii="Times New Roman" w:eastAsia="Calibri" w:hAnsi="Times New Roman" w:cs="Times New Roman"/>
          <w:sz w:val="24"/>
          <w:szCs w:val="24"/>
          <w:vertAlign w:val="subscript"/>
        </w:rPr>
        <w:t>0</w:t>
      </w:r>
      <w:r>
        <w:rPr>
          <w:rFonts w:ascii="Times New Roman" w:eastAsia="Calibri" w:hAnsi="Times New Roman" w:cs="Times New Roman"/>
          <w:sz w:val="24"/>
          <w:szCs w:val="24"/>
        </w:rPr>
        <w:t>). It was later filled with the oil sample, stopper inserted and reweighed to give (Y</w:t>
      </w:r>
      <w:r>
        <w:rPr>
          <w:rFonts w:ascii="Times New Roman" w:eastAsia="Calibri" w:hAnsi="Times New Roman" w:cs="Times New Roman"/>
          <w:sz w:val="24"/>
          <w:szCs w:val="24"/>
          <w:vertAlign w:val="subscript"/>
        </w:rPr>
        <w:t>1</w:t>
      </w:r>
      <w:r>
        <w:rPr>
          <w:rFonts w:ascii="Times New Roman" w:eastAsia="Calibri" w:hAnsi="Times New Roman" w:cs="Times New Roman"/>
          <w:sz w:val="24"/>
          <w:szCs w:val="24"/>
        </w:rPr>
        <w:t>). It was later washed clean and dried using oven. The clean dry 25ml capacity density bottle was filled with sample oil, stopper inserted and reweighed to give (Y</w:t>
      </w:r>
      <w:r>
        <w:rPr>
          <w:rFonts w:ascii="Times New Roman" w:eastAsia="Calibri" w:hAnsi="Times New Roman" w:cs="Times New Roman"/>
          <w:sz w:val="24"/>
          <w:szCs w:val="24"/>
          <w:vertAlign w:val="subscript"/>
        </w:rPr>
        <w:t>2</w:t>
      </w:r>
      <w:r>
        <w:rPr>
          <w:rFonts w:ascii="Times New Roman" w:eastAsia="Calibri" w:hAnsi="Times New Roman" w:cs="Times New Roman"/>
          <w:sz w:val="24"/>
          <w:szCs w:val="24"/>
        </w:rPr>
        <w:t>) Specific gravity = (Y</w:t>
      </w:r>
      <w:r>
        <w:rPr>
          <w:rFonts w:ascii="Times New Roman" w:eastAsia="Calibri" w:hAnsi="Times New Roman" w:cs="Times New Roman"/>
          <w:sz w:val="24"/>
          <w:szCs w:val="24"/>
          <w:vertAlign w:val="subscript"/>
        </w:rPr>
        <w:t>1</w:t>
      </w:r>
      <w:r>
        <w:rPr>
          <w:rFonts w:ascii="Times New Roman" w:eastAsia="Calibri" w:hAnsi="Times New Roman" w:cs="Times New Roman"/>
          <w:sz w:val="24"/>
          <w:szCs w:val="24"/>
        </w:rPr>
        <w:t>-Y</w:t>
      </w:r>
      <w:r>
        <w:rPr>
          <w:rFonts w:ascii="Times New Roman" w:eastAsia="Calibri" w:hAnsi="Times New Roman" w:cs="Times New Roman"/>
          <w:sz w:val="24"/>
          <w:szCs w:val="24"/>
          <w:vertAlign w:val="subscript"/>
        </w:rPr>
        <w:t>0</w:t>
      </w:r>
      <w:r>
        <w:rPr>
          <w:rFonts w:ascii="Times New Roman" w:eastAsia="Calibri" w:hAnsi="Times New Roman" w:cs="Times New Roman"/>
          <w:sz w:val="24"/>
          <w:szCs w:val="24"/>
        </w:rPr>
        <w:t>)/(Y</w:t>
      </w:r>
      <w:r>
        <w:rPr>
          <w:rFonts w:ascii="Times New Roman" w:eastAsia="Calibri" w:hAnsi="Times New Roman" w:cs="Times New Roman"/>
          <w:sz w:val="24"/>
          <w:szCs w:val="24"/>
          <w:vertAlign w:val="subscript"/>
        </w:rPr>
        <w:t>2</w:t>
      </w:r>
      <w:r>
        <w:rPr>
          <w:rFonts w:ascii="Times New Roman" w:eastAsia="Calibri" w:hAnsi="Times New Roman" w:cs="Times New Roman"/>
          <w:sz w:val="24"/>
          <w:szCs w:val="24"/>
        </w:rPr>
        <w:t>-Y</w:t>
      </w:r>
      <w:r>
        <w:rPr>
          <w:rFonts w:ascii="Times New Roman" w:eastAsia="Calibri" w:hAnsi="Times New Roman" w:cs="Times New Roman"/>
          <w:sz w:val="24"/>
          <w:szCs w:val="24"/>
          <w:vertAlign w:val="subscript"/>
        </w:rPr>
        <w:t>0</w:t>
      </w:r>
      <w:r>
        <w:rPr>
          <w:rFonts w:ascii="Times New Roman" w:eastAsia="Calibri" w:hAnsi="Times New Roman" w:cs="Times New Roman"/>
          <w:sz w:val="24"/>
          <w:szCs w:val="24"/>
        </w:rPr>
        <w:t>) = weight of the sample/weight of equal volume of water.</w:t>
      </w:r>
    </w:p>
    <w:p w:rsidR="003B3559" w:rsidRDefault="00727B14">
      <w:pPr>
        <w:autoSpaceDE w:val="0"/>
        <w:autoSpaceDN w:val="0"/>
        <w:adjustRightInd w:val="0"/>
        <w:spacing w:after="0"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Density = (Y</w:t>
      </w:r>
      <w:r>
        <w:rPr>
          <w:rFonts w:ascii="Times New Roman" w:eastAsia="Calibri" w:hAnsi="Times New Roman" w:cs="Times New Roman"/>
          <w:sz w:val="24"/>
          <w:szCs w:val="24"/>
          <w:vertAlign w:val="subscript"/>
        </w:rPr>
        <w:t>1</w:t>
      </w:r>
      <w:r>
        <w:rPr>
          <w:rFonts w:ascii="Times New Roman" w:eastAsia="Calibri" w:hAnsi="Times New Roman" w:cs="Times New Roman"/>
          <w:sz w:val="24"/>
          <w:szCs w:val="24"/>
        </w:rPr>
        <w:t>-Y</w:t>
      </w:r>
      <w:r>
        <w:rPr>
          <w:rFonts w:ascii="Times New Roman" w:eastAsia="Calibri" w:hAnsi="Times New Roman" w:cs="Times New Roman"/>
          <w:sz w:val="24"/>
          <w:szCs w:val="24"/>
          <w:vertAlign w:val="subscript"/>
        </w:rPr>
        <w:t>0</w:t>
      </w:r>
      <w:r>
        <w:rPr>
          <w:rFonts w:ascii="Times New Roman" w:eastAsia="Calibri" w:hAnsi="Times New Roman" w:cs="Times New Roman"/>
          <w:sz w:val="24"/>
          <w:szCs w:val="24"/>
        </w:rPr>
        <w:t>)/25</w:t>
      </w:r>
    </w:p>
    <w:p w:rsidR="003B3559" w:rsidRDefault="00727B14" w:rsidP="002E1CDD">
      <w:pPr>
        <w:autoSpaceDE w:val="0"/>
        <w:autoSpaceDN w:val="0"/>
        <w:adjustRightInd w:val="0"/>
        <w:spacing w:before="0" w:beforeAutospacing="0" w:after="0" w:line="480" w:lineRule="auto"/>
        <w:jc w:val="both"/>
        <w:rPr>
          <w:rFonts w:ascii="Times New Roman" w:eastAsia="Calibri" w:hAnsi="Times New Roman"/>
          <w:i/>
          <w:iCs/>
          <w:sz w:val="24"/>
          <w:szCs w:val="24"/>
        </w:rPr>
      </w:pPr>
      <w:r>
        <w:rPr>
          <w:rFonts w:ascii="Times New Roman" w:eastAsia="Calibri" w:hAnsi="Times New Roman" w:cs="Times New Roman"/>
          <w:b/>
          <w:iCs/>
          <w:sz w:val="24"/>
          <w:szCs w:val="24"/>
        </w:rPr>
        <w:t>2.2.3</w:t>
      </w:r>
      <w:r>
        <w:rPr>
          <w:rFonts w:ascii="Times New Roman" w:eastAsia="Calibri" w:hAnsi="Times New Roman"/>
          <w:b/>
          <w:iCs/>
          <w:sz w:val="24"/>
          <w:szCs w:val="24"/>
        </w:rPr>
        <w:tab/>
        <w:t>Lipid Peroxidation Products</w:t>
      </w:r>
    </w:p>
    <w:p w:rsidR="003B3559" w:rsidRDefault="00727B14" w:rsidP="002E1CDD">
      <w:pPr>
        <w:autoSpaceDE w:val="0"/>
        <w:autoSpaceDN w:val="0"/>
        <w:adjustRightInd w:val="0"/>
        <w:spacing w:before="0" w:beforeAutospacing="0" w:after="0" w:line="480" w:lineRule="auto"/>
        <w:jc w:val="both"/>
        <w:rPr>
          <w:rFonts w:ascii="Times New Roman" w:eastAsia="Calibri" w:hAnsi="Times New Roman"/>
          <w:sz w:val="24"/>
          <w:szCs w:val="24"/>
        </w:rPr>
      </w:pPr>
      <w:r>
        <w:rPr>
          <w:rFonts w:ascii="Times New Roman" w:eastAsia="Calibri" w:hAnsi="Times New Roman"/>
          <w:b/>
          <w:iCs/>
          <w:sz w:val="24"/>
          <w:szCs w:val="24"/>
        </w:rPr>
        <w:t>2.2.3.1</w:t>
      </w:r>
      <w:r>
        <w:rPr>
          <w:rFonts w:ascii="Times New Roman" w:eastAsia="Calibri" w:hAnsi="Times New Roman"/>
          <w:iCs/>
          <w:sz w:val="24"/>
          <w:szCs w:val="24"/>
        </w:rPr>
        <w:tab/>
      </w:r>
      <w:r>
        <w:rPr>
          <w:rFonts w:ascii="Times New Roman" w:eastAsia="Calibri" w:hAnsi="Times New Roman"/>
          <w:b/>
          <w:iCs/>
          <w:color w:val="231F20"/>
          <w:sz w:val="24"/>
          <w:szCs w:val="24"/>
        </w:rPr>
        <w:t xml:space="preserve">Determination of </w:t>
      </w:r>
      <w:r>
        <w:rPr>
          <w:rFonts w:ascii="Times New Roman" w:eastAsia="Calibri" w:hAnsi="Times New Roman"/>
          <w:b/>
          <w:sz w:val="24"/>
          <w:szCs w:val="24"/>
        </w:rPr>
        <w:t>malonaldehyde</w:t>
      </w:r>
      <w:r>
        <w:rPr>
          <w:rFonts w:ascii="Times New Roman" w:eastAsia="Calibri" w:hAnsi="Times New Roman"/>
          <w:b/>
          <w:iCs/>
          <w:color w:val="231F20"/>
          <w:sz w:val="24"/>
          <w:szCs w:val="24"/>
        </w:rPr>
        <w:t>concentrations in samples using TBARS assay</w:t>
      </w:r>
    </w:p>
    <w:p w:rsidR="003B3559" w:rsidRDefault="00727B14" w:rsidP="002E1CDD">
      <w:pPr>
        <w:autoSpaceDE w:val="0"/>
        <w:autoSpaceDN w:val="0"/>
        <w:adjustRightInd w:val="0"/>
        <w:spacing w:before="0" w:beforeAutospacing="0" w:after="0" w:line="480" w:lineRule="auto"/>
        <w:jc w:val="both"/>
        <w:rPr>
          <w:rFonts w:ascii="Times New Roman" w:eastAsia="Calibri" w:hAnsi="Times New Roman"/>
          <w:sz w:val="24"/>
          <w:szCs w:val="24"/>
        </w:rPr>
      </w:pPr>
      <w:r>
        <w:rPr>
          <w:rFonts w:ascii="Times New Roman" w:eastAsia="Calibri" w:hAnsi="Times New Roman"/>
          <w:sz w:val="24"/>
          <w:szCs w:val="24"/>
        </w:rPr>
        <w:t xml:space="preserve">The malonaldehyde (MDA) levels in the oil samples were measured using the slightly modified method of Zeb and Ullah (2016). One </w:t>
      </w:r>
      <w:r w:rsidR="00B50C8E">
        <w:rPr>
          <w:rFonts w:ascii="Times New Roman" w:eastAsia="Calibri" w:hAnsi="Times New Roman"/>
          <w:sz w:val="24"/>
          <w:szCs w:val="24"/>
        </w:rPr>
        <w:t>milliliter</w:t>
      </w:r>
      <w:r>
        <w:rPr>
          <w:rFonts w:ascii="Times New Roman" w:eastAsia="Calibri" w:hAnsi="Times New Roman"/>
          <w:sz w:val="24"/>
          <w:szCs w:val="24"/>
        </w:rPr>
        <w:t xml:space="preserve"> of malonaldehyde solution was mixed with 1 mL of TBA in five different test tubes for each different concentrations of the standard MDA. These </w:t>
      </w:r>
      <w:r>
        <w:rPr>
          <w:rFonts w:ascii="Times New Roman" w:eastAsia="Calibri" w:hAnsi="Times New Roman"/>
          <w:sz w:val="24"/>
          <w:szCs w:val="24"/>
        </w:rPr>
        <w:lastRenderedPageBreak/>
        <w:t>were heated in water bath maintained at 95</w:t>
      </w:r>
      <w:r>
        <w:rPr>
          <w:rFonts w:ascii="Cambria Math" w:eastAsia="MinionMath-Capt" w:hAnsi="Cambria Math"/>
          <w:sz w:val="24"/>
          <w:szCs w:val="24"/>
          <w:vertAlign w:val="superscript"/>
        </w:rPr>
        <w:t>∘</w:t>
      </w:r>
      <w:r>
        <w:rPr>
          <w:rFonts w:ascii="Times New Roman" w:eastAsia="Calibri" w:hAnsi="Times New Roman"/>
          <w:sz w:val="24"/>
          <w:szCs w:val="24"/>
        </w:rPr>
        <w:t>C for a duration of 1hr. The absorbance w</w:t>
      </w:r>
      <w:r w:rsidR="00B50C8E">
        <w:rPr>
          <w:rFonts w:ascii="Times New Roman" w:eastAsia="Calibri" w:hAnsi="Times New Roman"/>
          <w:sz w:val="24"/>
          <w:szCs w:val="24"/>
        </w:rPr>
        <w:t>as</w:t>
      </w:r>
      <w:r>
        <w:rPr>
          <w:rFonts w:ascii="Times New Roman" w:eastAsia="Calibri" w:hAnsi="Times New Roman"/>
          <w:sz w:val="24"/>
          <w:szCs w:val="24"/>
        </w:rPr>
        <w:t xml:space="preserve"> read at 532nm using UV-visible spectrophotometer, after cooling to room temperature. A blank sample (</w:t>
      </w:r>
      <w:r w:rsidR="00B50C8E">
        <w:rPr>
          <w:rFonts w:ascii="Tahoma" w:eastAsia="Calibri" w:hAnsi="Tahoma" w:cs="Tahoma"/>
          <w:sz w:val="24"/>
          <w:szCs w:val="24"/>
        </w:rPr>
        <w:t>n</w:t>
      </w:r>
      <w:r>
        <w:rPr>
          <w:rFonts w:ascii="Times New Roman" w:eastAsia="Calibri" w:hAnsi="Times New Roman"/>
          <w:sz w:val="24"/>
          <w:szCs w:val="24"/>
        </w:rPr>
        <w:t xml:space="preserve"> = 5) consists of equal volume of extraction solvent in place of standard or sample. A known volume (1 mL) of each of the oil samples were mixed with 1mL TBA reagent and the above procedure was repeated (</w:t>
      </w:r>
      <w:r w:rsidR="00B50C8E">
        <w:rPr>
          <w:rFonts w:ascii="Tahoma" w:eastAsia="Calibri" w:hAnsi="Tahoma" w:cs="Tahoma"/>
          <w:sz w:val="24"/>
          <w:szCs w:val="24"/>
        </w:rPr>
        <w:t>n</w:t>
      </w:r>
      <w:r>
        <w:rPr>
          <w:rFonts w:ascii="Times New Roman" w:eastAsia="Calibri" w:hAnsi="Times New Roman"/>
          <w:sz w:val="24"/>
          <w:szCs w:val="24"/>
        </w:rPr>
        <w:t xml:space="preserve"> = 5). The TBARS was determined using the formula as </w:t>
      </w:r>
      <w:r w:rsidR="00B50C8E">
        <w:rPr>
          <w:rFonts w:ascii="Tahoma" w:eastAsia="Calibri" w:hAnsi="Tahoma" w:cs="Tahoma"/>
          <w:sz w:val="24"/>
          <w:szCs w:val="24"/>
        </w:rPr>
        <w:sym w:font="Symbol" w:char="F06D"/>
      </w:r>
      <w:r>
        <w:rPr>
          <w:rFonts w:ascii="Times New Roman" w:eastAsia="Calibri" w:hAnsi="Times New Roman"/>
          <w:sz w:val="24"/>
          <w:szCs w:val="24"/>
        </w:rPr>
        <w:t>M/g of the sample:</w:t>
      </w:r>
    </w:p>
    <w:p w:rsidR="003B3559" w:rsidRDefault="00727B14">
      <w:pPr>
        <w:autoSpaceDE w:val="0"/>
        <w:autoSpaceDN w:val="0"/>
        <w:adjustRightInd w:val="0"/>
        <w:spacing w:after="0" w:line="480" w:lineRule="auto"/>
        <w:jc w:val="both"/>
        <w:rPr>
          <w:rFonts w:ascii="Times New Roman" w:eastAsia="Calibri" w:hAnsi="Times New Roman"/>
        </w:rPr>
      </w:pPr>
      <w:r>
        <w:rPr>
          <w:rFonts w:ascii="Times New Roman" w:eastAsia="Calibri" w:hAnsi="Times New Roman"/>
          <w:sz w:val="24"/>
          <w:szCs w:val="24"/>
        </w:rPr>
        <w:t>TBARS (</w:t>
      </w:r>
      <w:r w:rsidR="00B50C8E">
        <w:rPr>
          <w:rFonts w:ascii="Tahoma" w:eastAsia="Calibri" w:hAnsi="Tahoma" w:cs="Tahoma"/>
          <w:sz w:val="24"/>
          <w:szCs w:val="24"/>
        </w:rPr>
        <w:sym w:font="Symbol" w:char="F06D"/>
      </w:r>
      <w:r>
        <w:rPr>
          <w:rFonts w:ascii="Times New Roman" w:eastAsia="Calibri" w:hAnsi="Times New Roman"/>
          <w:sz w:val="24"/>
          <w:szCs w:val="24"/>
        </w:rPr>
        <w:t xml:space="preserve">M/g) = (Ac × </w:t>
      </w:r>
      <w:r w:rsidR="00B50C8E" w:rsidRPr="00B50C8E">
        <w:rPr>
          <w:rFonts w:ascii="Tahoma" w:eastAsia="Calibri" w:hAnsi="Tahoma" w:cs="Tahoma"/>
          <w:i/>
          <w:sz w:val="24"/>
          <w:szCs w:val="24"/>
        </w:rPr>
        <w:t>V</w:t>
      </w:r>
      <w:r>
        <w:rPr>
          <w:rFonts w:ascii="Times New Roman" w:eastAsia="Calibri" w:hAnsi="Times New Roman"/>
          <w:sz w:val="24"/>
          <w:szCs w:val="24"/>
        </w:rPr>
        <w:t>)/</w:t>
      </w:r>
      <w:r w:rsidR="00B50C8E" w:rsidRPr="00B50C8E">
        <w:rPr>
          <w:rFonts w:ascii="Tahoma" w:eastAsia="Calibri" w:hAnsi="Tahoma" w:cs="Tahoma"/>
          <w:i/>
          <w:sz w:val="24"/>
          <w:szCs w:val="24"/>
        </w:rPr>
        <w:t>W</w:t>
      </w:r>
      <w:r>
        <w:rPr>
          <w:rFonts w:ascii="Times New Roman" w:eastAsia="Calibri" w:hAnsi="Times New Roman"/>
          <w:sz w:val="24"/>
          <w:szCs w:val="24"/>
        </w:rPr>
        <w:tab/>
        <w:t>.</w:t>
      </w:r>
      <w:r>
        <w:rPr>
          <w:rFonts w:ascii="Times New Roman" w:eastAsia="Calibri" w:hAnsi="Times New Roman"/>
          <w:sz w:val="24"/>
          <w:szCs w:val="24"/>
        </w:rPr>
        <w:tab/>
        <w:t>.</w:t>
      </w:r>
      <w:r>
        <w:rPr>
          <w:rFonts w:ascii="Times New Roman" w:eastAsia="Calibri" w:hAnsi="Times New Roman"/>
          <w:sz w:val="24"/>
          <w:szCs w:val="24"/>
        </w:rPr>
        <w:tab/>
        <w:t>.</w:t>
      </w:r>
      <w:r>
        <w:rPr>
          <w:rFonts w:ascii="Times New Roman" w:eastAsia="Calibri" w:hAnsi="Times New Roman"/>
          <w:sz w:val="24"/>
          <w:szCs w:val="24"/>
        </w:rPr>
        <w:tab/>
      </w:r>
      <w:r w:rsidR="00B50C8E">
        <w:rPr>
          <w:rFonts w:ascii="Times New Roman" w:eastAsia="Calibri" w:hAnsi="Times New Roman"/>
          <w:sz w:val="24"/>
          <w:szCs w:val="24"/>
        </w:rPr>
        <w:t>.</w:t>
      </w:r>
      <w:r w:rsidR="00B50C8E">
        <w:rPr>
          <w:rFonts w:ascii="Times New Roman" w:eastAsia="Calibri" w:hAnsi="Times New Roman"/>
          <w:sz w:val="24"/>
          <w:szCs w:val="24"/>
        </w:rPr>
        <w:tab/>
        <w:t>.</w:t>
      </w:r>
      <w:r w:rsidR="00B50C8E">
        <w:rPr>
          <w:rFonts w:ascii="Times New Roman" w:eastAsia="Calibri" w:hAnsi="Times New Roman"/>
          <w:sz w:val="24"/>
          <w:szCs w:val="24"/>
        </w:rPr>
        <w:tab/>
        <w:t>.</w:t>
      </w:r>
      <w:r>
        <w:rPr>
          <w:rFonts w:ascii="Times New Roman" w:eastAsia="Calibri" w:hAnsi="Times New Roman"/>
          <w:sz w:val="24"/>
          <w:szCs w:val="24"/>
        </w:rPr>
        <w:tab/>
      </w:r>
      <w:r>
        <w:rPr>
          <w:rFonts w:ascii="Times New Roman" w:eastAsia="Calibri" w:hAnsi="Times New Roman"/>
          <w:color w:val="000000"/>
        </w:rPr>
        <w:t>Equation-</w:t>
      </w:r>
      <w:r>
        <w:rPr>
          <w:rFonts w:ascii="Times New Roman" w:eastAsia="Calibri" w:hAnsi="Times New Roman"/>
        </w:rPr>
        <w:t xml:space="preserve"> 1</w:t>
      </w:r>
    </w:p>
    <w:p w:rsidR="002E1CDD" w:rsidRDefault="002E1CDD">
      <w:pPr>
        <w:autoSpaceDE w:val="0"/>
        <w:autoSpaceDN w:val="0"/>
        <w:adjustRightInd w:val="0"/>
        <w:spacing w:after="0" w:line="480" w:lineRule="auto"/>
        <w:jc w:val="both"/>
        <w:rPr>
          <w:rFonts w:ascii="Times New Roman" w:eastAsia="Calibri" w:hAnsi="Times New Roman"/>
          <w:b/>
          <w:iCs/>
          <w:sz w:val="24"/>
          <w:szCs w:val="24"/>
        </w:rPr>
      </w:pPr>
    </w:p>
    <w:p w:rsidR="003B3559" w:rsidRDefault="00727B14" w:rsidP="002E1CDD">
      <w:pPr>
        <w:autoSpaceDE w:val="0"/>
        <w:autoSpaceDN w:val="0"/>
        <w:adjustRightInd w:val="0"/>
        <w:spacing w:before="0" w:beforeAutospacing="0" w:after="0" w:line="480" w:lineRule="auto"/>
        <w:jc w:val="both"/>
        <w:rPr>
          <w:rFonts w:ascii="Times New Roman" w:eastAsia="MinionPro-Regular" w:hAnsi="Times New Roman"/>
          <w:sz w:val="24"/>
          <w:szCs w:val="24"/>
        </w:rPr>
      </w:pPr>
      <w:r>
        <w:rPr>
          <w:rFonts w:ascii="Times New Roman" w:eastAsia="Calibri" w:hAnsi="Times New Roman"/>
          <w:b/>
          <w:iCs/>
          <w:sz w:val="24"/>
          <w:szCs w:val="24"/>
        </w:rPr>
        <w:t>2.2.3.2</w:t>
      </w:r>
      <w:r>
        <w:rPr>
          <w:rFonts w:ascii="Times New Roman" w:eastAsia="MinionPro-Regular" w:hAnsi="Times New Roman"/>
          <w:b/>
          <w:iCs/>
          <w:sz w:val="24"/>
          <w:szCs w:val="24"/>
        </w:rPr>
        <w:tab/>
        <w:t>Lipid Peroxidation Assay (negative control)</w:t>
      </w:r>
      <w:r>
        <w:rPr>
          <w:rFonts w:ascii="Times New Roman" w:eastAsia="MinionPro-Regular" w:hAnsi="Times New Roman"/>
          <w:b/>
          <w:sz w:val="24"/>
          <w:szCs w:val="24"/>
        </w:rPr>
        <w:t>.</w:t>
      </w:r>
    </w:p>
    <w:p w:rsidR="003B3559" w:rsidRDefault="00727B14" w:rsidP="002E1CDD">
      <w:pPr>
        <w:autoSpaceDE w:val="0"/>
        <w:autoSpaceDN w:val="0"/>
        <w:adjustRightInd w:val="0"/>
        <w:spacing w:before="0" w:beforeAutospacing="0" w:after="0" w:line="480" w:lineRule="auto"/>
        <w:jc w:val="both"/>
        <w:rPr>
          <w:rFonts w:ascii="Times New Roman" w:eastAsia="Calibri" w:hAnsi="Times New Roman"/>
          <w:sz w:val="24"/>
          <w:szCs w:val="24"/>
        </w:rPr>
      </w:pPr>
      <w:r>
        <w:rPr>
          <w:rFonts w:ascii="Times New Roman" w:eastAsia="Calibri" w:hAnsi="Times New Roman"/>
          <w:sz w:val="24"/>
          <w:szCs w:val="24"/>
        </w:rPr>
        <w:t>A slightly modified thiobarbituric acid reactive substances (TBARS) assay method of Janero, (1990); Zhanyuan and William (1992), was used for this assay. In this assay method egg yolk homogenate (10% in distilled water, v/v) was used as lipid source and free radicals were produced by 0.07M Fenton reagent (FeSO</w:t>
      </w:r>
      <w:r>
        <w:rPr>
          <w:rFonts w:ascii="Times New Roman" w:eastAsia="MinionMath-Capt" w:hAnsi="Times New Roman"/>
          <w:sz w:val="24"/>
          <w:szCs w:val="24"/>
          <w:vertAlign w:val="subscript"/>
        </w:rPr>
        <w:t>4</w:t>
      </w:r>
      <w:r>
        <w:rPr>
          <w:rFonts w:ascii="Times New Roman" w:eastAsia="Calibri" w:hAnsi="Times New Roman"/>
          <w:sz w:val="24"/>
          <w:szCs w:val="24"/>
        </w:rPr>
        <w:t>/H</w:t>
      </w:r>
      <w:r>
        <w:rPr>
          <w:rFonts w:ascii="Times New Roman" w:eastAsia="MinionMath-Capt" w:hAnsi="Times New Roman"/>
          <w:sz w:val="24"/>
          <w:szCs w:val="24"/>
          <w:vertAlign w:val="subscript"/>
        </w:rPr>
        <w:t>2</w:t>
      </w:r>
      <w:r>
        <w:rPr>
          <w:rFonts w:ascii="Times New Roman" w:eastAsia="Calibri" w:hAnsi="Times New Roman"/>
          <w:sz w:val="24"/>
          <w:szCs w:val="24"/>
        </w:rPr>
        <w:t>O</w:t>
      </w:r>
      <w:r>
        <w:rPr>
          <w:rFonts w:ascii="Times New Roman" w:eastAsia="MinionMath-Capt" w:hAnsi="Times New Roman"/>
          <w:sz w:val="24"/>
          <w:szCs w:val="24"/>
          <w:vertAlign w:val="subscript"/>
        </w:rPr>
        <w:t>2</w:t>
      </w:r>
      <w:r>
        <w:rPr>
          <w:rFonts w:ascii="Times New Roman" w:eastAsia="Calibri" w:hAnsi="Times New Roman"/>
          <w:sz w:val="24"/>
          <w:szCs w:val="24"/>
        </w:rPr>
        <w:t>). In brief, 1mL reaction mixture containing 0.95 mL egg yolk homogenate was mixed with 0.05mL Fenton reagent and incubated for 30min to induce lipid peroxidation. Free radical generated by Fenton reagent ruptures the lipid bilayer to form malonaldehyde as a secondary product. Immediately after incubation 1 mL of TBA was added into the mixture. The mixture was heated for 1 hour in a water bath maintained at 95</w:t>
      </w:r>
      <w:r>
        <w:rPr>
          <w:rFonts w:ascii="Cambria Math" w:eastAsia="MinionMath-Capt" w:hAnsi="Cambria Math"/>
          <w:sz w:val="24"/>
          <w:szCs w:val="24"/>
          <w:vertAlign w:val="superscript"/>
        </w:rPr>
        <w:t>∘</w:t>
      </w:r>
      <w:r>
        <w:rPr>
          <w:rFonts w:ascii="Times New Roman" w:eastAsia="Calibri" w:hAnsi="Times New Roman"/>
          <w:sz w:val="24"/>
          <w:szCs w:val="24"/>
        </w:rPr>
        <w:t>C. However, after heating for 1 hour, the test tubes were cooled at room temperature and absorbance read at 532nm. The TBARS was calculated using the formula in equation (1) above.</w:t>
      </w:r>
    </w:p>
    <w:p w:rsidR="008D2E8A" w:rsidRDefault="008D2E8A">
      <w:pPr>
        <w:autoSpaceDE w:val="0"/>
        <w:autoSpaceDN w:val="0"/>
        <w:adjustRightInd w:val="0"/>
        <w:spacing w:after="0" w:line="480" w:lineRule="auto"/>
        <w:jc w:val="both"/>
        <w:rPr>
          <w:rFonts w:ascii="Times New Roman" w:eastAsia="Calibri" w:hAnsi="Times New Roman"/>
          <w:sz w:val="24"/>
          <w:szCs w:val="24"/>
        </w:rPr>
      </w:pPr>
    </w:p>
    <w:p w:rsidR="003B3559" w:rsidRDefault="00727B14" w:rsidP="008D2E8A">
      <w:pPr>
        <w:autoSpaceDE w:val="0"/>
        <w:autoSpaceDN w:val="0"/>
        <w:adjustRightInd w:val="0"/>
        <w:spacing w:before="0" w:beforeAutospacing="0" w:after="0" w:line="480" w:lineRule="auto"/>
        <w:ind w:left="1440" w:hanging="1440"/>
        <w:jc w:val="both"/>
        <w:rPr>
          <w:rFonts w:ascii="Times New Roman" w:eastAsia="Calibri" w:hAnsi="Times New Roman"/>
          <w:b/>
          <w:sz w:val="24"/>
          <w:szCs w:val="24"/>
        </w:rPr>
      </w:pPr>
      <w:r>
        <w:rPr>
          <w:rFonts w:ascii="Times New Roman" w:eastAsia="Calibri" w:hAnsi="Times New Roman"/>
          <w:b/>
          <w:iCs/>
          <w:sz w:val="24"/>
          <w:szCs w:val="24"/>
        </w:rPr>
        <w:t xml:space="preserve"> 2.2.3.3 </w:t>
      </w:r>
      <w:r>
        <w:rPr>
          <w:rFonts w:ascii="Times New Roman" w:eastAsia="Calibri" w:hAnsi="Times New Roman"/>
          <w:b/>
          <w:iCs/>
          <w:color w:val="231F20"/>
          <w:sz w:val="24"/>
          <w:szCs w:val="24"/>
        </w:rPr>
        <w:t>Determination of lipid hydroperoxide concentrations in samples by FOX-2 assay</w:t>
      </w:r>
    </w:p>
    <w:p w:rsidR="003B3559" w:rsidRDefault="00727B14" w:rsidP="008D2E8A">
      <w:pPr>
        <w:autoSpaceDE w:val="0"/>
        <w:autoSpaceDN w:val="0"/>
        <w:adjustRightInd w:val="0"/>
        <w:spacing w:before="0" w:beforeAutospacing="0" w:after="0" w:line="480" w:lineRule="auto"/>
        <w:jc w:val="both"/>
        <w:rPr>
          <w:rFonts w:ascii="Times New Roman" w:eastAsia="Calibri" w:hAnsi="Times New Roman"/>
          <w:sz w:val="24"/>
          <w:szCs w:val="24"/>
        </w:rPr>
      </w:pPr>
      <w:r>
        <w:rPr>
          <w:rFonts w:ascii="Times New Roman" w:eastAsia="Calibri" w:hAnsi="Times New Roman"/>
          <w:color w:val="231F20"/>
          <w:sz w:val="24"/>
          <w:szCs w:val="24"/>
        </w:rPr>
        <w:lastRenderedPageBreak/>
        <w:t>A slightly modified ferrous oxidation-xylenol orange assay method of Lapenna</w:t>
      </w:r>
      <w:r>
        <w:rPr>
          <w:rFonts w:ascii="Times New Roman" w:eastAsia="Calibri" w:hAnsi="Times New Roman"/>
          <w:iCs/>
          <w:color w:val="231F20"/>
          <w:sz w:val="24"/>
          <w:szCs w:val="24"/>
        </w:rPr>
        <w:t>et al</w:t>
      </w:r>
      <w:r>
        <w:rPr>
          <w:rFonts w:ascii="Times New Roman" w:eastAsia="Calibri" w:hAnsi="Times New Roman"/>
          <w:i/>
          <w:color w:val="231F20"/>
          <w:sz w:val="24"/>
          <w:szCs w:val="24"/>
        </w:rPr>
        <w:t>.</w:t>
      </w:r>
      <w:r>
        <w:rPr>
          <w:rFonts w:ascii="Times New Roman" w:eastAsia="Calibri" w:hAnsi="Times New Roman"/>
          <w:color w:val="231F20"/>
          <w:sz w:val="24"/>
          <w:szCs w:val="24"/>
        </w:rPr>
        <w:t xml:space="preserve"> (2001), in conjunction with triphenylphosphine (TPP) was used to measure the level of Lipid hydroperoxides (ROOH). Known a</w:t>
      </w:r>
      <w:r>
        <w:rPr>
          <w:rFonts w:ascii="Times New Roman" w:eastAsia="Calibri" w:hAnsi="Times New Roman"/>
          <w:sz w:val="24"/>
          <w:szCs w:val="24"/>
        </w:rPr>
        <w:t>liquots (180μl) of sample were transferred into ten centrifuge tubes (vials). Then 20 μL of 10 mmol TPP in methanol was added to five of the tubes (vials) to reduce ROOHs, thereby generating a quintuplicate of blanks. Methanol (20 μL) was added to the remaining five (vials) to produce a quintuplicate of the test samples. All the tubes were then vortexed and incubated at room temperature for 30 min prior to the addition of 1800 μL of FOX-2 reagent methanol. The working reagent was routinely calibrated against H</w:t>
      </w:r>
      <w:r>
        <w:rPr>
          <w:rFonts w:ascii="Times New Roman" w:eastAsia="Calibri" w:hAnsi="Times New Roman"/>
          <w:sz w:val="24"/>
          <w:szCs w:val="24"/>
          <w:vertAlign w:val="subscript"/>
        </w:rPr>
        <w:t>2</w:t>
      </w:r>
      <w:r>
        <w:rPr>
          <w:rFonts w:ascii="Times New Roman" w:eastAsia="Calibri" w:hAnsi="Times New Roman"/>
          <w:sz w:val="24"/>
          <w:szCs w:val="24"/>
        </w:rPr>
        <w:t>O</w:t>
      </w:r>
      <w:r>
        <w:rPr>
          <w:rFonts w:ascii="Times New Roman" w:eastAsia="Calibri" w:hAnsi="Times New Roman"/>
          <w:sz w:val="24"/>
          <w:szCs w:val="24"/>
          <w:vertAlign w:val="subscript"/>
        </w:rPr>
        <w:t>2</w:t>
      </w:r>
      <w:r>
        <w:rPr>
          <w:rFonts w:ascii="Times New Roman" w:eastAsia="Calibri" w:hAnsi="Times New Roman"/>
          <w:sz w:val="24"/>
          <w:szCs w:val="24"/>
        </w:rPr>
        <w:t xml:space="preserve"> of known concentrations). After mixing, the samples were incubated at room temperature for another 30 min and the tubes were </w:t>
      </w:r>
      <w:r w:rsidR="00E26F87">
        <w:rPr>
          <w:rFonts w:ascii="Times New Roman" w:eastAsia="Calibri" w:hAnsi="Times New Roman"/>
          <w:sz w:val="24"/>
          <w:szCs w:val="24"/>
        </w:rPr>
        <w:t>centrifuged</w:t>
      </w:r>
      <w:r>
        <w:rPr>
          <w:rFonts w:ascii="Times New Roman" w:eastAsia="Calibri" w:hAnsi="Times New Roman"/>
          <w:sz w:val="24"/>
          <w:szCs w:val="24"/>
        </w:rPr>
        <w:t xml:space="preserve"> at 8000 rpm for 10 min. Absorbance of supernatant was measured at 560 nm. The ROOH concentrations in samples were calculated using the mean absorbance difference between quintuplicate of test samples and the blank samples. Hydroperoxide content was determined by using a molar absorbance co-efficient of 4.3 </w:t>
      </w:r>
      <w:r>
        <w:rPr>
          <w:noProof/>
        </w:rPr>
        <w:drawing>
          <wp:inline distT="0" distB="0" distL="0" distR="0">
            <wp:extent cx="107950" cy="174625"/>
            <wp:effectExtent l="0" t="0" r="6350" b="0"/>
            <wp:docPr id="76" name="Picture 76" descr="C:\Users\FRANK\AppData\Local\Temp\ksohtml11152\wps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C:\Users\FRANK\AppData\Local\Temp\ksohtml11152\wps89.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07950" cy="174625"/>
                    </a:xfrm>
                    <a:prstGeom prst="rect">
                      <a:avLst/>
                    </a:prstGeom>
                    <a:noFill/>
                    <a:ln>
                      <a:noFill/>
                    </a:ln>
                  </pic:spPr>
                </pic:pic>
              </a:graphicData>
            </a:graphic>
          </wp:inline>
        </w:drawing>
      </w:r>
      <w:r>
        <w:rPr>
          <w:rFonts w:ascii="Times New Roman" w:eastAsia="Calibri" w:hAnsi="Times New Roman"/>
          <w:sz w:val="24"/>
          <w:szCs w:val="24"/>
        </w:rPr>
        <w:t xml:space="preserve"> 10</w:t>
      </w:r>
      <w:r>
        <w:rPr>
          <w:rFonts w:ascii="Times New Roman" w:eastAsia="Calibri" w:hAnsi="Times New Roman"/>
          <w:sz w:val="24"/>
          <w:szCs w:val="24"/>
          <w:vertAlign w:val="superscript"/>
        </w:rPr>
        <w:t>4</w:t>
      </w:r>
      <w:r>
        <w:rPr>
          <w:rFonts w:ascii="Times New Roman" w:eastAsia="Calibri" w:hAnsi="Times New Roman"/>
          <w:sz w:val="24"/>
          <w:szCs w:val="24"/>
        </w:rPr>
        <w:t xml:space="preserve"> M</w:t>
      </w:r>
      <w:r>
        <w:rPr>
          <w:rFonts w:ascii="Times New Roman" w:eastAsia="Calibri" w:hAnsi="Times New Roman"/>
          <w:sz w:val="24"/>
          <w:szCs w:val="24"/>
          <w:vertAlign w:val="superscript"/>
        </w:rPr>
        <w:t>-1</w:t>
      </w:r>
      <w:r>
        <w:rPr>
          <w:rFonts w:ascii="Times New Roman" w:eastAsia="Calibri" w:hAnsi="Times New Roman"/>
          <w:sz w:val="24"/>
          <w:szCs w:val="24"/>
        </w:rPr>
        <w:t xml:space="preserve"> CM</w:t>
      </w:r>
      <w:r>
        <w:rPr>
          <w:rFonts w:ascii="Times New Roman" w:eastAsia="Calibri" w:hAnsi="Times New Roman"/>
          <w:sz w:val="24"/>
          <w:szCs w:val="24"/>
          <w:vertAlign w:val="superscript"/>
        </w:rPr>
        <w:t>-1</w:t>
      </w:r>
      <w:r>
        <w:rPr>
          <w:rFonts w:ascii="Times New Roman" w:eastAsia="Calibri" w:hAnsi="Times New Roman"/>
          <w:sz w:val="24"/>
          <w:szCs w:val="24"/>
        </w:rPr>
        <w:t xml:space="preserve"> in reference to H</w:t>
      </w:r>
      <w:r>
        <w:rPr>
          <w:rFonts w:ascii="Times New Roman" w:eastAsia="Calibri" w:hAnsi="Times New Roman"/>
          <w:sz w:val="24"/>
          <w:szCs w:val="24"/>
          <w:vertAlign w:val="subscript"/>
        </w:rPr>
        <w:t>2</w:t>
      </w:r>
      <w:r>
        <w:rPr>
          <w:rFonts w:ascii="Times New Roman" w:eastAsia="Calibri" w:hAnsi="Times New Roman"/>
          <w:sz w:val="24"/>
          <w:szCs w:val="24"/>
        </w:rPr>
        <w:t>O</w:t>
      </w:r>
      <w:r>
        <w:rPr>
          <w:rFonts w:ascii="Times New Roman" w:eastAsia="Calibri" w:hAnsi="Times New Roman"/>
          <w:sz w:val="24"/>
          <w:szCs w:val="24"/>
          <w:vertAlign w:val="subscript"/>
        </w:rPr>
        <w:t>2</w:t>
      </w:r>
      <w:r>
        <w:rPr>
          <w:rFonts w:ascii="Times New Roman" w:eastAsia="Calibri" w:hAnsi="Times New Roman"/>
          <w:sz w:val="24"/>
          <w:szCs w:val="24"/>
        </w:rPr>
        <w:t xml:space="preserve"> standard curve. </w:t>
      </w:r>
    </w:p>
    <w:p w:rsidR="002E1CDD" w:rsidRDefault="002E1CDD" w:rsidP="008D2E8A">
      <w:pPr>
        <w:autoSpaceDE w:val="0"/>
        <w:autoSpaceDN w:val="0"/>
        <w:adjustRightInd w:val="0"/>
        <w:spacing w:before="0" w:beforeAutospacing="0" w:after="0" w:line="480" w:lineRule="auto"/>
        <w:jc w:val="both"/>
        <w:rPr>
          <w:rFonts w:ascii="Times New Roman" w:eastAsia="Calibri" w:hAnsi="Times New Roman"/>
          <w:sz w:val="24"/>
          <w:szCs w:val="24"/>
        </w:rPr>
      </w:pPr>
    </w:p>
    <w:p w:rsidR="003B3559" w:rsidRDefault="00727B14">
      <w:pPr>
        <w:autoSpaceDE w:val="0"/>
        <w:autoSpaceDN w:val="0"/>
        <w:adjustRightInd w:val="0"/>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iCs/>
          <w:sz w:val="24"/>
          <w:szCs w:val="24"/>
        </w:rPr>
        <w:t>2.2.4</w:t>
      </w:r>
      <w:r>
        <w:rPr>
          <w:rFonts w:ascii="Times New Roman" w:eastAsia="Calibri" w:hAnsi="Times New Roman" w:cs="Times New Roman"/>
          <w:b/>
          <w:sz w:val="24"/>
          <w:szCs w:val="24"/>
        </w:rPr>
        <w:tab/>
        <w:t>GC-MS Analysis</w:t>
      </w:r>
    </w:p>
    <w:p w:rsidR="003B3559" w:rsidRDefault="00727B14">
      <w:pPr>
        <w:autoSpaceDE w:val="0"/>
        <w:autoSpaceDN w:val="0"/>
        <w:adjustRightInd w:val="0"/>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iCs/>
          <w:sz w:val="24"/>
          <w:szCs w:val="24"/>
        </w:rPr>
        <w:t>2.2.4.1</w:t>
      </w:r>
      <w:r>
        <w:rPr>
          <w:rFonts w:ascii="Times New Roman" w:eastAsia="Calibri" w:hAnsi="Times New Roman" w:cs="Times New Roman"/>
          <w:b/>
          <w:sz w:val="24"/>
          <w:szCs w:val="24"/>
        </w:rPr>
        <w:tab/>
        <w:t>Methylation Procedure</w:t>
      </w:r>
    </w:p>
    <w:p w:rsidR="003B3559" w:rsidRDefault="00727B14">
      <w:pPr>
        <w:autoSpaceDE w:val="0"/>
        <w:autoSpaceDN w:val="0"/>
        <w:adjustRightInd w:val="0"/>
        <w:spacing w:after="0"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Methylation method according to Wang </w:t>
      </w:r>
      <w:r>
        <w:rPr>
          <w:rFonts w:ascii="Times New Roman" w:eastAsia="Calibri" w:hAnsi="Times New Roman" w:cs="Times New Roman"/>
          <w:iCs/>
          <w:sz w:val="24"/>
          <w:szCs w:val="24"/>
        </w:rPr>
        <w:t>at al</w:t>
      </w:r>
      <w:r>
        <w:rPr>
          <w:rFonts w:ascii="Times New Roman" w:eastAsia="Calibri" w:hAnsi="Times New Roman" w:cs="Times New Roman"/>
          <w:sz w:val="24"/>
          <w:szCs w:val="24"/>
        </w:rPr>
        <w:t>.(2015) was used. Hundred microliter (100 μL) of the oil sample was vortex mixed (Biocote Stuart, model R00010, Korea) with 3 mL of methanolic potassium hydroxide (methanolic-KOH) and finally heated in a water bath at 70ºC for 15 min. Immediately, after heating three drops of H</w:t>
      </w:r>
      <w:r>
        <w:rPr>
          <w:rFonts w:ascii="Times New Roman" w:eastAsia="Calibri" w:hAnsi="Times New Roman" w:cs="Times New Roman"/>
          <w:sz w:val="24"/>
          <w:szCs w:val="24"/>
          <w:vertAlign w:val="subscript"/>
        </w:rPr>
        <w:t>2</w:t>
      </w:r>
      <w:r>
        <w:rPr>
          <w:rFonts w:ascii="Times New Roman" w:eastAsia="Calibri" w:hAnsi="Times New Roman" w:cs="Times New Roman"/>
          <w:sz w:val="24"/>
          <w:szCs w:val="24"/>
        </w:rPr>
        <w:t>SO</w:t>
      </w:r>
      <w:r>
        <w:rPr>
          <w:rFonts w:ascii="Times New Roman" w:eastAsia="Calibri" w:hAnsi="Times New Roman" w:cs="Times New Roman"/>
          <w:sz w:val="24"/>
          <w:szCs w:val="24"/>
          <w:vertAlign w:val="subscript"/>
        </w:rPr>
        <w:t>4</w:t>
      </w:r>
      <w:r>
        <w:rPr>
          <w:rFonts w:ascii="Times New Roman" w:eastAsia="Calibri" w:hAnsi="Times New Roman" w:cs="Times New Roman"/>
          <w:sz w:val="24"/>
          <w:szCs w:val="24"/>
        </w:rPr>
        <w:t xml:space="preserve"> was added, this was followed by 3 ml of distilled water and 3 ml of n-hexane. The whole mixture was centrifuged (Hanil, MF-80, </w:t>
      </w:r>
      <w:r>
        <w:rPr>
          <w:rFonts w:ascii="Times New Roman" w:eastAsia="Calibri" w:hAnsi="Times New Roman" w:cs="Times New Roman"/>
          <w:sz w:val="24"/>
          <w:szCs w:val="24"/>
        </w:rPr>
        <w:lastRenderedPageBreak/>
        <w:t xml:space="preserve">Korea) for 15 min at 3000 rpm, the supernatant was collected and the vialed supernatant was injected into the GC–MS system (Schimadzu, Japan). </w:t>
      </w:r>
    </w:p>
    <w:p w:rsidR="003B3559" w:rsidRDefault="003B3559">
      <w:pPr>
        <w:autoSpaceDE w:val="0"/>
        <w:autoSpaceDN w:val="0"/>
        <w:adjustRightInd w:val="0"/>
        <w:spacing w:after="0" w:line="480" w:lineRule="auto"/>
        <w:contextualSpacing/>
        <w:jc w:val="both"/>
        <w:rPr>
          <w:rFonts w:ascii="Times New Roman" w:eastAsia="Calibri" w:hAnsi="Times New Roman" w:cs="Times New Roman"/>
          <w:b/>
          <w:iCs/>
          <w:sz w:val="24"/>
          <w:szCs w:val="24"/>
        </w:rPr>
      </w:pPr>
    </w:p>
    <w:p w:rsidR="003B3559" w:rsidRDefault="00727B14">
      <w:pPr>
        <w:autoSpaceDE w:val="0"/>
        <w:autoSpaceDN w:val="0"/>
        <w:adjustRightInd w:val="0"/>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iCs/>
          <w:sz w:val="24"/>
          <w:szCs w:val="24"/>
        </w:rPr>
        <w:t>2.2.4.2</w:t>
      </w:r>
      <w:r>
        <w:rPr>
          <w:rFonts w:ascii="Times New Roman" w:eastAsia="Calibri" w:hAnsi="Times New Roman" w:cs="Times New Roman"/>
          <w:b/>
          <w:sz w:val="24"/>
          <w:szCs w:val="24"/>
        </w:rPr>
        <w:tab/>
        <w:t>Derivatization method</w:t>
      </w:r>
    </w:p>
    <w:p w:rsidR="003B3559" w:rsidRDefault="00727B14">
      <w:pPr>
        <w:autoSpaceDE w:val="0"/>
        <w:autoSpaceDN w:val="0"/>
        <w:adjustRightInd w:val="0"/>
        <w:spacing w:after="0"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 slightly modified derivatization method according to Custodio-Mendoza </w:t>
      </w:r>
      <w:r>
        <w:rPr>
          <w:rFonts w:ascii="Times New Roman" w:eastAsia="Calibri" w:hAnsi="Times New Roman" w:cs="Times New Roman"/>
          <w:iCs/>
          <w:sz w:val="24"/>
          <w:szCs w:val="24"/>
        </w:rPr>
        <w:t>at al</w:t>
      </w:r>
      <w:r>
        <w:rPr>
          <w:rFonts w:ascii="Times New Roman" w:eastAsia="Calibri" w:hAnsi="Times New Roman" w:cs="Times New Roman"/>
          <w:sz w:val="24"/>
          <w:szCs w:val="24"/>
        </w:rPr>
        <w:t xml:space="preserve">., 2022 was used. A known volume (0.5 mL) of the sample (or sample solution described above) was vortex mixed (Biocote Stuart, model R00010, Korea) with 1.3 mL Acetonitride (ACN) (disperser solvent) for 1 min and </w:t>
      </w:r>
      <w:r w:rsidR="00E26F87">
        <w:rPr>
          <w:rFonts w:ascii="Times New Roman" w:eastAsia="Calibri" w:hAnsi="Times New Roman" w:cs="Times New Roman"/>
          <w:sz w:val="24"/>
          <w:szCs w:val="24"/>
        </w:rPr>
        <w:t>centrifuged</w:t>
      </w:r>
      <w:r>
        <w:rPr>
          <w:rFonts w:ascii="Times New Roman" w:eastAsia="Calibri" w:hAnsi="Times New Roman" w:cs="Times New Roman"/>
          <w:sz w:val="24"/>
          <w:szCs w:val="24"/>
        </w:rPr>
        <w:t xml:space="preserve"> (Hanil, MF-80, Korea) for 2 min at 3500 rpm. Ninety </w:t>
      </w:r>
      <w:r w:rsidR="00E26F87">
        <w:rPr>
          <w:rFonts w:ascii="Times New Roman" w:eastAsia="Calibri" w:hAnsi="Times New Roman" w:cs="Times New Roman"/>
          <w:sz w:val="24"/>
          <w:szCs w:val="24"/>
        </w:rPr>
        <w:t>microliters</w:t>
      </w:r>
      <w:r>
        <w:rPr>
          <w:rFonts w:ascii="Times New Roman" w:eastAsia="Calibri" w:hAnsi="Times New Roman" w:cs="Times New Roman"/>
          <w:sz w:val="24"/>
          <w:szCs w:val="24"/>
        </w:rPr>
        <w:t xml:space="preserve"> of chloroform (extraction solvent) was mixed with the supernatant, to form a cloudy solution and the resultant mixture was immediately injected into a conical tube containing 0.5 mL derivatization reagent {2, 4-Dintrophenylhydrazine (DNPH) (0.5 g L</w:t>
      </w:r>
      <w:r>
        <w:rPr>
          <w:rFonts w:ascii="Times New Roman" w:eastAsia="Calibri" w:hAnsi="Times New Roman" w:cs="Times New Roman"/>
          <w:sz w:val="24"/>
          <w:szCs w:val="24"/>
          <w:vertAlign w:val="superscript"/>
        </w:rPr>
        <w:t>-1</w:t>
      </w:r>
      <w:r>
        <w:rPr>
          <w:rFonts w:ascii="Times New Roman" w:eastAsia="Calibri" w:hAnsi="Times New Roman" w:cs="Times New Roman"/>
          <w:sz w:val="24"/>
          <w:szCs w:val="24"/>
        </w:rPr>
        <w:t xml:space="preserve"> in 72.916 g L</w:t>
      </w:r>
      <w:r>
        <w:rPr>
          <w:rFonts w:ascii="Times New Roman" w:eastAsia="Calibri" w:hAnsi="Times New Roman" w:cs="Times New Roman"/>
          <w:sz w:val="24"/>
          <w:szCs w:val="24"/>
          <w:vertAlign w:val="superscript"/>
        </w:rPr>
        <w:t>-1</w:t>
      </w:r>
      <w:r>
        <w:rPr>
          <w:rFonts w:ascii="Times New Roman" w:eastAsia="Calibri" w:hAnsi="Times New Roman" w:cs="Times New Roman"/>
          <w:sz w:val="24"/>
          <w:szCs w:val="24"/>
        </w:rPr>
        <w:t xml:space="preserve"> HCl)}, and 4.00 mL ultrapure H</w:t>
      </w:r>
      <w:r>
        <w:rPr>
          <w:rFonts w:ascii="Times New Roman" w:eastAsia="Calibri" w:hAnsi="Times New Roman" w:cs="Times New Roman"/>
          <w:sz w:val="24"/>
          <w:szCs w:val="24"/>
          <w:vertAlign w:val="subscript"/>
        </w:rPr>
        <w:t>2</w:t>
      </w:r>
      <w:r>
        <w:rPr>
          <w:rFonts w:ascii="Times New Roman" w:eastAsia="Calibri" w:hAnsi="Times New Roman" w:cs="Times New Roman"/>
          <w:sz w:val="24"/>
          <w:szCs w:val="24"/>
        </w:rPr>
        <w:t xml:space="preserve">O. The tube was placed in an ultrasound bath (Branson 2510, Bransonic 2510 Spain) maintained at 60 </w:t>
      </w:r>
      <w:r>
        <w:rPr>
          <w:rFonts w:ascii="Times New Roman" w:eastAsia="Calibri" w:hAnsi="Times New Roman" w:cs="Times New Roman"/>
          <w:sz w:val="24"/>
          <w:szCs w:val="24"/>
          <w:vertAlign w:val="superscript"/>
        </w:rPr>
        <w:t>◦</w:t>
      </w:r>
      <w:r>
        <w:rPr>
          <w:rFonts w:ascii="Times New Roman" w:eastAsia="Calibri" w:hAnsi="Times New Roman" w:cs="Times New Roman"/>
          <w:sz w:val="24"/>
          <w:szCs w:val="24"/>
        </w:rPr>
        <w:t xml:space="preserve">C for 5 min and </w:t>
      </w:r>
      <w:r w:rsidR="00E26F87">
        <w:rPr>
          <w:rFonts w:ascii="Times New Roman" w:eastAsia="Calibri" w:hAnsi="Times New Roman" w:cs="Times New Roman"/>
          <w:sz w:val="24"/>
          <w:szCs w:val="24"/>
        </w:rPr>
        <w:t>centrifuged</w:t>
      </w:r>
      <w:r>
        <w:rPr>
          <w:rFonts w:ascii="Times New Roman" w:eastAsia="Calibri" w:hAnsi="Times New Roman" w:cs="Times New Roman"/>
          <w:sz w:val="24"/>
          <w:szCs w:val="24"/>
        </w:rPr>
        <w:t xml:space="preserve"> at 4000 rpm for 2 min to form an extract drop at the bottom of the tube. This drop, containing the hydrazine derivation products, was collected using a 100 μL micro syringe (Hamilton, Denmark) and injected into the GC–MS system.</w:t>
      </w:r>
    </w:p>
    <w:p w:rsidR="008D2E8A" w:rsidRDefault="008D2E8A">
      <w:pPr>
        <w:autoSpaceDE w:val="0"/>
        <w:autoSpaceDN w:val="0"/>
        <w:adjustRightInd w:val="0"/>
        <w:spacing w:after="0" w:line="480" w:lineRule="auto"/>
        <w:contextualSpacing/>
        <w:jc w:val="both"/>
        <w:rPr>
          <w:rFonts w:ascii="Times New Roman" w:eastAsia="Calibri" w:hAnsi="Times New Roman" w:cs="Times New Roman"/>
          <w:b/>
          <w:iCs/>
          <w:sz w:val="24"/>
          <w:szCs w:val="24"/>
        </w:rPr>
      </w:pPr>
    </w:p>
    <w:p w:rsidR="003B3559" w:rsidRDefault="00727B14">
      <w:pPr>
        <w:autoSpaceDE w:val="0"/>
        <w:autoSpaceDN w:val="0"/>
        <w:adjustRightInd w:val="0"/>
        <w:spacing w:after="0" w:line="480" w:lineRule="auto"/>
        <w:contextualSpacing/>
        <w:jc w:val="both"/>
        <w:rPr>
          <w:rFonts w:ascii="Times New Roman" w:eastAsia="Calibri" w:hAnsi="Times New Roman" w:cs="Times New Roman"/>
          <w:i/>
          <w:iCs/>
          <w:sz w:val="24"/>
          <w:szCs w:val="24"/>
        </w:rPr>
      </w:pPr>
      <w:r>
        <w:rPr>
          <w:rFonts w:ascii="Times New Roman" w:eastAsia="Calibri" w:hAnsi="Times New Roman" w:cs="Times New Roman"/>
          <w:b/>
          <w:iCs/>
          <w:sz w:val="24"/>
          <w:szCs w:val="24"/>
        </w:rPr>
        <w:t>2.2.4.3</w:t>
      </w:r>
      <w:r>
        <w:rPr>
          <w:rFonts w:ascii="Times New Roman" w:eastAsia="Calibri" w:hAnsi="Times New Roman" w:cs="Times New Roman"/>
          <w:b/>
          <w:iCs/>
          <w:sz w:val="24"/>
          <w:szCs w:val="24"/>
        </w:rPr>
        <w:tab/>
        <w:t>GC</w:t>
      </w:r>
      <w:r>
        <w:rPr>
          <w:rFonts w:ascii="Times New Roman" w:eastAsia="Calibri" w:hAnsi="Times New Roman" w:cs="Times New Roman"/>
          <w:b/>
          <w:sz w:val="24"/>
          <w:szCs w:val="24"/>
        </w:rPr>
        <w:t>–</w:t>
      </w:r>
      <w:r>
        <w:rPr>
          <w:rFonts w:ascii="Times New Roman" w:eastAsia="Calibri" w:hAnsi="Times New Roman" w:cs="Times New Roman"/>
          <w:b/>
          <w:iCs/>
          <w:sz w:val="24"/>
          <w:szCs w:val="24"/>
        </w:rPr>
        <w:t>MS analysis</w:t>
      </w:r>
    </w:p>
    <w:p w:rsidR="003B3559" w:rsidRDefault="00727B14">
      <w:pPr>
        <w:autoSpaceDE w:val="0"/>
        <w:autoSpaceDN w:val="0"/>
        <w:adjustRightInd w:val="0"/>
        <w:spacing w:after="0"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Separation and molecular identifications of the analytes were carried out with Shimadzu GC–MS QP2010 Ultra equipment (Japan), with injector temperature at 250⁰C and using an ultra-inert double taper liner in splitless mode. (RESCEK RXI</w:t>
      </w:r>
      <w:r>
        <w:rPr>
          <w:rFonts w:ascii="Times New Roman" w:eastAsia="Calibri" w:hAnsi="Times New Roman" w:cs="Times New Roman"/>
          <w:sz w:val="24"/>
          <w:szCs w:val="24"/>
          <w:vertAlign w:val="superscript"/>
        </w:rPr>
        <w:t>TM</w:t>
      </w:r>
      <w:r>
        <w:rPr>
          <w:rFonts w:ascii="Times New Roman" w:eastAsia="Calibri" w:hAnsi="Times New Roman" w:cs="Times New Roman"/>
          <w:sz w:val="24"/>
          <w:szCs w:val="24"/>
        </w:rPr>
        <w:t xml:space="preserve"> –MS Column, USA (60m x 0.23mmlD x 0.25μm df) was used with a carrier gas (helium) flow rate of 1.88 mL min</w:t>
      </w:r>
      <w:r>
        <w:rPr>
          <w:rFonts w:ascii="Times New Roman" w:eastAsia="Calibri" w:hAnsi="Times New Roman" w:cs="Times New Roman"/>
          <w:sz w:val="24"/>
          <w:szCs w:val="24"/>
          <w:vertAlign w:val="superscript"/>
        </w:rPr>
        <w:t>-1</w:t>
      </w:r>
      <w:r>
        <w:rPr>
          <w:rFonts w:ascii="Times New Roman" w:eastAsia="Calibri" w:hAnsi="Times New Roman" w:cs="Times New Roman"/>
          <w:sz w:val="24"/>
          <w:szCs w:val="24"/>
        </w:rPr>
        <w:t>. The temperature started at 100⁰C and increased, with a ramp of 100⁰C min</w:t>
      </w:r>
      <w:r>
        <w:rPr>
          <w:rFonts w:ascii="Times New Roman" w:eastAsia="Calibri" w:hAnsi="Times New Roman" w:cs="Times New Roman"/>
          <w:sz w:val="24"/>
          <w:szCs w:val="24"/>
          <w:vertAlign w:val="superscript"/>
        </w:rPr>
        <w:t>- 1</w:t>
      </w:r>
      <w:r>
        <w:rPr>
          <w:rFonts w:ascii="Times New Roman" w:eastAsia="Calibri" w:hAnsi="Times New Roman" w:cs="Times New Roman"/>
          <w:sz w:val="24"/>
          <w:szCs w:val="24"/>
        </w:rPr>
        <w:t xml:space="preserve">, to 230⁰C; this temperature was </w:t>
      </w:r>
      <w:r>
        <w:rPr>
          <w:rFonts w:ascii="Times New Roman" w:eastAsia="Calibri" w:hAnsi="Times New Roman" w:cs="Times New Roman"/>
          <w:sz w:val="24"/>
          <w:szCs w:val="24"/>
        </w:rPr>
        <w:lastRenderedPageBreak/>
        <w:t>maintained for 8.0 min and then increased, using a 35⁰C min</w:t>
      </w:r>
      <w:r>
        <w:rPr>
          <w:rFonts w:ascii="Times New Roman" w:eastAsia="Calibri" w:hAnsi="Times New Roman" w:cs="Times New Roman"/>
          <w:sz w:val="24"/>
          <w:szCs w:val="24"/>
          <w:vertAlign w:val="superscript"/>
        </w:rPr>
        <w:t>-1</w:t>
      </w:r>
      <w:r>
        <w:rPr>
          <w:rFonts w:ascii="Times New Roman" w:eastAsia="Calibri" w:hAnsi="Times New Roman" w:cs="Times New Roman"/>
          <w:sz w:val="24"/>
          <w:szCs w:val="24"/>
        </w:rPr>
        <w:t xml:space="preserve"> ramp, to a final temperature of 280 ⁰C, maintained for 9.50 min. The transfer line, set at 280⁰C, connects the column to an electronic impact source in positive mode (EI+) programed at 250⁰C and 70 eV. </w:t>
      </w:r>
    </w:p>
    <w:p w:rsidR="008D2E8A" w:rsidRDefault="008D2E8A">
      <w:pPr>
        <w:autoSpaceDE w:val="0"/>
        <w:autoSpaceDN w:val="0"/>
        <w:adjustRightInd w:val="0"/>
        <w:spacing w:after="0" w:line="480" w:lineRule="auto"/>
        <w:contextualSpacing/>
        <w:jc w:val="both"/>
        <w:rPr>
          <w:rFonts w:ascii="Times New Roman" w:eastAsia="Calibri" w:hAnsi="Times New Roman" w:cs="Times New Roman"/>
          <w:sz w:val="24"/>
          <w:szCs w:val="24"/>
        </w:rPr>
      </w:pPr>
    </w:p>
    <w:p w:rsidR="003B3559" w:rsidRDefault="00727B14">
      <w:pPr>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iCs/>
          <w:sz w:val="24"/>
          <w:szCs w:val="24"/>
        </w:rPr>
        <w:t>2.2.5</w:t>
      </w:r>
      <w:r>
        <w:rPr>
          <w:rFonts w:ascii="Times New Roman" w:eastAsia="Calibri" w:hAnsi="Times New Roman" w:cs="Times New Roman"/>
          <w:b/>
          <w:sz w:val="24"/>
          <w:szCs w:val="24"/>
        </w:rPr>
        <w:tab/>
        <w:t>Statistical Analysis</w:t>
      </w:r>
    </w:p>
    <w:p w:rsidR="003B3559" w:rsidRDefault="00727B14">
      <w:pPr>
        <w:spacing w:after="0"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data </w:t>
      </w:r>
      <w:r w:rsidR="00E26F87">
        <w:rPr>
          <w:rFonts w:ascii="Times New Roman" w:eastAsia="Calibri" w:hAnsi="Times New Roman" w:cs="Times New Roman"/>
          <w:sz w:val="24"/>
          <w:szCs w:val="24"/>
        </w:rPr>
        <w:t>analyzed</w:t>
      </w:r>
      <w:r>
        <w:rPr>
          <w:rFonts w:ascii="Times New Roman" w:eastAsia="Calibri" w:hAnsi="Times New Roman" w:cs="Times New Roman"/>
          <w:sz w:val="24"/>
          <w:szCs w:val="24"/>
        </w:rPr>
        <w:t xml:space="preserve"> by SPSS were recorded as means ± standard deviation. ANOVA procedures were used for One-way analysis of variance. Duncan’s multiple range tests were used to determine significant differences between means. p &lt; 0.05 was regarded as significant and p &gt; 0.05 was non-significant.  </w:t>
      </w:r>
    </w:p>
    <w:p w:rsidR="003B3559" w:rsidRDefault="003B3559">
      <w:pPr>
        <w:spacing w:after="0" w:line="480" w:lineRule="auto"/>
        <w:contextualSpacing/>
        <w:jc w:val="both"/>
        <w:rPr>
          <w:rFonts w:ascii="Times New Roman" w:eastAsia="Calibri" w:hAnsi="Times New Roman" w:cs="Times New Roman"/>
          <w:sz w:val="24"/>
          <w:szCs w:val="24"/>
        </w:rPr>
      </w:pPr>
    </w:p>
    <w:p w:rsidR="003B3559" w:rsidRDefault="003B3559">
      <w:pPr>
        <w:spacing w:after="0" w:line="480" w:lineRule="auto"/>
        <w:contextualSpacing/>
        <w:jc w:val="both"/>
        <w:rPr>
          <w:rFonts w:ascii="Times New Roman" w:eastAsia="Calibri" w:hAnsi="Times New Roman" w:cs="Times New Roman"/>
          <w:b/>
          <w:sz w:val="24"/>
          <w:szCs w:val="24"/>
        </w:rPr>
      </w:pPr>
    </w:p>
    <w:p w:rsidR="003B3559" w:rsidRDefault="003B3559">
      <w:pPr>
        <w:spacing w:after="0" w:line="480" w:lineRule="auto"/>
        <w:contextualSpacing/>
        <w:jc w:val="both"/>
        <w:rPr>
          <w:rFonts w:ascii="Times New Roman" w:eastAsia="Calibri" w:hAnsi="Times New Roman" w:cs="Times New Roman"/>
          <w:b/>
          <w:sz w:val="24"/>
          <w:szCs w:val="24"/>
        </w:rPr>
      </w:pPr>
    </w:p>
    <w:p w:rsidR="003B3559" w:rsidRDefault="00727B14" w:rsidP="006F3358">
      <w:pPr>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 3.0</w:t>
      </w:r>
      <w:r>
        <w:rPr>
          <w:rFonts w:ascii="Times New Roman" w:eastAsia="Calibri" w:hAnsi="Times New Roman" w:cs="Times New Roman"/>
          <w:b/>
          <w:sz w:val="24"/>
          <w:szCs w:val="24"/>
        </w:rPr>
        <w:tab/>
        <w:t>Results</w:t>
      </w:r>
      <w:r>
        <w:rPr>
          <w:noProof/>
        </w:rPr>
        <w:drawing>
          <wp:inline distT="0" distB="0" distL="0" distR="0">
            <wp:extent cx="5735955" cy="473710"/>
            <wp:effectExtent l="0" t="0" r="0" b="2540"/>
            <wp:docPr id="75" name="Picture 75" descr="C:\Users\FRANK\AppData\Local\Temp\ksohtml11152\wps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C:\Users\FRANK\AppData\Local\Temp\ksohtml11152\wps90.pn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735955" cy="473710"/>
                    </a:xfrm>
                    <a:prstGeom prst="rect">
                      <a:avLst/>
                    </a:prstGeom>
                    <a:noFill/>
                    <a:ln>
                      <a:noFill/>
                    </a:ln>
                  </pic:spPr>
                </pic:pic>
              </a:graphicData>
            </a:graphic>
          </wp:inline>
        </w:drawing>
      </w:r>
      <w:r>
        <w:rPr>
          <w:noProof/>
        </w:rPr>
        <w:drawing>
          <wp:inline distT="0" distB="0" distL="0" distR="0">
            <wp:extent cx="5735955" cy="3482975"/>
            <wp:effectExtent l="0" t="0" r="0" b="3175"/>
            <wp:docPr id="74" name="Picture 74" descr="C:\Users\FRANK\AppData\Local\Temp\ksohtml11152\wps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C:\Users\FRANK\AppData\Local\Temp\ksohtml11152\wps91.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735955" cy="3482975"/>
                    </a:xfrm>
                    <a:prstGeom prst="rect">
                      <a:avLst/>
                    </a:prstGeom>
                    <a:noFill/>
                    <a:ln>
                      <a:noFill/>
                    </a:ln>
                  </pic:spPr>
                </pic:pic>
              </a:graphicData>
            </a:graphic>
          </wp:inline>
        </w:drawing>
      </w:r>
    </w:p>
    <w:p w:rsidR="003B3559" w:rsidRDefault="00727B14">
      <w:pPr>
        <w:spacing w:after="0" w:line="480" w:lineRule="auto"/>
        <w:contextualSpacing/>
        <w:jc w:val="both"/>
        <w:rPr>
          <w:rFonts w:ascii="Times New Roman" w:hAnsi="Times New Roman" w:cs="Times New Roman"/>
          <w:sz w:val="24"/>
          <w:szCs w:val="24"/>
        </w:rPr>
      </w:pPr>
      <w:r>
        <w:rPr>
          <w:rFonts w:ascii="Times New Roman" w:eastAsia="Calibri" w:hAnsi="Times New Roman" w:cs="Times New Roman"/>
          <w:sz w:val="24"/>
          <w:szCs w:val="24"/>
        </w:rPr>
        <w:t>Both re-used refined vegetable oil and re-used deep-fried crude vegetable oil exhibited varied colour changes from pale yellow to amber and tan colours respectively. The observed solidification of both re-used deep-fried crude vegetable oil and un-used/unrefined crude vegetable oil</w:t>
      </w:r>
      <w:r>
        <w:rPr>
          <w:rFonts w:ascii="Times New Roman" w:hAnsi="Times New Roman" w:cs="Times New Roman"/>
          <w:sz w:val="24"/>
          <w:szCs w:val="24"/>
        </w:rPr>
        <w:t xml:space="preserve"> at room temperature in comparison with </w:t>
      </w:r>
      <w:r>
        <w:rPr>
          <w:rFonts w:ascii="Times New Roman" w:eastAsia="Calibri" w:hAnsi="Times New Roman" w:cs="Times New Roman"/>
          <w:sz w:val="24"/>
          <w:szCs w:val="24"/>
        </w:rPr>
        <w:t>refined vegetable oil and used refined vegetable oil</w:t>
      </w:r>
      <w:r>
        <w:rPr>
          <w:rFonts w:ascii="Times New Roman" w:hAnsi="Times New Roman" w:cs="Times New Roman"/>
          <w:sz w:val="24"/>
          <w:szCs w:val="24"/>
        </w:rPr>
        <w:t xml:space="preserve"> that are liquid states indicates a significant change in the physical states.</w:t>
      </w:r>
    </w:p>
    <w:p w:rsidR="003B3559" w:rsidRDefault="003B3559">
      <w:pPr>
        <w:spacing w:after="0" w:line="480" w:lineRule="auto"/>
        <w:contextualSpacing/>
        <w:jc w:val="both"/>
        <w:rPr>
          <w:rFonts w:ascii="Times New Roman" w:hAnsi="Times New Roman" w:cs="Times New Roman"/>
          <w:sz w:val="24"/>
          <w:szCs w:val="24"/>
        </w:rPr>
      </w:pPr>
    </w:p>
    <w:p w:rsidR="003B3559" w:rsidRDefault="003B3559">
      <w:pPr>
        <w:spacing w:after="0" w:line="480" w:lineRule="auto"/>
        <w:contextualSpacing/>
        <w:jc w:val="both"/>
        <w:rPr>
          <w:rFonts w:ascii="Times New Roman" w:hAnsi="Times New Roman" w:cs="Times New Roman"/>
          <w:sz w:val="24"/>
          <w:szCs w:val="24"/>
        </w:rPr>
      </w:pPr>
    </w:p>
    <w:p w:rsidR="002E1CDD" w:rsidRDefault="002E1CDD">
      <w:pPr>
        <w:spacing w:after="0" w:line="480" w:lineRule="auto"/>
        <w:contextualSpacing/>
        <w:jc w:val="both"/>
        <w:rPr>
          <w:rFonts w:ascii="Times New Roman" w:hAnsi="Times New Roman" w:cs="Times New Roman"/>
          <w:sz w:val="24"/>
          <w:szCs w:val="24"/>
        </w:rPr>
      </w:pPr>
    </w:p>
    <w:p w:rsidR="002E1CDD" w:rsidRDefault="002E1CDD">
      <w:pPr>
        <w:spacing w:after="0" w:line="480" w:lineRule="auto"/>
        <w:contextualSpacing/>
        <w:jc w:val="both"/>
        <w:rPr>
          <w:rFonts w:ascii="Times New Roman" w:hAnsi="Times New Roman" w:cs="Times New Roman"/>
          <w:sz w:val="24"/>
          <w:szCs w:val="24"/>
        </w:rPr>
      </w:pPr>
    </w:p>
    <w:p w:rsidR="003B3559" w:rsidRDefault="003B3559">
      <w:pPr>
        <w:spacing w:after="0" w:line="480" w:lineRule="auto"/>
        <w:contextualSpacing/>
        <w:jc w:val="both"/>
        <w:rPr>
          <w:rFonts w:ascii="Times New Roman" w:eastAsia="Calibri" w:hAnsi="Times New Roman" w:cs="Times New Roman"/>
          <w:b/>
          <w:sz w:val="24"/>
          <w:szCs w:val="24"/>
        </w:rPr>
      </w:pPr>
    </w:p>
    <w:p w:rsidR="003B3559" w:rsidRDefault="003B3559">
      <w:pPr>
        <w:spacing w:after="0" w:line="480" w:lineRule="auto"/>
        <w:contextualSpacing/>
        <w:jc w:val="both"/>
        <w:rPr>
          <w:rFonts w:ascii="Times New Roman" w:eastAsia="Calibri" w:hAnsi="Times New Roman" w:cs="Times New Roman"/>
          <w:b/>
          <w:sz w:val="24"/>
          <w:szCs w:val="24"/>
        </w:rPr>
      </w:pPr>
    </w:p>
    <w:p w:rsidR="003B3559" w:rsidRDefault="003B3559">
      <w:pPr>
        <w:spacing w:after="0" w:line="480" w:lineRule="auto"/>
        <w:contextualSpacing/>
        <w:jc w:val="both"/>
        <w:rPr>
          <w:rFonts w:ascii="Times New Roman" w:eastAsia="Calibri" w:hAnsi="Times New Roman" w:cs="Times New Roman"/>
          <w:b/>
          <w:sz w:val="24"/>
          <w:szCs w:val="24"/>
        </w:rPr>
      </w:pPr>
    </w:p>
    <w:p w:rsidR="003B3559" w:rsidRDefault="003B3559">
      <w:pPr>
        <w:spacing w:after="0" w:line="480" w:lineRule="auto"/>
        <w:contextualSpacing/>
        <w:jc w:val="both"/>
        <w:rPr>
          <w:rFonts w:ascii="Times New Roman" w:eastAsia="Calibri" w:hAnsi="Times New Roman" w:cs="Times New Roman"/>
          <w:b/>
          <w:sz w:val="24"/>
          <w:szCs w:val="24"/>
        </w:rPr>
      </w:pPr>
    </w:p>
    <w:p w:rsidR="003B3559" w:rsidRDefault="003B3559">
      <w:pPr>
        <w:spacing w:after="0" w:line="480" w:lineRule="auto"/>
        <w:contextualSpacing/>
        <w:jc w:val="both"/>
        <w:rPr>
          <w:rFonts w:ascii="Times New Roman" w:eastAsia="Calibri" w:hAnsi="Times New Roman" w:cs="Times New Roman"/>
          <w:b/>
          <w:sz w:val="24"/>
          <w:szCs w:val="24"/>
        </w:rPr>
      </w:pPr>
    </w:p>
    <w:p w:rsidR="003B3559" w:rsidRDefault="00727B14">
      <w:pPr>
        <w:spacing w:after="120" w:line="480" w:lineRule="auto"/>
        <w:rPr>
          <w:rFonts w:cs="Times New Roman"/>
          <w:sz w:val="24"/>
          <w:szCs w:val="24"/>
        </w:rPr>
      </w:pPr>
      <w:r>
        <w:rPr>
          <w:rFonts w:cs="Times New Roman"/>
          <w:sz w:val="24"/>
          <w:szCs w:val="24"/>
        </w:rPr>
        <w:tab/>
      </w:r>
    </w:p>
    <w:p w:rsidR="003B3559" w:rsidRDefault="003B3559">
      <w:pPr>
        <w:spacing w:after="120" w:line="480" w:lineRule="auto"/>
        <w:rPr>
          <w:rFonts w:cs="Times New Roman"/>
          <w:sz w:val="24"/>
          <w:szCs w:val="24"/>
        </w:rPr>
      </w:pPr>
    </w:p>
    <w:p w:rsidR="003B3559" w:rsidRDefault="003B3559">
      <w:pPr>
        <w:spacing w:after="120" w:line="480" w:lineRule="auto"/>
        <w:rPr>
          <w:rFonts w:cs="Times New Roman"/>
          <w:sz w:val="24"/>
          <w:szCs w:val="24"/>
        </w:rPr>
      </w:pPr>
    </w:p>
    <w:p w:rsidR="003B3559" w:rsidRDefault="003B3559">
      <w:pPr>
        <w:spacing w:after="120" w:line="480" w:lineRule="auto"/>
        <w:rPr>
          <w:rFonts w:cs="Times New Roman"/>
          <w:sz w:val="24"/>
          <w:szCs w:val="24"/>
        </w:rPr>
      </w:pPr>
    </w:p>
    <w:p w:rsidR="003B3559" w:rsidRDefault="003B3559">
      <w:pPr>
        <w:spacing w:after="120" w:line="480" w:lineRule="auto"/>
        <w:rPr>
          <w:rFonts w:cs="Times New Roman"/>
          <w:sz w:val="24"/>
          <w:szCs w:val="24"/>
        </w:rPr>
      </w:pPr>
    </w:p>
    <w:p w:rsidR="00A80168" w:rsidRDefault="00A80168">
      <w:pPr>
        <w:spacing w:after="120" w:line="480" w:lineRule="auto"/>
        <w:rPr>
          <w:rFonts w:cs="Times New Roman"/>
          <w:sz w:val="24"/>
          <w:szCs w:val="24"/>
        </w:rPr>
        <w:sectPr w:rsidR="00A80168">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pPr>
    </w:p>
    <w:p w:rsidR="00A80168" w:rsidRDefault="00A80168" w:rsidP="00A80168">
      <w:pPr>
        <w:pStyle w:val="ListParagraph"/>
        <w:numPr>
          <w:ilvl w:val="0"/>
          <w:numId w:val="1"/>
        </w:num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Table-1: Characterization values of random oil samples collected from five states in Eastern Nigeria</w:t>
      </w:r>
    </w:p>
    <w:tbl>
      <w:tblPr>
        <w:tblStyle w:val="ListTable6Colorful"/>
        <w:tblpPr w:leftFromText="180" w:rightFromText="180" w:vertAnchor="text" w:horzAnchor="margin" w:tblpXSpec="center" w:tblpY="52"/>
        <w:tblW w:w="5000" w:type="pct"/>
        <w:tblInd w:w="0" w:type="dxa"/>
        <w:shd w:val="clear" w:color="auto" w:fill="FFFFFF" w:themeFill="background1"/>
        <w:tblLook w:val="04A0"/>
      </w:tblPr>
      <w:tblGrid>
        <w:gridCol w:w="528"/>
        <w:gridCol w:w="1157"/>
        <w:gridCol w:w="1391"/>
        <w:gridCol w:w="1626"/>
        <w:gridCol w:w="1858"/>
        <w:gridCol w:w="1859"/>
        <w:gridCol w:w="1274"/>
        <w:gridCol w:w="1975"/>
        <w:gridCol w:w="1508"/>
      </w:tblGrid>
      <w:tr w:rsidR="00A80168" w:rsidTr="00A80168">
        <w:trPr>
          <w:cnfStyle w:val="100000000000"/>
          <w:trHeight w:val="429"/>
        </w:trPr>
        <w:tc>
          <w:tcPr>
            <w:cnfStyle w:val="001000000000"/>
            <w:tcW w:w="177" w:type="pct"/>
            <w:tcBorders>
              <w:top w:val="single" w:sz="4" w:space="0" w:color="000000" w:themeColor="text1"/>
              <w:left w:val="nil"/>
              <w:right w:val="nil"/>
            </w:tcBorders>
            <w:shd w:val="clear" w:color="auto" w:fill="FFFFFF" w:themeFill="background1"/>
            <w:hideMark/>
          </w:tcPr>
          <w:p w:rsidR="00A80168" w:rsidRDefault="00A80168" w:rsidP="007840EF">
            <w:pPr>
              <w:spacing w:line="240" w:lineRule="auto"/>
              <w:contextualSpacing/>
              <w:jc w:val="both"/>
              <w:rPr>
                <w:rFonts w:ascii="Times New Roman" w:eastAsia="Calibri" w:hAnsi="Times New Roman" w:cs="Times New Roman"/>
                <w:b w:val="0"/>
                <w:sz w:val="20"/>
                <w:szCs w:val="20"/>
              </w:rPr>
            </w:pPr>
            <w:r>
              <w:rPr>
                <w:rFonts w:ascii="Times New Roman" w:eastAsia="Calibri" w:hAnsi="Times New Roman" w:cs="Times New Roman"/>
                <w:sz w:val="20"/>
                <w:szCs w:val="20"/>
              </w:rPr>
              <w:t>S/N</w:t>
            </w:r>
          </w:p>
        </w:tc>
        <w:tc>
          <w:tcPr>
            <w:tcW w:w="442" w:type="pct"/>
            <w:tcBorders>
              <w:top w:val="single" w:sz="4" w:space="0" w:color="000000" w:themeColor="text1"/>
              <w:left w:val="nil"/>
              <w:right w:val="nil"/>
            </w:tcBorders>
            <w:shd w:val="clear" w:color="auto" w:fill="FFFFFF" w:themeFill="background1"/>
            <w:hideMark/>
          </w:tcPr>
          <w:p w:rsidR="00A80168" w:rsidRDefault="00A80168" w:rsidP="007840EF">
            <w:pPr>
              <w:spacing w:line="240" w:lineRule="auto"/>
              <w:contextualSpacing/>
              <w:jc w:val="both"/>
              <w:cnfStyle w:val="100000000000"/>
              <w:rPr>
                <w:rFonts w:ascii="Times New Roman" w:eastAsia="Calibri" w:hAnsi="Times New Roman" w:cs="Times New Roman"/>
                <w:b w:val="0"/>
                <w:sz w:val="20"/>
                <w:szCs w:val="20"/>
              </w:rPr>
            </w:pPr>
            <w:r>
              <w:rPr>
                <w:rFonts w:ascii="Times New Roman" w:eastAsia="Calibri" w:hAnsi="Times New Roman" w:cs="Times New Roman"/>
                <w:sz w:val="20"/>
                <w:szCs w:val="20"/>
              </w:rPr>
              <w:t>Sample</w:t>
            </w:r>
          </w:p>
        </w:tc>
        <w:tc>
          <w:tcPr>
            <w:tcW w:w="531" w:type="pct"/>
            <w:tcBorders>
              <w:top w:val="single" w:sz="4" w:space="0" w:color="000000" w:themeColor="text1"/>
              <w:left w:val="nil"/>
              <w:right w:val="nil"/>
            </w:tcBorders>
            <w:shd w:val="clear" w:color="auto" w:fill="FFFFFF" w:themeFill="background1"/>
            <w:hideMark/>
          </w:tcPr>
          <w:p w:rsidR="00A80168" w:rsidRDefault="00A80168" w:rsidP="007840EF">
            <w:pPr>
              <w:spacing w:line="240" w:lineRule="auto"/>
              <w:contextualSpacing/>
              <w:jc w:val="both"/>
              <w:cnfStyle w:val="100000000000"/>
              <w:rPr>
                <w:rFonts w:ascii="Times New Roman" w:eastAsia="Calibri" w:hAnsi="Times New Roman" w:cs="Times New Roman"/>
                <w:b w:val="0"/>
                <w:sz w:val="20"/>
                <w:szCs w:val="20"/>
              </w:rPr>
            </w:pPr>
            <w:r>
              <w:rPr>
                <w:rFonts w:ascii="Times New Roman" w:eastAsia="Calibri" w:hAnsi="Times New Roman" w:cs="Times New Roman"/>
                <w:sz w:val="20"/>
                <w:szCs w:val="20"/>
              </w:rPr>
              <w:t>%FFA (Mg/KOH/g)</w:t>
            </w:r>
          </w:p>
        </w:tc>
        <w:tc>
          <w:tcPr>
            <w:tcW w:w="620" w:type="pct"/>
            <w:tcBorders>
              <w:top w:val="single" w:sz="4" w:space="0" w:color="000000" w:themeColor="text1"/>
              <w:left w:val="nil"/>
              <w:right w:val="nil"/>
            </w:tcBorders>
            <w:shd w:val="clear" w:color="auto" w:fill="FFFFFF" w:themeFill="background1"/>
            <w:hideMark/>
          </w:tcPr>
          <w:p w:rsidR="00A80168" w:rsidRDefault="00A80168" w:rsidP="007840EF">
            <w:pPr>
              <w:spacing w:line="240" w:lineRule="auto"/>
              <w:contextualSpacing/>
              <w:jc w:val="both"/>
              <w:cnfStyle w:val="100000000000"/>
              <w:rPr>
                <w:rFonts w:ascii="Times New Roman" w:eastAsia="Calibri" w:hAnsi="Times New Roman" w:cs="Times New Roman"/>
                <w:b w:val="0"/>
                <w:sz w:val="20"/>
                <w:szCs w:val="20"/>
              </w:rPr>
            </w:pPr>
            <w:r>
              <w:rPr>
                <w:rFonts w:ascii="Times New Roman" w:eastAsia="Calibri" w:hAnsi="Times New Roman" w:cs="Times New Roman"/>
                <w:sz w:val="20"/>
                <w:szCs w:val="20"/>
              </w:rPr>
              <w:t>Iodine-Value (gl/100g)</w:t>
            </w:r>
          </w:p>
        </w:tc>
        <w:tc>
          <w:tcPr>
            <w:tcW w:w="708" w:type="pct"/>
            <w:tcBorders>
              <w:top w:val="single" w:sz="4" w:space="0" w:color="000000" w:themeColor="text1"/>
              <w:left w:val="nil"/>
              <w:right w:val="nil"/>
            </w:tcBorders>
            <w:shd w:val="clear" w:color="auto" w:fill="FFFFFF" w:themeFill="background1"/>
            <w:hideMark/>
          </w:tcPr>
          <w:p w:rsidR="00A80168" w:rsidRDefault="00A80168" w:rsidP="007840EF">
            <w:pPr>
              <w:spacing w:line="240" w:lineRule="auto"/>
              <w:contextualSpacing/>
              <w:jc w:val="both"/>
              <w:cnfStyle w:val="100000000000"/>
              <w:rPr>
                <w:rFonts w:ascii="Times New Roman" w:eastAsia="Calibri" w:hAnsi="Times New Roman" w:cs="Times New Roman"/>
                <w:b w:val="0"/>
                <w:sz w:val="20"/>
                <w:szCs w:val="20"/>
              </w:rPr>
            </w:pPr>
            <w:r>
              <w:rPr>
                <w:rFonts w:ascii="Times New Roman" w:eastAsia="Calibri" w:hAnsi="Times New Roman" w:cs="Times New Roman"/>
                <w:sz w:val="20"/>
                <w:szCs w:val="20"/>
              </w:rPr>
              <w:t>Peroxide Value</w:t>
            </w:r>
          </w:p>
        </w:tc>
        <w:tc>
          <w:tcPr>
            <w:tcW w:w="708" w:type="pct"/>
            <w:tcBorders>
              <w:top w:val="single" w:sz="4" w:space="0" w:color="000000" w:themeColor="text1"/>
              <w:left w:val="nil"/>
              <w:right w:val="nil"/>
            </w:tcBorders>
            <w:shd w:val="clear" w:color="auto" w:fill="FFFFFF" w:themeFill="background1"/>
            <w:hideMark/>
          </w:tcPr>
          <w:p w:rsidR="00A80168" w:rsidRDefault="00A80168" w:rsidP="007840EF">
            <w:pPr>
              <w:spacing w:after="120" w:line="240" w:lineRule="auto"/>
              <w:contextualSpacing/>
              <w:jc w:val="both"/>
              <w:cnfStyle w:val="100000000000"/>
              <w:rPr>
                <w:rFonts w:ascii="Times New Roman" w:eastAsia="Calibri" w:hAnsi="Times New Roman" w:cs="Times New Roman"/>
                <w:b w:val="0"/>
                <w:sz w:val="20"/>
                <w:szCs w:val="20"/>
              </w:rPr>
            </w:pPr>
            <w:r>
              <w:rPr>
                <w:rFonts w:ascii="Times New Roman" w:eastAsia="Calibri" w:hAnsi="Times New Roman" w:cs="Times New Roman"/>
                <w:sz w:val="20"/>
                <w:szCs w:val="20"/>
              </w:rPr>
              <w:t xml:space="preserve">Saponification Value </w:t>
            </w:r>
          </w:p>
          <w:p w:rsidR="00A80168" w:rsidRDefault="00A80168" w:rsidP="007840EF">
            <w:pPr>
              <w:spacing w:after="120" w:line="240" w:lineRule="auto"/>
              <w:contextualSpacing/>
              <w:jc w:val="both"/>
              <w:cnfStyle w:val="100000000000"/>
              <w:rPr>
                <w:rFonts w:ascii="Times New Roman" w:eastAsia="Calibri" w:hAnsi="Times New Roman" w:cs="Times New Roman"/>
                <w:b w:val="0"/>
                <w:sz w:val="20"/>
                <w:szCs w:val="20"/>
              </w:rPr>
            </w:pPr>
            <w:r>
              <w:rPr>
                <w:rFonts w:ascii="Times New Roman" w:hAnsi="Times New Roman" w:cs="Times New Roman"/>
                <w:sz w:val="20"/>
                <w:szCs w:val="20"/>
              </w:rPr>
              <w:t>(mg KOH per g)</w:t>
            </w:r>
          </w:p>
        </w:tc>
        <w:tc>
          <w:tcPr>
            <w:tcW w:w="486" w:type="pct"/>
            <w:tcBorders>
              <w:top w:val="single" w:sz="4" w:space="0" w:color="000000" w:themeColor="text1"/>
              <w:left w:val="nil"/>
              <w:right w:val="nil"/>
            </w:tcBorders>
            <w:shd w:val="clear" w:color="auto" w:fill="FFFFFF" w:themeFill="background1"/>
            <w:hideMark/>
          </w:tcPr>
          <w:p w:rsidR="00A80168" w:rsidRDefault="00A80168" w:rsidP="007840EF">
            <w:pPr>
              <w:spacing w:line="240" w:lineRule="auto"/>
              <w:contextualSpacing/>
              <w:jc w:val="both"/>
              <w:cnfStyle w:val="100000000000"/>
              <w:rPr>
                <w:rFonts w:ascii="Times New Roman" w:eastAsia="Calibri" w:hAnsi="Times New Roman" w:cs="Times New Roman"/>
                <w:b w:val="0"/>
                <w:sz w:val="20"/>
                <w:szCs w:val="20"/>
              </w:rPr>
            </w:pPr>
            <w:r>
              <w:rPr>
                <w:rFonts w:ascii="Times New Roman" w:eastAsia="Calibri" w:hAnsi="Times New Roman" w:cs="Times New Roman"/>
                <w:sz w:val="20"/>
                <w:szCs w:val="20"/>
              </w:rPr>
              <w:t>Density (g/mL)</w:t>
            </w:r>
          </w:p>
        </w:tc>
        <w:tc>
          <w:tcPr>
            <w:tcW w:w="752" w:type="pct"/>
            <w:tcBorders>
              <w:top w:val="single" w:sz="4" w:space="0" w:color="000000" w:themeColor="text1"/>
              <w:left w:val="nil"/>
              <w:right w:val="nil"/>
            </w:tcBorders>
            <w:shd w:val="clear" w:color="auto" w:fill="FFFFFF" w:themeFill="background1"/>
            <w:hideMark/>
          </w:tcPr>
          <w:p w:rsidR="00A80168" w:rsidRDefault="00A80168" w:rsidP="007840EF">
            <w:pPr>
              <w:spacing w:line="240" w:lineRule="auto"/>
              <w:contextualSpacing/>
              <w:jc w:val="both"/>
              <w:cnfStyle w:val="100000000000"/>
              <w:rPr>
                <w:rFonts w:ascii="Times New Roman" w:eastAsia="Calibri" w:hAnsi="Times New Roman" w:cs="Times New Roman"/>
                <w:b w:val="0"/>
                <w:sz w:val="20"/>
                <w:szCs w:val="20"/>
              </w:rPr>
            </w:pPr>
            <w:r>
              <w:rPr>
                <w:rFonts w:ascii="Times New Roman" w:eastAsia="Calibri" w:hAnsi="Times New Roman" w:cs="Times New Roman"/>
                <w:b w:val="0"/>
                <w:sz w:val="20"/>
                <w:szCs w:val="20"/>
              </w:rPr>
              <w:t>Lipid-Hydro</w:t>
            </w:r>
            <w:r>
              <w:rPr>
                <w:rFonts w:ascii="Times New Roman" w:eastAsia="Calibri" w:hAnsi="Times New Roman" w:cs="Times New Roman"/>
                <w:sz w:val="20"/>
                <w:szCs w:val="20"/>
              </w:rPr>
              <w:t>peroxide</w:t>
            </w:r>
            <w:r>
              <w:rPr>
                <w:rFonts w:ascii="Times New Roman" w:eastAsia="Calibri" w:hAnsi="Times New Roman" w:cs="Times New Roman"/>
                <w:b w:val="0"/>
                <w:sz w:val="20"/>
                <w:szCs w:val="20"/>
              </w:rPr>
              <w:t>s</w:t>
            </w:r>
            <w:r>
              <w:rPr>
                <w:rFonts w:ascii="Times New Roman" w:eastAsia="Calibri" w:hAnsi="Times New Roman" w:cs="Times New Roman"/>
                <w:sz w:val="20"/>
                <w:szCs w:val="20"/>
              </w:rPr>
              <w:t xml:space="preserve"> Value</w:t>
            </w:r>
            <w:r>
              <w:rPr>
                <w:rFonts w:ascii="Times New Roman" w:hAnsi="Times New Roman"/>
                <w:color w:val="000000"/>
                <w:sz w:val="20"/>
                <w:szCs w:val="20"/>
              </w:rPr>
              <w:t>(µmol/L)</w:t>
            </w:r>
          </w:p>
        </w:tc>
        <w:tc>
          <w:tcPr>
            <w:tcW w:w="575" w:type="pct"/>
            <w:tcBorders>
              <w:top w:val="single" w:sz="4" w:space="0" w:color="000000" w:themeColor="text1"/>
              <w:left w:val="nil"/>
              <w:right w:val="nil"/>
            </w:tcBorders>
            <w:shd w:val="clear" w:color="auto" w:fill="FFFFFF" w:themeFill="background1"/>
            <w:hideMark/>
          </w:tcPr>
          <w:p w:rsidR="00A80168" w:rsidRDefault="00A80168" w:rsidP="007840EF">
            <w:pPr>
              <w:spacing w:line="240" w:lineRule="auto"/>
              <w:contextualSpacing/>
              <w:jc w:val="both"/>
              <w:cnfStyle w:val="100000000000"/>
              <w:rPr>
                <w:rFonts w:ascii="Times New Roman" w:eastAsia="Calibri" w:hAnsi="Times New Roman" w:cs="Times New Roman"/>
                <w:b w:val="0"/>
                <w:sz w:val="20"/>
                <w:szCs w:val="20"/>
              </w:rPr>
            </w:pPr>
            <w:r>
              <w:rPr>
                <w:rFonts w:ascii="Times New Roman" w:eastAsia="Calibri" w:hAnsi="Times New Roman" w:cs="Times New Roman"/>
                <w:sz w:val="20"/>
                <w:szCs w:val="20"/>
              </w:rPr>
              <w:t>TBARS</w:t>
            </w:r>
          </w:p>
          <w:p w:rsidR="00A80168" w:rsidRDefault="00A80168" w:rsidP="007840EF">
            <w:pPr>
              <w:spacing w:line="240" w:lineRule="auto"/>
              <w:contextualSpacing/>
              <w:jc w:val="both"/>
              <w:cnfStyle w:val="100000000000"/>
              <w:rPr>
                <w:rFonts w:ascii="Times New Roman" w:eastAsia="Calibri" w:hAnsi="Times New Roman" w:cs="Times New Roman"/>
                <w:b w:val="0"/>
                <w:sz w:val="20"/>
                <w:szCs w:val="20"/>
              </w:rPr>
            </w:pPr>
            <w:r>
              <w:rPr>
                <w:rFonts w:ascii="Times New Roman" w:hAnsi="Times New Roman"/>
                <w:color w:val="000000"/>
                <w:sz w:val="20"/>
                <w:szCs w:val="20"/>
              </w:rPr>
              <w:t>Mean ± S.D (</w:t>
            </w:r>
            <w:r>
              <w:rPr>
                <w:rStyle w:val="A4"/>
                <w:rFonts w:ascii="Times New Roman" w:hAnsi="Times New Roman" w:cs="Times New Roman"/>
                <w:sz w:val="20"/>
                <w:szCs w:val="20"/>
              </w:rPr>
              <w:t>µM/g)</w:t>
            </w:r>
          </w:p>
        </w:tc>
      </w:tr>
      <w:tr w:rsidR="00A80168" w:rsidTr="00A80168">
        <w:trPr>
          <w:cnfStyle w:val="000000100000"/>
          <w:trHeight w:val="330"/>
        </w:trPr>
        <w:tc>
          <w:tcPr>
            <w:cnfStyle w:val="001000000000"/>
            <w:tcW w:w="177"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442"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Area-1</w:t>
            </w:r>
          </w:p>
        </w:tc>
        <w:tc>
          <w:tcPr>
            <w:tcW w:w="531"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03.95±0.040</w:t>
            </w:r>
          </w:p>
        </w:tc>
        <w:tc>
          <w:tcPr>
            <w:tcW w:w="620"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14.05±0.000</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061.41±0.000</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306.93±0.010</w:t>
            </w:r>
            <w:r>
              <w:rPr>
                <w:rFonts w:ascii="Times New Roman" w:eastAsia="Calibri" w:hAnsi="Times New Roman" w:cs="Times New Roman"/>
                <w:b/>
                <w:sz w:val="20"/>
                <w:szCs w:val="20"/>
                <w:vertAlign w:val="superscript"/>
              </w:rPr>
              <w:t xml:space="preserve"> β</w:t>
            </w:r>
          </w:p>
        </w:tc>
        <w:tc>
          <w:tcPr>
            <w:tcW w:w="486"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0.919±0.050</w:t>
            </w:r>
          </w:p>
        </w:tc>
        <w:tc>
          <w:tcPr>
            <w:tcW w:w="752"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0.0185±0.000</w:t>
            </w:r>
            <w:r>
              <w:rPr>
                <w:rFonts w:ascii="Times New Roman" w:eastAsia="Calibri" w:hAnsi="Times New Roman" w:cs="Times New Roman"/>
                <w:b/>
                <w:sz w:val="20"/>
                <w:szCs w:val="20"/>
                <w:vertAlign w:val="superscript"/>
              </w:rPr>
              <w:t xml:space="preserve"> β</w:t>
            </w:r>
          </w:p>
        </w:tc>
        <w:tc>
          <w:tcPr>
            <w:tcW w:w="575"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0.063±0.030</w:t>
            </w:r>
            <w:r>
              <w:rPr>
                <w:rFonts w:ascii="Times New Roman" w:eastAsia="Calibri" w:hAnsi="Times New Roman" w:cs="Times New Roman"/>
                <w:b/>
                <w:sz w:val="20"/>
                <w:szCs w:val="20"/>
                <w:vertAlign w:val="superscript"/>
              </w:rPr>
              <w:t xml:space="preserve"> β</w:t>
            </w:r>
          </w:p>
        </w:tc>
      </w:tr>
      <w:tr w:rsidR="00A80168" w:rsidTr="00A80168">
        <w:trPr>
          <w:trHeight w:val="330"/>
        </w:trPr>
        <w:tc>
          <w:tcPr>
            <w:cnfStyle w:val="001000000000"/>
            <w:tcW w:w="177"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442"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Area-2</w:t>
            </w:r>
          </w:p>
        </w:tc>
        <w:tc>
          <w:tcPr>
            <w:tcW w:w="531"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11.28±0.061</w:t>
            </w:r>
            <w:r>
              <w:rPr>
                <w:rFonts w:ascii="Times New Roman" w:eastAsia="Calibri" w:hAnsi="Times New Roman" w:cs="Times New Roman"/>
                <w:b/>
                <w:sz w:val="20"/>
                <w:szCs w:val="20"/>
                <w:vertAlign w:val="superscript"/>
              </w:rPr>
              <w:t>β</w:t>
            </w:r>
          </w:p>
        </w:tc>
        <w:tc>
          <w:tcPr>
            <w:tcW w:w="620"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07.36±0.020</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125.52±0.005</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312.52±0.005</w:t>
            </w:r>
            <w:r>
              <w:rPr>
                <w:rFonts w:ascii="Times New Roman" w:eastAsia="Calibri" w:hAnsi="Times New Roman" w:cs="Times New Roman"/>
                <w:b/>
                <w:sz w:val="20"/>
                <w:szCs w:val="20"/>
                <w:vertAlign w:val="superscript"/>
              </w:rPr>
              <w:t xml:space="preserve"> β</w:t>
            </w:r>
          </w:p>
        </w:tc>
        <w:tc>
          <w:tcPr>
            <w:tcW w:w="486"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0.931±0.000</w:t>
            </w:r>
            <w:r>
              <w:rPr>
                <w:rFonts w:ascii="Times New Roman" w:eastAsia="Calibri" w:hAnsi="Times New Roman" w:cs="Times New Roman"/>
                <w:b/>
                <w:sz w:val="20"/>
                <w:szCs w:val="20"/>
                <w:vertAlign w:val="superscript"/>
              </w:rPr>
              <w:t xml:space="preserve"> β</w:t>
            </w:r>
          </w:p>
        </w:tc>
        <w:tc>
          <w:tcPr>
            <w:tcW w:w="752"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0.0405±0.002</w:t>
            </w:r>
            <w:r>
              <w:rPr>
                <w:rFonts w:ascii="Times New Roman" w:eastAsia="Calibri" w:hAnsi="Times New Roman" w:cs="Times New Roman"/>
                <w:b/>
                <w:sz w:val="20"/>
                <w:szCs w:val="20"/>
                <w:vertAlign w:val="superscript"/>
              </w:rPr>
              <w:t xml:space="preserve"> β</w:t>
            </w:r>
          </w:p>
        </w:tc>
        <w:tc>
          <w:tcPr>
            <w:tcW w:w="575"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0.229±0.000</w:t>
            </w:r>
            <w:r>
              <w:rPr>
                <w:rFonts w:ascii="Times New Roman" w:eastAsia="Calibri" w:hAnsi="Times New Roman" w:cs="Times New Roman"/>
                <w:b/>
                <w:sz w:val="20"/>
                <w:szCs w:val="20"/>
                <w:vertAlign w:val="superscript"/>
              </w:rPr>
              <w:t xml:space="preserve"> β</w:t>
            </w:r>
          </w:p>
        </w:tc>
      </w:tr>
      <w:tr w:rsidR="00A80168" w:rsidTr="00A80168">
        <w:trPr>
          <w:cnfStyle w:val="000000100000"/>
          <w:trHeight w:val="330"/>
        </w:trPr>
        <w:tc>
          <w:tcPr>
            <w:cnfStyle w:val="001000000000"/>
            <w:tcW w:w="177"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442"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Area-3</w:t>
            </w:r>
          </w:p>
        </w:tc>
        <w:tc>
          <w:tcPr>
            <w:tcW w:w="531"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10.72±0.032</w:t>
            </w:r>
            <w:r>
              <w:rPr>
                <w:rFonts w:ascii="Times New Roman" w:eastAsia="Calibri" w:hAnsi="Times New Roman" w:cs="Times New Roman"/>
                <w:b/>
                <w:sz w:val="20"/>
                <w:szCs w:val="20"/>
                <w:vertAlign w:val="superscript"/>
              </w:rPr>
              <w:t xml:space="preserve"> β</w:t>
            </w:r>
          </w:p>
        </w:tc>
        <w:tc>
          <w:tcPr>
            <w:tcW w:w="620"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06.05±0.052</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124.46±0.000</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286.69±0.062</w:t>
            </w:r>
            <w:r>
              <w:rPr>
                <w:rFonts w:ascii="Times New Roman" w:eastAsia="Calibri" w:hAnsi="Times New Roman" w:cs="Times New Roman"/>
                <w:b/>
                <w:sz w:val="20"/>
                <w:szCs w:val="20"/>
                <w:vertAlign w:val="superscript"/>
              </w:rPr>
              <w:t xml:space="preserve"> β</w:t>
            </w:r>
          </w:p>
        </w:tc>
        <w:tc>
          <w:tcPr>
            <w:tcW w:w="486"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0.927±0.001</w:t>
            </w:r>
            <w:r>
              <w:rPr>
                <w:rFonts w:ascii="Times New Roman" w:eastAsia="Calibri" w:hAnsi="Times New Roman" w:cs="Times New Roman"/>
                <w:b/>
                <w:sz w:val="20"/>
                <w:szCs w:val="20"/>
                <w:vertAlign w:val="superscript"/>
              </w:rPr>
              <w:t xml:space="preserve"> β</w:t>
            </w:r>
          </w:p>
        </w:tc>
        <w:tc>
          <w:tcPr>
            <w:tcW w:w="752"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0.0105±0.000</w:t>
            </w:r>
            <w:r>
              <w:rPr>
                <w:rFonts w:ascii="Times New Roman" w:eastAsia="Calibri" w:hAnsi="Times New Roman" w:cs="Times New Roman"/>
                <w:b/>
                <w:sz w:val="20"/>
                <w:szCs w:val="20"/>
                <w:vertAlign w:val="superscript"/>
              </w:rPr>
              <w:t xml:space="preserve"> β</w:t>
            </w:r>
          </w:p>
        </w:tc>
        <w:tc>
          <w:tcPr>
            <w:tcW w:w="575"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0.479±0.005</w:t>
            </w:r>
            <w:r>
              <w:rPr>
                <w:rFonts w:ascii="Times New Roman" w:eastAsia="Calibri" w:hAnsi="Times New Roman" w:cs="Times New Roman"/>
                <w:b/>
                <w:sz w:val="20"/>
                <w:szCs w:val="20"/>
                <w:vertAlign w:val="superscript"/>
              </w:rPr>
              <w:t xml:space="preserve"> β</w:t>
            </w:r>
          </w:p>
        </w:tc>
      </w:tr>
      <w:tr w:rsidR="00A80168" w:rsidTr="00A80168">
        <w:trPr>
          <w:trHeight w:val="330"/>
        </w:trPr>
        <w:tc>
          <w:tcPr>
            <w:cnfStyle w:val="001000000000"/>
            <w:tcW w:w="177"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442"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Area-4</w:t>
            </w:r>
          </w:p>
        </w:tc>
        <w:tc>
          <w:tcPr>
            <w:tcW w:w="531"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11.56±0.025</w:t>
            </w:r>
            <w:r>
              <w:rPr>
                <w:rFonts w:ascii="Times New Roman" w:eastAsia="Calibri" w:hAnsi="Times New Roman" w:cs="Times New Roman"/>
                <w:b/>
                <w:sz w:val="20"/>
                <w:szCs w:val="20"/>
                <w:vertAlign w:val="superscript"/>
              </w:rPr>
              <w:t xml:space="preserve"> β</w:t>
            </w:r>
          </w:p>
        </w:tc>
        <w:tc>
          <w:tcPr>
            <w:tcW w:w="620"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06.90±0.000</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069.35±0.013</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318.27±0.080</w:t>
            </w:r>
            <w:r>
              <w:rPr>
                <w:rFonts w:ascii="Times New Roman" w:eastAsia="Calibri" w:hAnsi="Times New Roman" w:cs="Times New Roman"/>
                <w:b/>
                <w:sz w:val="20"/>
                <w:szCs w:val="20"/>
                <w:vertAlign w:val="superscript"/>
              </w:rPr>
              <w:t xml:space="preserve"> β</w:t>
            </w:r>
          </w:p>
        </w:tc>
        <w:tc>
          <w:tcPr>
            <w:tcW w:w="486"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0.925±0.021</w:t>
            </w:r>
            <w:r>
              <w:rPr>
                <w:rFonts w:ascii="Times New Roman" w:eastAsia="Calibri" w:hAnsi="Times New Roman" w:cs="Times New Roman"/>
                <w:b/>
                <w:sz w:val="20"/>
                <w:szCs w:val="20"/>
                <w:vertAlign w:val="superscript"/>
              </w:rPr>
              <w:t xml:space="preserve"> β</w:t>
            </w:r>
          </w:p>
        </w:tc>
        <w:tc>
          <w:tcPr>
            <w:tcW w:w="752"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0.0540±0.015</w:t>
            </w:r>
            <w:r>
              <w:rPr>
                <w:rFonts w:ascii="Times New Roman" w:eastAsia="Calibri" w:hAnsi="Times New Roman" w:cs="Times New Roman"/>
                <w:b/>
                <w:sz w:val="20"/>
                <w:szCs w:val="20"/>
                <w:vertAlign w:val="superscript"/>
              </w:rPr>
              <w:t xml:space="preserve"> β</w:t>
            </w:r>
          </w:p>
        </w:tc>
        <w:tc>
          <w:tcPr>
            <w:tcW w:w="575"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0.351±0.000</w:t>
            </w:r>
            <w:r>
              <w:rPr>
                <w:rFonts w:ascii="Times New Roman" w:eastAsia="Calibri" w:hAnsi="Times New Roman" w:cs="Times New Roman"/>
                <w:b/>
                <w:sz w:val="20"/>
                <w:szCs w:val="20"/>
                <w:vertAlign w:val="superscript"/>
              </w:rPr>
              <w:t xml:space="preserve"> β</w:t>
            </w:r>
          </w:p>
        </w:tc>
      </w:tr>
      <w:tr w:rsidR="00A80168" w:rsidTr="00A80168">
        <w:trPr>
          <w:cnfStyle w:val="000000100000"/>
          <w:trHeight w:val="346"/>
        </w:trPr>
        <w:tc>
          <w:tcPr>
            <w:cnfStyle w:val="001000000000"/>
            <w:tcW w:w="177"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442"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Area-5</w:t>
            </w:r>
          </w:p>
        </w:tc>
        <w:tc>
          <w:tcPr>
            <w:tcW w:w="531"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05.08±0.010</w:t>
            </w:r>
            <w:r>
              <w:rPr>
                <w:rFonts w:ascii="Times New Roman" w:eastAsia="Calibri" w:hAnsi="Times New Roman" w:cs="Times New Roman"/>
                <w:b/>
                <w:sz w:val="20"/>
                <w:szCs w:val="20"/>
                <w:vertAlign w:val="superscript"/>
              </w:rPr>
              <w:t xml:space="preserve"> β</w:t>
            </w:r>
          </w:p>
        </w:tc>
        <w:tc>
          <w:tcPr>
            <w:tcW w:w="620"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14.00±0.050</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045.18±0.019</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254.35±0.001</w:t>
            </w:r>
          </w:p>
        </w:tc>
        <w:tc>
          <w:tcPr>
            <w:tcW w:w="486"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0.919±0.015</w:t>
            </w:r>
          </w:p>
        </w:tc>
        <w:tc>
          <w:tcPr>
            <w:tcW w:w="752"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0.0575±0.008</w:t>
            </w:r>
            <w:r>
              <w:rPr>
                <w:rFonts w:ascii="Times New Roman" w:eastAsia="Calibri" w:hAnsi="Times New Roman" w:cs="Times New Roman"/>
                <w:b/>
                <w:sz w:val="20"/>
                <w:szCs w:val="20"/>
                <w:vertAlign w:val="superscript"/>
              </w:rPr>
              <w:t xml:space="preserve"> β</w:t>
            </w:r>
          </w:p>
        </w:tc>
        <w:tc>
          <w:tcPr>
            <w:tcW w:w="575"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0.118±0.011</w:t>
            </w:r>
            <w:r>
              <w:rPr>
                <w:rFonts w:ascii="Times New Roman" w:eastAsia="Calibri" w:hAnsi="Times New Roman" w:cs="Times New Roman"/>
                <w:b/>
                <w:sz w:val="20"/>
                <w:szCs w:val="20"/>
                <w:vertAlign w:val="superscript"/>
              </w:rPr>
              <w:t xml:space="preserve"> β</w:t>
            </w:r>
          </w:p>
        </w:tc>
      </w:tr>
      <w:tr w:rsidR="00A80168" w:rsidTr="00A80168">
        <w:trPr>
          <w:trHeight w:val="330"/>
        </w:trPr>
        <w:tc>
          <w:tcPr>
            <w:cnfStyle w:val="001000000000"/>
            <w:tcW w:w="177"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442"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Area-6</w:t>
            </w:r>
          </w:p>
        </w:tc>
        <w:tc>
          <w:tcPr>
            <w:tcW w:w="531"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06.20±0.019</w:t>
            </w:r>
            <w:r>
              <w:rPr>
                <w:rFonts w:ascii="Times New Roman" w:eastAsia="Calibri" w:hAnsi="Times New Roman" w:cs="Times New Roman"/>
                <w:b/>
                <w:sz w:val="20"/>
                <w:szCs w:val="20"/>
                <w:vertAlign w:val="superscript"/>
              </w:rPr>
              <w:t xml:space="preserve"> β</w:t>
            </w:r>
          </w:p>
        </w:tc>
        <w:tc>
          <w:tcPr>
            <w:tcW w:w="620"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14.00±0.009</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070.66±0.002</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286.63±0.005</w:t>
            </w:r>
            <w:r>
              <w:rPr>
                <w:rFonts w:ascii="Times New Roman" w:eastAsia="Calibri" w:hAnsi="Times New Roman" w:cs="Times New Roman"/>
                <w:b/>
                <w:sz w:val="20"/>
                <w:szCs w:val="20"/>
                <w:vertAlign w:val="superscript"/>
              </w:rPr>
              <w:t xml:space="preserve"> β</w:t>
            </w:r>
          </w:p>
        </w:tc>
        <w:tc>
          <w:tcPr>
            <w:tcW w:w="486"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0.929±0.004</w:t>
            </w:r>
            <w:r>
              <w:rPr>
                <w:rFonts w:ascii="Times New Roman" w:eastAsia="Calibri" w:hAnsi="Times New Roman" w:cs="Times New Roman"/>
                <w:b/>
                <w:sz w:val="20"/>
                <w:szCs w:val="20"/>
                <w:vertAlign w:val="superscript"/>
              </w:rPr>
              <w:t xml:space="preserve"> β</w:t>
            </w:r>
          </w:p>
        </w:tc>
        <w:tc>
          <w:tcPr>
            <w:tcW w:w="752"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0.1660±0.000</w:t>
            </w:r>
            <w:r>
              <w:rPr>
                <w:rFonts w:ascii="Times New Roman" w:eastAsia="Calibri" w:hAnsi="Times New Roman" w:cs="Times New Roman"/>
                <w:b/>
                <w:sz w:val="20"/>
                <w:szCs w:val="20"/>
                <w:vertAlign w:val="superscript"/>
              </w:rPr>
              <w:t xml:space="preserve"> β</w:t>
            </w:r>
          </w:p>
        </w:tc>
        <w:tc>
          <w:tcPr>
            <w:tcW w:w="575"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0.178±0.001</w:t>
            </w:r>
            <w:r>
              <w:rPr>
                <w:rFonts w:ascii="Times New Roman" w:eastAsia="Calibri" w:hAnsi="Times New Roman" w:cs="Times New Roman"/>
                <w:b/>
                <w:sz w:val="20"/>
                <w:szCs w:val="20"/>
                <w:vertAlign w:val="superscript"/>
              </w:rPr>
              <w:t xml:space="preserve"> β</w:t>
            </w:r>
          </w:p>
        </w:tc>
      </w:tr>
      <w:tr w:rsidR="00A80168" w:rsidTr="00A80168">
        <w:trPr>
          <w:cnfStyle w:val="000000100000"/>
          <w:trHeight w:val="330"/>
        </w:trPr>
        <w:tc>
          <w:tcPr>
            <w:cnfStyle w:val="001000000000"/>
            <w:tcW w:w="177"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7.</w:t>
            </w:r>
          </w:p>
        </w:tc>
        <w:tc>
          <w:tcPr>
            <w:tcW w:w="442"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Area-7</w:t>
            </w:r>
          </w:p>
        </w:tc>
        <w:tc>
          <w:tcPr>
            <w:tcW w:w="531"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11.84±0.041</w:t>
            </w:r>
            <w:r>
              <w:rPr>
                <w:rFonts w:ascii="Times New Roman" w:eastAsia="Calibri" w:hAnsi="Times New Roman" w:cs="Times New Roman"/>
                <w:b/>
                <w:sz w:val="20"/>
                <w:szCs w:val="20"/>
                <w:vertAlign w:val="superscript"/>
              </w:rPr>
              <w:t xml:space="preserve"> β</w:t>
            </w:r>
          </w:p>
        </w:tc>
        <w:tc>
          <w:tcPr>
            <w:tcW w:w="620"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09.00±0.010</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100.28±0.006</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307.41±0.011</w:t>
            </w:r>
            <w:r>
              <w:rPr>
                <w:rFonts w:ascii="Times New Roman" w:eastAsia="Calibri" w:hAnsi="Times New Roman" w:cs="Times New Roman"/>
                <w:b/>
                <w:sz w:val="20"/>
                <w:szCs w:val="20"/>
                <w:vertAlign w:val="superscript"/>
              </w:rPr>
              <w:t xml:space="preserve"> β</w:t>
            </w:r>
          </w:p>
        </w:tc>
        <w:tc>
          <w:tcPr>
            <w:tcW w:w="486"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0.925±0.035</w:t>
            </w:r>
            <w:r>
              <w:rPr>
                <w:rFonts w:ascii="Times New Roman" w:eastAsia="Calibri" w:hAnsi="Times New Roman" w:cs="Times New Roman"/>
                <w:b/>
                <w:sz w:val="20"/>
                <w:szCs w:val="20"/>
                <w:vertAlign w:val="superscript"/>
              </w:rPr>
              <w:t xml:space="preserve"> β</w:t>
            </w:r>
          </w:p>
        </w:tc>
        <w:tc>
          <w:tcPr>
            <w:tcW w:w="752"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0.0149±0.021</w:t>
            </w:r>
            <w:r>
              <w:rPr>
                <w:rFonts w:ascii="Times New Roman" w:eastAsia="Calibri" w:hAnsi="Times New Roman" w:cs="Times New Roman"/>
                <w:b/>
                <w:sz w:val="20"/>
                <w:szCs w:val="20"/>
                <w:vertAlign w:val="superscript"/>
              </w:rPr>
              <w:t xml:space="preserve"> β</w:t>
            </w:r>
          </w:p>
        </w:tc>
        <w:tc>
          <w:tcPr>
            <w:tcW w:w="575"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0.334±0.000</w:t>
            </w:r>
            <w:r>
              <w:rPr>
                <w:rFonts w:ascii="Times New Roman" w:eastAsia="Calibri" w:hAnsi="Times New Roman" w:cs="Times New Roman"/>
                <w:b/>
                <w:sz w:val="20"/>
                <w:szCs w:val="20"/>
                <w:vertAlign w:val="superscript"/>
              </w:rPr>
              <w:t xml:space="preserve"> β</w:t>
            </w:r>
          </w:p>
        </w:tc>
      </w:tr>
      <w:tr w:rsidR="00A80168" w:rsidTr="00A80168">
        <w:trPr>
          <w:trHeight w:val="330"/>
        </w:trPr>
        <w:tc>
          <w:tcPr>
            <w:cnfStyle w:val="001000000000"/>
            <w:tcW w:w="177"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8.</w:t>
            </w:r>
          </w:p>
        </w:tc>
        <w:tc>
          <w:tcPr>
            <w:tcW w:w="442"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Area-8</w:t>
            </w:r>
          </w:p>
        </w:tc>
        <w:tc>
          <w:tcPr>
            <w:tcW w:w="531"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05.92±0.000</w:t>
            </w:r>
            <w:r>
              <w:rPr>
                <w:rFonts w:ascii="Times New Roman" w:eastAsia="Calibri" w:hAnsi="Times New Roman" w:cs="Times New Roman"/>
                <w:b/>
                <w:sz w:val="20"/>
                <w:szCs w:val="20"/>
                <w:vertAlign w:val="superscript"/>
              </w:rPr>
              <w:t xml:space="preserve"> β</w:t>
            </w:r>
          </w:p>
        </w:tc>
        <w:tc>
          <w:tcPr>
            <w:tcW w:w="620"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09.20±0.000</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103.71±0.043</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278.26±0.060</w:t>
            </w:r>
            <w:r>
              <w:rPr>
                <w:rFonts w:ascii="Times New Roman" w:eastAsia="Calibri" w:hAnsi="Times New Roman" w:cs="Times New Roman"/>
                <w:b/>
                <w:sz w:val="20"/>
                <w:szCs w:val="20"/>
                <w:vertAlign w:val="superscript"/>
              </w:rPr>
              <w:t xml:space="preserve"> β</w:t>
            </w:r>
          </w:p>
        </w:tc>
        <w:tc>
          <w:tcPr>
            <w:tcW w:w="486"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0.935±0.000</w:t>
            </w:r>
            <w:r>
              <w:rPr>
                <w:rFonts w:ascii="Times New Roman" w:eastAsia="Calibri" w:hAnsi="Times New Roman" w:cs="Times New Roman"/>
                <w:b/>
                <w:sz w:val="20"/>
                <w:szCs w:val="20"/>
                <w:vertAlign w:val="superscript"/>
              </w:rPr>
              <w:t xml:space="preserve"> β</w:t>
            </w:r>
          </w:p>
        </w:tc>
        <w:tc>
          <w:tcPr>
            <w:tcW w:w="752"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0.2305±0.004</w:t>
            </w:r>
            <w:r>
              <w:rPr>
                <w:rFonts w:ascii="Times New Roman" w:eastAsia="Calibri" w:hAnsi="Times New Roman" w:cs="Times New Roman"/>
                <w:b/>
                <w:sz w:val="20"/>
                <w:szCs w:val="20"/>
                <w:vertAlign w:val="superscript"/>
              </w:rPr>
              <w:t xml:space="preserve"> β</w:t>
            </w:r>
          </w:p>
        </w:tc>
        <w:tc>
          <w:tcPr>
            <w:tcW w:w="575"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0.207±0.001</w:t>
            </w:r>
            <w:r>
              <w:rPr>
                <w:rFonts w:ascii="Times New Roman" w:eastAsia="Calibri" w:hAnsi="Times New Roman" w:cs="Times New Roman"/>
                <w:b/>
                <w:sz w:val="20"/>
                <w:szCs w:val="20"/>
                <w:vertAlign w:val="superscript"/>
              </w:rPr>
              <w:t xml:space="preserve"> β</w:t>
            </w:r>
          </w:p>
        </w:tc>
      </w:tr>
      <w:tr w:rsidR="00A80168" w:rsidTr="00A80168">
        <w:trPr>
          <w:cnfStyle w:val="000000100000"/>
          <w:trHeight w:val="265"/>
        </w:trPr>
        <w:tc>
          <w:tcPr>
            <w:cnfStyle w:val="001000000000"/>
            <w:tcW w:w="177"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9.</w:t>
            </w:r>
          </w:p>
        </w:tc>
        <w:tc>
          <w:tcPr>
            <w:tcW w:w="442"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Area-9</w:t>
            </w:r>
          </w:p>
        </w:tc>
        <w:tc>
          <w:tcPr>
            <w:tcW w:w="531"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08.74±0.052</w:t>
            </w:r>
            <w:r>
              <w:rPr>
                <w:rFonts w:ascii="Times New Roman" w:eastAsia="Calibri" w:hAnsi="Times New Roman" w:cs="Times New Roman"/>
                <w:b/>
                <w:sz w:val="20"/>
                <w:szCs w:val="20"/>
                <w:vertAlign w:val="superscript"/>
              </w:rPr>
              <w:t xml:space="preserve"> β</w:t>
            </w:r>
          </w:p>
        </w:tc>
        <w:tc>
          <w:tcPr>
            <w:tcW w:w="620"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12.05±0.020</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057.39±0.014</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256.88±0.020</w:t>
            </w:r>
          </w:p>
        </w:tc>
        <w:tc>
          <w:tcPr>
            <w:tcW w:w="486"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0.933±0.010</w:t>
            </w:r>
            <w:r>
              <w:rPr>
                <w:rFonts w:ascii="Times New Roman" w:eastAsia="Calibri" w:hAnsi="Times New Roman" w:cs="Times New Roman"/>
                <w:b/>
                <w:sz w:val="20"/>
                <w:szCs w:val="20"/>
                <w:vertAlign w:val="superscript"/>
              </w:rPr>
              <w:t xml:space="preserve"> β</w:t>
            </w:r>
          </w:p>
        </w:tc>
        <w:tc>
          <w:tcPr>
            <w:tcW w:w="752"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0.0280±0.000</w:t>
            </w:r>
            <w:r>
              <w:rPr>
                <w:rFonts w:ascii="Times New Roman" w:eastAsia="Calibri" w:hAnsi="Times New Roman" w:cs="Times New Roman"/>
                <w:b/>
                <w:sz w:val="20"/>
                <w:szCs w:val="20"/>
                <w:vertAlign w:val="superscript"/>
              </w:rPr>
              <w:t xml:space="preserve"> β</w:t>
            </w:r>
          </w:p>
        </w:tc>
        <w:tc>
          <w:tcPr>
            <w:tcW w:w="575"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0.274±0.032</w:t>
            </w:r>
            <w:r>
              <w:rPr>
                <w:rFonts w:ascii="Times New Roman" w:eastAsia="Calibri" w:hAnsi="Times New Roman" w:cs="Times New Roman"/>
                <w:b/>
                <w:sz w:val="20"/>
                <w:szCs w:val="20"/>
                <w:vertAlign w:val="superscript"/>
              </w:rPr>
              <w:t xml:space="preserve"> β</w:t>
            </w:r>
          </w:p>
        </w:tc>
      </w:tr>
      <w:tr w:rsidR="00A80168" w:rsidTr="00A80168">
        <w:trPr>
          <w:trHeight w:val="330"/>
        </w:trPr>
        <w:tc>
          <w:tcPr>
            <w:cnfStyle w:val="001000000000"/>
            <w:tcW w:w="177"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10.</w:t>
            </w:r>
          </w:p>
        </w:tc>
        <w:tc>
          <w:tcPr>
            <w:tcW w:w="442"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Area-10</w:t>
            </w:r>
          </w:p>
        </w:tc>
        <w:tc>
          <w:tcPr>
            <w:tcW w:w="531"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09.59±0.025</w:t>
            </w:r>
            <w:r>
              <w:rPr>
                <w:rFonts w:ascii="Times New Roman" w:eastAsia="Calibri" w:hAnsi="Times New Roman" w:cs="Times New Roman"/>
                <w:b/>
                <w:sz w:val="20"/>
                <w:szCs w:val="20"/>
                <w:vertAlign w:val="superscript"/>
              </w:rPr>
              <w:t xml:space="preserve"> β</w:t>
            </w:r>
          </w:p>
        </w:tc>
        <w:tc>
          <w:tcPr>
            <w:tcW w:w="620"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07.52±0.004</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123.68±0.000</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285.79±0.062</w:t>
            </w:r>
            <w:r>
              <w:rPr>
                <w:rFonts w:ascii="Times New Roman" w:eastAsia="Calibri" w:hAnsi="Times New Roman" w:cs="Times New Roman"/>
                <w:b/>
                <w:sz w:val="20"/>
                <w:szCs w:val="20"/>
                <w:vertAlign w:val="superscript"/>
              </w:rPr>
              <w:t xml:space="preserve"> β</w:t>
            </w:r>
          </w:p>
        </w:tc>
        <w:tc>
          <w:tcPr>
            <w:tcW w:w="486"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0.914±0.002</w:t>
            </w:r>
          </w:p>
        </w:tc>
        <w:tc>
          <w:tcPr>
            <w:tcW w:w="752"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0.1064±0.006</w:t>
            </w:r>
            <w:r>
              <w:rPr>
                <w:rFonts w:ascii="Times New Roman" w:eastAsia="Calibri" w:hAnsi="Times New Roman" w:cs="Times New Roman"/>
                <w:b/>
                <w:sz w:val="20"/>
                <w:szCs w:val="20"/>
                <w:vertAlign w:val="superscript"/>
              </w:rPr>
              <w:t xml:space="preserve"> β</w:t>
            </w:r>
          </w:p>
        </w:tc>
        <w:tc>
          <w:tcPr>
            <w:tcW w:w="575"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0.185±0.009</w:t>
            </w:r>
            <w:r>
              <w:rPr>
                <w:rFonts w:ascii="Times New Roman" w:eastAsia="Calibri" w:hAnsi="Times New Roman" w:cs="Times New Roman"/>
                <w:b/>
                <w:sz w:val="20"/>
                <w:szCs w:val="20"/>
                <w:vertAlign w:val="superscript"/>
              </w:rPr>
              <w:t xml:space="preserve"> β</w:t>
            </w:r>
          </w:p>
        </w:tc>
      </w:tr>
      <w:tr w:rsidR="00A80168" w:rsidTr="00A80168">
        <w:trPr>
          <w:cnfStyle w:val="000000100000"/>
          <w:trHeight w:val="330"/>
        </w:trPr>
        <w:tc>
          <w:tcPr>
            <w:cnfStyle w:val="001000000000"/>
            <w:tcW w:w="177"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11.</w:t>
            </w:r>
          </w:p>
        </w:tc>
        <w:tc>
          <w:tcPr>
            <w:tcW w:w="442"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Area-11</w:t>
            </w:r>
          </w:p>
        </w:tc>
        <w:tc>
          <w:tcPr>
            <w:tcW w:w="531"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10.43±0.060</w:t>
            </w:r>
            <w:r>
              <w:rPr>
                <w:rFonts w:ascii="Times New Roman" w:eastAsia="Calibri" w:hAnsi="Times New Roman" w:cs="Times New Roman"/>
                <w:b/>
                <w:sz w:val="20"/>
                <w:szCs w:val="20"/>
                <w:vertAlign w:val="superscript"/>
              </w:rPr>
              <w:t xml:space="preserve"> β</w:t>
            </w:r>
          </w:p>
        </w:tc>
        <w:tc>
          <w:tcPr>
            <w:tcW w:w="620"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10.15±0.006</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105.62±0.000</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292.15±0.000</w:t>
            </w:r>
            <w:r>
              <w:rPr>
                <w:rFonts w:ascii="Times New Roman" w:eastAsia="Calibri" w:hAnsi="Times New Roman" w:cs="Times New Roman"/>
                <w:b/>
                <w:sz w:val="20"/>
                <w:szCs w:val="20"/>
                <w:vertAlign w:val="superscript"/>
              </w:rPr>
              <w:t xml:space="preserve"> β</w:t>
            </w:r>
          </w:p>
        </w:tc>
        <w:tc>
          <w:tcPr>
            <w:tcW w:w="486"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0.908±0.000</w:t>
            </w:r>
          </w:p>
        </w:tc>
        <w:tc>
          <w:tcPr>
            <w:tcW w:w="752"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0.0605±0.000</w:t>
            </w:r>
            <w:r>
              <w:rPr>
                <w:rFonts w:ascii="Times New Roman" w:eastAsia="Calibri" w:hAnsi="Times New Roman" w:cs="Times New Roman"/>
                <w:b/>
                <w:sz w:val="20"/>
                <w:szCs w:val="20"/>
                <w:vertAlign w:val="superscript"/>
              </w:rPr>
              <w:t xml:space="preserve"> β</w:t>
            </w:r>
          </w:p>
        </w:tc>
        <w:tc>
          <w:tcPr>
            <w:tcW w:w="575"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0.207±0.010</w:t>
            </w:r>
            <w:r>
              <w:rPr>
                <w:rFonts w:ascii="Times New Roman" w:eastAsia="Calibri" w:hAnsi="Times New Roman" w:cs="Times New Roman"/>
                <w:b/>
                <w:sz w:val="20"/>
                <w:szCs w:val="20"/>
                <w:vertAlign w:val="superscript"/>
              </w:rPr>
              <w:t xml:space="preserve"> β</w:t>
            </w:r>
          </w:p>
        </w:tc>
      </w:tr>
      <w:tr w:rsidR="00A80168" w:rsidTr="00A80168">
        <w:trPr>
          <w:trHeight w:val="330"/>
        </w:trPr>
        <w:tc>
          <w:tcPr>
            <w:cnfStyle w:val="001000000000"/>
            <w:tcW w:w="177"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12.</w:t>
            </w:r>
          </w:p>
        </w:tc>
        <w:tc>
          <w:tcPr>
            <w:tcW w:w="442"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Area-12</w:t>
            </w:r>
          </w:p>
        </w:tc>
        <w:tc>
          <w:tcPr>
            <w:tcW w:w="531"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11.00±0.000</w:t>
            </w:r>
            <w:r>
              <w:rPr>
                <w:rFonts w:ascii="Times New Roman" w:eastAsia="Calibri" w:hAnsi="Times New Roman" w:cs="Times New Roman"/>
                <w:b/>
                <w:sz w:val="20"/>
                <w:szCs w:val="20"/>
                <w:vertAlign w:val="superscript"/>
              </w:rPr>
              <w:t xml:space="preserve"> β</w:t>
            </w:r>
          </w:p>
        </w:tc>
        <w:tc>
          <w:tcPr>
            <w:tcW w:w="620"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06.21±0.025</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120.04±0.015</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285.79±0.004</w:t>
            </w:r>
            <w:r>
              <w:rPr>
                <w:rFonts w:ascii="Times New Roman" w:eastAsia="Calibri" w:hAnsi="Times New Roman" w:cs="Times New Roman"/>
                <w:b/>
                <w:sz w:val="20"/>
                <w:szCs w:val="20"/>
                <w:vertAlign w:val="superscript"/>
              </w:rPr>
              <w:t xml:space="preserve"> β</w:t>
            </w:r>
          </w:p>
        </w:tc>
        <w:tc>
          <w:tcPr>
            <w:tcW w:w="486"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0.921±0.013</w:t>
            </w:r>
            <w:r>
              <w:rPr>
                <w:rFonts w:ascii="Times New Roman" w:eastAsia="Calibri" w:hAnsi="Times New Roman" w:cs="Times New Roman"/>
                <w:b/>
                <w:sz w:val="20"/>
                <w:szCs w:val="20"/>
                <w:vertAlign w:val="superscript"/>
              </w:rPr>
              <w:t xml:space="preserve"> β</w:t>
            </w:r>
          </w:p>
        </w:tc>
        <w:tc>
          <w:tcPr>
            <w:tcW w:w="752"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0.1054±0.003</w:t>
            </w:r>
            <w:r>
              <w:rPr>
                <w:rFonts w:ascii="Times New Roman" w:eastAsia="Calibri" w:hAnsi="Times New Roman" w:cs="Times New Roman"/>
                <w:b/>
                <w:sz w:val="20"/>
                <w:szCs w:val="20"/>
                <w:vertAlign w:val="superscript"/>
              </w:rPr>
              <w:t xml:space="preserve"> β</w:t>
            </w:r>
          </w:p>
        </w:tc>
        <w:tc>
          <w:tcPr>
            <w:tcW w:w="575"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0.385±0.000</w:t>
            </w:r>
            <w:r>
              <w:rPr>
                <w:rFonts w:ascii="Times New Roman" w:eastAsia="Calibri" w:hAnsi="Times New Roman" w:cs="Times New Roman"/>
                <w:b/>
                <w:sz w:val="20"/>
                <w:szCs w:val="20"/>
                <w:vertAlign w:val="superscript"/>
              </w:rPr>
              <w:t xml:space="preserve"> β</w:t>
            </w:r>
          </w:p>
        </w:tc>
      </w:tr>
      <w:tr w:rsidR="00A80168" w:rsidTr="00A80168">
        <w:trPr>
          <w:cnfStyle w:val="000000100000"/>
          <w:trHeight w:val="346"/>
        </w:trPr>
        <w:tc>
          <w:tcPr>
            <w:cnfStyle w:val="001000000000"/>
            <w:tcW w:w="177"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13.</w:t>
            </w:r>
          </w:p>
        </w:tc>
        <w:tc>
          <w:tcPr>
            <w:tcW w:w="442"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Area-13</w:t>
            </w:r>
          </w:p>
        </w:tc>
        <w:tc>
          <w:tcPr>
            <w:tcW w:w="531"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09.02±0.015</w:t>
            </w:r>
            <w:r>
              <w:rPr>
                <w:rFonts w:ascii="Times New Roman" w:eastAsia="Calibri" w:hAnsi="Times New Roman" w:cs="Times New Roman"/>
                <w:b/>
                <w:sz w:val="20"/>
                <w:szCs w:val="20"/>
                <w:vertAlign w:val="superscript"/>
              </w:rPr>
              <w:t xml:space="preserve"> β</w:t>
            </w:r>
          </w:p>
        </w:tc>
        <w:tc>
          <w:tcPr>
            <w:tcW w:w="620"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09.00±0.003</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104.14±0.008</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310.12±0.031</w:t>
            </w:r>
            <w:r>
              <w:rPr>
                <w:rFonts w:ascii="Times New Roman" w:eastAsia="Calibri" w:hAnsi="Times New Roman" w:cs="Times New Roman"/>
                <w:b/>
                <w:sz w:val="20"/>
                <w:szCs w:val="20"/>
                <w:vertAlign w:val="superscript"/>
              </w:rPr>
              <w:t xml:space="preserve"> β</w:t>
            </w:r>
          </w:p>
        </w:tc>
        <w:tc>
          <w:tcPr>
            <w:tcW w:w="486"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0.924±0.026</w:t>
            </w:r>
            <w:r>
              <w:rPr>
                <w:rFonts w:ascii="Times New Roman" w:eastAsia="Calibri" w:hAnsi="Times New Roman" w:cs="Times New Roman"/>
                <w:b/>
                <w:sz w:val="20"/>
                <w:szCs w:val="20"/>
                <w:vertAlign w:val="superscript"/>
              </w:rPr>
              <w:t xml:space="preserve"> β</w:t>
            </w:r>
          </w:p>
        </w:tc>
        <w:tc>
          <w:tcPr>
            <w:tcW w:w="752"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0.1555±0.012</w:t>
            </w:r>
            <w:r>
              <w:rPr>
                <w:rFonts w:ascii="Times New Roman" w:eastAsia="Calibri" w:hAnsi="Times New Roman" w:cs="Times New Roman"/>
                <w:b/>
                <w:sz w:val="20"/>
                <w:szCs w:val="20"/>
                <w:vertAlign w:val="superscript"/>
              </w:rPr>
              <w:t xml:space="preserve"> β</w:t>
            </w:r>
          </w:p>
        </w:tc>
        <w:tc>
          <w:tcPr>
            <w:tcW w:w="575"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0.219±0.008</w:t>
            </w:r>
            <w:r>
              <w:rPr>
                <w:rFonts w:ascii="Times New Roman" w:eastAsia="Calibri" w:hAnsi="Times New Roman" w:cs="Times New Roman"/>
                <w:b/>
                <w:sz w:val="20"/>
                <w:szCs w:val="20"/>
                <w:vertAlign w:val="superscript"/>
              </w:rPr>
              <w:t xml:space="preserve"> β</w:t>
            </w:r>
          </w:p>
        </w:tc>
      </w:tr>
      <w:tr w:rsidR="00A80168" w:rsidTr="00A80168">
        <w:trPr>
          <w:trHeight w:val="330"/>
        </w:trPr>
        <w:tc>
          <w:tcPr>
            <w:cnfStyle w:val="001000000000"/>
            <w:tcW w:w="177"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14.</w:t>
            </w:r>
          </w:p>
        </w:tc>
        <w:tc>
          <w:tcPr>
            <w:tcW w:w="442"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Area-14</w:t>
            </w:r>
          </w:p>
        </w:tc>
        <w:tc>
          <w:tcPr>
            <w:tcW w:w="531"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04.51±0.006</w:t>
            </w:r>
            <w:r>
              <w:rPr>
                <w:rFonts w:ascii="Times New Roman" w:eastAsia="Calibri" w:hAnsi="Times New Roman" w:cs="Times New Roman"/>
                <w:b/>
                <w:sz w:val="20"/>
                <w:szCs w:val="20"/>
                <w:vertAlign w:val="superscript"/>
              </w:rPr>
              <w:t xml:space="preserve"> β</w:t>
            </w:r>
          </w:p>
        </w:tc>
        <w:tc>
          <w:tcPr>
            <w:tcW w:w="620"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14.20±0.019</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059.64±0.021</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312.91±0.002</w:t>
            </w:r>
            <w:r>
              <w:rPr>
                <w:rFonts w:ascii="Times New Roman" w:eastAsia="Calibri" w:hAnsi="Times New Roman" w:cs="Times New Roman"/>
                <w:b/>
                <w:sz w:val="20"/>
                <w:szCs w:val="20"/>
                <w:vertAlign w:val="superscript"/>
              </w:rPr>
              <w:t xml:space="preserve"> β</w:t>
            </w:r>
          </w:p>
        </w:tc>
        <w:tc>
          <w:tcPr>
            <w:tcW w:w="486"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0.922±0.011</w:t>
            </w:r>
            <w:r>
              <w:rPr>
                <w:rFonts w:ascii="Times New Roman" w:eastAsia="Calibri" w:hAnsi="Times New Roman" w:cs="Times New Roman"/>
                <w:b/>
                <w:sz w:val="20"/>
                <w:szCs w:val="20"/>
                <w:vertAlign w:val="superscript"/>
              </w:rPr>
              <w:t xml:space="preserve"> </w:t>
            </w:r>
            <w:r>
              <w:rPr>
                <w:rFonts w:ascii="Times New Roman" w:eastAsia="Calibri" w:hAnsi="Times New Roman" w:cs="Times New Roman"/>
                <w:b/>
                <w:sz w:val="20"/>
                <w:szCs w:val="20"/>
                <w:vertAlign w:val="superscript"/>
              </w:rPr>
              <w:lastRenderedPageBreak/>
              <w:t>β</w:t>
            </w:r>
          </w:p>
        </w:tc>
        <w:tc>
          <w:tcPr>
            <w:tcW w:w="752"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lastRenderedPageBreak/>
              <w:t>0.1500±0.015</w:t>
            </w:r>
            <w:r>
              <w:rPr>
                <w:rFonts w:ascii="Times New Roman" w:eastAsia="Calibri" w:hAnsi="Times New Roman" w:cs="Times New Roman"/>
                <w:b/>
                <w:sz w:val="20"/>
                <w:szCs w:val="20"/>
                <w:vertAlign w:val="superscript"/>
              </w:rPr>
              <w:t xml:space="preserve"> β</w:t>
            </w:r>
          </w:p>
        </w:tc>
        <w:tc>
          <w:tcPr>
            <w:tcW w:w="575"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0.062±0.022</w:t>
            </w:r>
            <w:r>
              <w:rPr>
                <w:rFonts w:ascii="Times New Roman" w:eastAsia="Calibri" w:hAnsi="Times New Roman" w:cs="Times New Roman"/>
                <w:b/>
                <w:sz w:val="20"/>
                <w:szCs w:val="20"/>
                <w:vertAlign w:val="superscript"/>
              </w:rPr>
              <w:t xml:space="preserve"> β</w:t>
            </w:r>
          </w:p>
        </w:tc>
      </w:tr>
      <w:tr w:rsidR="00A80168" w:rsidTr="00A80168">
        <w:trPr>
          <w:cnfStyle w:val="000000100000"/>
          <w:trHeight w:val="330"/>
        </w:trPr>
        <w:tc>
          <w:tcPr>
            <w:cnfStyle w:val="001000000000"/>
            <w:tcW w:w="177"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lastRenderedPageBreak/>
              <w:t>15.</w:t>
            </w:r>
          </w:p>
        </w:tc>
        <w:tc>
          <w:tcPr>
            <w:tcW w:w="442"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Area-15</w:t>
            </w:r>
          </w:p>
        </w:tc>
        <w:tc>
          <w:tcPr>
            <w:tcW w:w="531"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08.74±0.042</w:t>
            </w:r>
            <w:r>
              <w:rPr>
                <w:rFonts w:ascii="Times New Roman" w:eastAsia="Calibri" w:hAnsi="Times New Roman" w:cs="Times New Roman"/>
                <w:b/>
                <w:sz w:val="20"/>
                <w:szCs w:val="20"/>
                <w:vertAlign w:val="superscript"/>
              </w:rPr>
              <w:t xml:space="preserve"> β</w:t>
            </w:r>
          </w:p>
        </w:tc>
        <w:tc>
          <w:tcPr>
            <w:tcW w:w="620"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12.00±0.001</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b/>
                <w:sz w:val="20"/>
                <w:szCs w:val="20"/>
              </w:rPr>
            </w:pPr>
            <w:r>
              <w:rPr>
                <w:rFonts w:ascii="Times New Roman" w:eastAsia="Calibri" w:hAnsi="Times New Roman" w:cs="Times New Roman"/>
                <w:sz w:val="20"/>
                <w:szCs w:val="20"/>
              </w:rPr>
              <w:t>086.35±0.040</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292.53±0.014</w:t>
            </w:r>
            <w:r>
              <w:rPr>
                <w:rFonts w:ascii="Times New Roman" w:eastAsia="Calibri" w:hAnsi="Times New Roman" w:cs="Times New Roman"/>
                <w:b/>
                <w:sz w:val="20"/>
                <w:szCs w:val="20"/>
                <w:vertAlign w:val="superscript"/>
              </w:rPr>
              <w:t xml:space="preserve"> β</w:t>
            </w:r>
          </w:p>
        </w:tc>
        <w:tc>
          <w:tcPr>
            <w:tcW w:w="486"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0.926±0.017</w:t>
            </w:r>
            <w:r>
              <w:rPr>
                <w:rFonts w:ascii="Times New Roman" w:eastAsia="Calibri" w:hAnsi="Times New Roman" w:cs="Times New Roman"/>
                <w:b/>
                <w:sz w:val="20"/>
                <w:szCs w:val="20"/>
                <w:vertAlign w:val="superscript"/>
              </w:rPr>
              <w:t xml:space="preserve"> β</w:t>
            </w:r>
          </w:p>
        </w:tc>
        <w:tc>
          <w:tcPr>
            <w:tcW w:w="752"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0.1078±0.000</w:t>
            </w:r>
            <w:r>
              <w:rPr>
                <w:rFonts w:ascii="Times New Roman" w:eastAsia="Calibri" w:hAnsi="Times New Roman" w:cs="Times New Roman"/>
                <w:b/>
                <w:sz w:val="20"/>
                <w:szCs w:val="20"/>
                <w:vertAlign w:val="superscript"/>
              </w:rPr>
              <w:t xml:space="preserve"> β</w:t>
            </w:r>
          </w:p>
        </w:tc>
        <w:tc>
          <w:tcPr>
            <w:tcW w:w="575"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0.237±0.002</w:t>
            </w:r>
            <w:r>
              <w:rPr>
                <w:rFonts w:ascii="Times New Roman" w:eastAsia="Calibri" w:hAnsi="Times New Roman" w:cs="Times New Roman"/>
                <w:b/>
                <w:sz w:val="20"/>
                <w:szCs w:val="20"/>
                <w:vertAlign w:val="superscript"/>
              </w:rPr>
              <w:t xml:space="preserve"> β</w:t>
            </w:r>
          </w:p>
        </w:tc>
      </w:tr>
      <w:tr w:rsidR="00A80168" w:rsidTr="00A80168">
        <w:trPr>
          <w:trHeight w:val="330"/>
        </w:trPr>
        <w:tc>
          <w:tcPr>
            <w:cnfStyle w:val="001000000000"/>
            <w:tcW w:w="177"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16.</w:t>
            </w:r>
          </w:p>
        </w:tc>
        <w:tc>
          <w:tcPr>
            <w:tcW w:w="442"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Area-16</w:t>
            </w:r>
          </w:p>
        </w:tc>
        <w:tc>
          <w:tcPr>
            <w:tcW w:w="531"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11.84±0.005</w:t>
            </w:r>
            <w:r>
              <w:rPr>
                <w:rFonts w:ascii="Times New Roman" w:eastAsia="Calibri" w:hAnsi="Times New Roman" w:cs="Times New Roman"/>
                <w:b/>
                <w:sz w:val="20"/>
                <w:szCs w:val="20"/>
                <w:vertAlign w:val="superscript"/>
              </w:rPr>
              <w:t xml:space="preserve"> β</w:t>
            </w:r>
          </w:p>
        </w:tc>
        <w:tc>
          <w:tcPr>
            <w:tcW w:w="620"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08.04±0.021</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128.62±0.000</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275.55±0.008</w:t>
            </w:r>
            <w:r>
              <w:rPr>
                <w:rFonts w:ascii="Times New Roman" w:eastAsia="Calibri" w:hAnsi="Times New Roman" w:cs="Times New Roman"/>
                <w:b/>
                <w:sz w:val="20"/>
                <w:szCs w:val="20"/>
                <w:vertAlign w:val="superscript"/>
              </w:rPr>
              <w:t xml:space="preserve"> β</w:t>
            </w:r>
          </w:p>
        </w:tc>
        <w:tc>
          <w:tcPr>
            <w:tcW w:w="486"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0.922±0.000</w:t>
            </w:r>
            <w:r>
              <w:rPr>
                <w:rFonts w:ascii="Times New Roman" w:eastAsia="Calibri" w:hAnsi="Times New Roman" w:cs="Times New Roman"/>
                <w:b/>
                <w:sz w:val="20"/>
                <w:szCs w:val="20"/>
                <w:vertAlign w:val="superscript"/>
              </w:rPr>
              <w:t xml:space="preserve"> β</w:t>
            </w:r>
          </w:p>
        </w:tc>
        <w:tc>
          <w:tcPr>
            <w:tcW w:w="752"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0.0815±0.000</w:t>
            </w:r>
            <w:r>
              <w:rPr>
                <w:rFonts w:ascii="Times New Roman" w:eastAsia="Calibri" w:hAnsi="Times New Roman" w:cs="Times New Roman"/>
                <w:b/>
                <w:sz w:val="20"/>
                <w:szCs w:val="20"/>
                <w:vertAlign w:val="superscript"/>
              </w:rPr>
              <w:t xml:space="preserve"> β</w:t>
            </w:r>
          </w:p>
        </w:tc>
        <w:tc>
          <w:tcPr>
            <w:tcW w:w="575"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0.346±0.006</w:t>
            </w:r>
            <w:r>
              <w:rPr>
                <w:rFonts w:ascii="Times New Roman" w:eastAsia="Calibri" w:hAnsi="Times New Roman" w:cs="Times New Roman"/>
                <w:b/>
                <w:sz w:val="20"/>
                <w:szCs w:val="20"/>
                <w:vertAlign w:val="superscript"/>
              </w:rPr>
              <w:t xml:space="preserve"> β</w:t>
            </w:r>
          </w:p>
        </w:tc>
      </w:tr>
      <w:tr w:rsidR="00A80168" w:rsidTr="00A80168">
        <w:trPr>
          <w:cnfStyle w:val="000000100000"/>
          <w:trHeight w:val="330"/>
        </w:trPr>
        <w:tc>
          <w:tcPr>
            <w:cnfStyle w:val="001000000000"/>
            <w:tcW w:w="177"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17.</w:t>
            </w:r>
          </w:p>
        </w:tc>
        <w:tc>
          <w:tcPr>
            <w:tcW w:w="442"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Area-17</w:t>
            </w:r>
          </w:p>
        </w:tc>
        <w:tc>
          <w:tcPr>
            <w:tcW w:w="531"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10.43±0.050</w:t>
            </w:r>
            <w:r>
              <w:rPr>
                <w:rFonts w:ascii="Times New Roman" w:eastAsia="Calibri" w:hAnsi="Times New Roman" w:cs="Times New Roman"/>
                <w:b/>
                <w:sz w:val="20"/>
                <w:szCs w:val="20"/>
                <w:vertAlign w:val="superscript"/>
              </w:rPr>
              <w:t xml:space="preserve"> β</w:t>
            </w:r>
          </w:p>
        </w:tc>
        <w:tc>
          <w:tcPr>
            <w:tcW w:w="620"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08.00±0.005</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107.41±0.010</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315.15±0.001</w:t>
            </w:r>
            <w:r>
              <w:rPr>
                <w:rFonts w:ascii="Times New Roman" w:eastAsia="Calibri" w:hAnsi="Times New Roman" w:cs="Times New Roman"/>
                <w:b/>
                <w:sz w:val="20"/>
                <w:szCs w:val="20"/>
                <w:vertAlign w:val="superscript"/>
              </w:rPr>
              <w:t xml:space="preserve"> β</w:t>
            </w:r>
          </w:p>
        </w:tc>
        <w:tc>
          <w:tcPr>
            <w:tcW w:w="486"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0.921±0.000</w:t>
            </w:r>
            <w:r>
              <w:rPr>
                <w:rFonts w:ascii="Times New Roman" w:eastAsia="Calibri" w:hAnsi="Times New Roman" w:cs="Times New Roman"/>
                <w:b/>
                <w:sz w:val="20"/>
                <w:szCs w:val="20"/>
                <w:vertAlign w:val="superscript"/>
              </w:rPr>
              <w:t xml:space="preserve"> β</w:t>
            </w:r>
          </w:p>
        </w:tc>
        <w:tc>
          <w:tcPr>
            <w:tcW w:w="752"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0.2155±0.006</w:t>
            </w:r>
            <w:r>
              <w:rPr>
                <w:rFonts w:ascii="Times New Roman" w:eastAsia="Calibri" w:hAnsi="Times New Roman" w:cs="Times New Roman"/>
                <w:b/>
                <w:sz w:val="20"/>
                <w:szCs w:val="20"/>
                <w:vertAlign w:val="superscript"/>
              </w:rPr>
              <w:t xml:space="preserve"> β</w:t>
            </w:r>
          </w:p>
        </w:tc>
        <w:tc>
          <w:tcPr>
            <w:tcW w:w="575"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0.198±0.0012</w:t>
            </w:r>
            <w:r>
              <w:rPr>
                <w:rFonts w:ascii="Times New Roman" w:eastAsia="Calibri" w:hAnsi="Times New Roman" w:cs="Times New Roman"/>
                <w:b/>
                <w:sz w:val="20"/>
                <w:szCs w:val="20"/>
                <w:vertAlign w:val="superscript"/>
              </w:rPr>
              <w:t xml:space="preserve"> β</w:t>
            </w:r>
          </w:p>
        </w:tc>
      </w:tr>
      <w:tr w:rsidR="00A80168" w:rsidTr="00A80168">
        <w:trPr>
          <w:trHeight w:val="330"/>
        </w:trPr>
        <w:tc>
          <w:tcPr>
            <w:cnfStyle w:val="001000000000"/>
            <w:tcW w:w="177"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18.</w:t>
            </w:r>
          </w:p>
        </w:tc>
        <w:tc>
          <w:tcPr>
            <w:tcW w:w="442"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Area-18</w:t>
            </w:r>
          </w:p>
        </w:tc>
        <w:tc>
          <w:tcPr>
            <w:tcW w:w="531"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09.59±0.000</w:t>
            </w:r>
            <w:r>
              <w:rPr>
                <w:rFonts w:ascii="Times New Roman" w:eastAsia="Calibri" w:hAnsi="Times New Roman" w:cs="Times New Roman"/>
                <w:b/>
                <w:sz w:val="20"/>
                <w:szCs w:val="20"/>
                <w:vertAlign w:val="superscript"/>
              </w:rPr>
              <w:t xml:space="preserve"> β</w:t>
            </w:r>
          </w:p>
        </w:tc>
        <w:tc>
          <w:tcPr>
            <w:tcW w:w="620"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12.16±0.008</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094.72±0.000</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274.60±0.000</w:t>
            </w:r>
            <w:r>
              <w:rPr>
                <w:rFonts w:ascii="Times New Roman" w:eastAsia="Calibri" w:hAnsi="Times New Roman" w:cs="Times New Roman"/>
                <w:b/>
                <w:sz w:val="20"/>
                <w:szCs w:val="20"/>
                <w:vertAlign w:val="superscript"/>
              </w:rPr>
              <w:t xml:space="preserve"> β</w:t>
            </w:r>
          </w:p>
        </w:tc>
        <w:tc>
          <w:tcPr>
            <w:tcW w:w="486"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0.928±0.010</w:t>
            </w:r>
            <w:r>
              <w:rPr>
                <w:rFonts w:ascii="Times New Roman" w:eastAsia="Calibri" w:hAnsi="Times New Roman" w:cs="Times New Roman"/>
                <w:b/>
                <w:sz w:val="20"/>
                <w:szCs w:val="20"/>
                <w:vertAlign w:val="superscript"/>
              </w:rPr>
              <w:t xml:space="preserve"> β</w:t>
            </w:r>
          </w:p>
        </w:tc>
        <w:tc>
          <w:tcPr>
            <w:tcW w:w="752"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0.0460±0.000</w:t>
            </w:r>
            <w:r>
              <w:rPr>
                <w:rFonts w:ascii="Times New Roman" w:eastAsia="Calibri" w:hAnsi="Times New Roman" w:cs="Times New Roman"/>
                <w:b/>
                <w:sz w:val="20"/>
                <w:szCs w:val="20"/>
                <w:vertAlign w:val="superscript"/>
              </w:rPr>
              <w:t xml:space="preserve"> β</w:t>
            </w:r>
          </w:p>
        </w:tc>
        <w:tc>
          <w:tcPr>
            <w:tcW w:w="575"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0.278±0.000</w:t>
            </w:r>
            <w:r>
              <w:rPr>
                <w:rFonts w:ascii="Times New Roman" w:eastAsia="Calibri" w:hAnsi="Times New Roman" w:cs="Times New Roman"/>
                <w:b/>
                <w:sz w:val="20"/>
                <w:szCs w:val="20"/>
                <w:vertAlign w:val="superscript"/>
              </w:rPr>
              <w:t xml:space="preserve"> β</w:t>
            </w:r>
          </w:p>
        </w:tc>
      </w:tr>
      <w:tr w:rsidR="00A80168" w:rsidTr="00A80168">
        <w:trPr>
          <w:cnfStyle w:val="000000100000"/>
          <w:trHeight w:val="330"/>
        </w:trPr>
        <w:tc>
          <w:tcPr>
            <w:cnfStyle w:val="001000000000"/>
            <w:tcW w:w="177"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19.</w:t>
            </w:r>
          </w:p>
        </w:tc>
        <w:tc>
          <w:tcPr>
            <w:tcW w:w="442"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Area-19</w:t>
            </w:r>
          </w:p>
        </w:tc>
        <w:tc>
          <w:tcPr>
            <w:tcW w:w="531"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03.95±0.006</w:t>
            </w:r>
          </w:p>
        </w:tc>
        <w:tc>
          <w:tcPr>
            <w:tcW w:w="620"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15.00±0.001</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034.05±0.003</w:t>
            </w:r>
          </w:p>
        </w:tc>
        <w:tc>
          <w:tcPr>
            <w:tcW w:w="708"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255.76±0.060</w:t>
            </w:r>
          </w:p>
        </w:tc>
        <w:tc>
          <w:tcPr>
            <w:tcW w:w="486"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0.921±0.002</w:t>
            </w:r>
            <w:r>
              <w:rPr>
                <w:rFonts w:ascii="Times New Roman" w:eastAsia="Calibri" w:hAnsi="Times New Roman" w:cs="Times New Roman"/>
                <w:b/>
                <w:sz w:val="20"/>
                <w:szCs w:val="20"/>
                <w:vertAlign w:val="superscript"/>
              </w:rPr>
              <w:t xml:space="preserve"> β</w:t>
            </w:r>
          </w:p>
        </w:tc>
        <w:tc>
          <w:tcPr>
            <w:tcW w:w="752"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0.0166±0.025</w:t>
            </w:r>
            <w:r>
              <w:rPr>
                <w:rFonts w:ascii="Times New Roman" w:eastAsia="Calibri" w:hAnsi="Times New Roman" w:cs="Times New Roman"/>
                <w:b/>
                <w:sz w:val="20"/>
                <w:szCs w:val="20"/>
                <w:vertAlign w:val="superscript"/>
              </w:rPr>
              <w:t xml:space="preserve"> β</w:t>
            </w:r>
          </w:p>
        </w:tc>
        <w:tc>
          <w:tcPr>
            <w:tcW w:w="575"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0.016±0.001</w:t>
            </w:r>
            <w:r>
              <w:rPr>
                <w:rFonts w:ascii="Times New Roman" w:eastAsia="Calibri" w:hAnsi="Times New Roman" w:cs="Times New Roman"/>
                <w:b/>
                <w:sz w:val="20"/>
                <w:szCs w:val="20"/>
                <w:vertAlign w:val="superscript"/>
              </w:rPr>
              <w:t xml:space="preserve"> β</w:t>
            </w:r>
          </w:p>
        </w:tc>
      </w:tr>
      <w:tr w:rsidR="00A80168" w:rsidTr="00A80168">
        <w:trPr>
          <w:trHeight w:val="330"/>
        </w:trPr>
        <w:tc>
          <w:tcPr>
            <w:cnfStyle w:val="001000000000"/>
            <w:tcW w:w="177"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20.</w:t>
            </w:r>
          </w:p>
        </w:tc>
        <w:tc>
          <w:tcPr>
            <w:tcW w:w="442"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Area-20</w:t>
            </w:r>
          </w:p>
        </w:tc>
        <w:tc>
          <w:tcPr>
            <w:tcW w:w="531"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03.81±0.000</w:t>
            </w:r>
          </w:p>
        </w:tc>
        <w:tc>
          <w:tcPr>
            <w:tcW w:w="620"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16.84±0.020</w:t>
            </w:r>
          </w:p>
        </w:tc>
        <w:tc>
          <w:tcPr>
            <w:tcW w:w="708"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031.63±0.001</w:t>
            </w:r>
          </w:p>
        </w:tc>
        <w:tc>
          <w:tcPr>
            <w:tcW w:w="708"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272.89±0.005</w:t>
            </w:r>
            <w:r>
              <w:rPr>
                <w:rFonts w:ascii="Times New Roman" w:eastAsia="Calibri" w:hAnsi="Times New Roman" w:cs="Times New Roman"/>
                <w:b/>
                <w:sz w:val="20"/>
                <w:szCs w:val="20"/>
                <w:vertAlign w:val="superscript"/>
              </w:rPr>
              <w:t xml:space="preserve"> β</w:t>
            </w:r>
          </w:p>
        </w:tc>
        <w:tc>
          <w:tcPr>
            <w:tcW w:w="486"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0.925±0.010</w:t>
            </w:r>
            <w:r>
              <w:rPr>
                <w:rFonts w:ascii="Times New Roman" w:eastAsia="Calibri" w:hAnsi="Times New Roman" w:cs="Times New Roman"/>
                <w:b/>
                <w:sz w:val="20"/>
                <w:szCs w:val="20"/>
                <w:vertAlign w:val="superscript"/>
              </w:rPr>
              <w:t xml:space="preserve"> β</w:t>
            </w:r>
          </w:p>
        </w:tc>
        <w:tc>
          <w:tcPr>
            <w:tcW w:w="752"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0.0525±0.001</w:t>
            </w:r>
            <w:r>
              <w:rPr>
                <w:rFonts w:ascii="Times New Roman" w:eastAsia="Calibri" w:hAnsi="Times New Roman" w:cs="Times New Roman"/>
                <w:b/>
                <w:sz w:val="20"/>
                <w:szCs w:val="20"/>
                <w:vertAlign w:val="superscript"/>
              </w:rPr>
              <w:t xml:space="preserve"> β</w:t>
            </w:r>
          </w:p>
        </w:tc>
        <w:tc>
          <w:tcPr>
            <w:tcW w:w="575"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0.013±0.000</w:t>
            </w:r>
            <w:r>
              <w:rPr>
                <w:rFonts w:ascii="Times New Roman" w:eastAsia="Calibri" w:hAnsi="Times New Roman" w:cs="Times New Roman"/>
                <w:b/>
                <w:sz w:val="20"/>
                <w:szCs w:val="20"/>
                <w:vertAlign w:val="superscript"/>
              </w:rPr>
              <w:t xml:space="preserve"> β</w:t>
            </w:r>
          </w:p>
        </w:tc>
      </w:tr>
      <w:tr w:rsidR="00A80168" w:rsidTr="00A80168">
        <w:trPr>
          <w:cnfStyle w:val="000000100000"/>
          <w:trHeight w:val="264"/>
        </w:trPr>
        <w:tc>
          <w:tcPr>
            <w:cnfStyle w:val="001000000000"/>
            <w:tcW w:w="177"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21</w:t>
            </w:r>
          </w:p>
        </w:tc>
        <w:tc>
          <w:tcPr>
            <w:tcW w:w="442"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Refined Oil</w:t>
            </w:r>
          </w:p>
        </w:tc>
        <w:tc>
          <w:tcPr>
            <w:tcW w:w="531"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03.04±0.040</w:t>
            </w:r>
          </w:p>
        </w:tc>
        <w:tc>
          <w:tcPr>
            <w:tcW w:w="620"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19.00±0.015</w:t>
            </w:r>
          </w:p>
        </w:tc>
        <w:tc>
          <w:tcPr>
            <w:tcW w:w="708"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025.55±0.000</w:t>
            </w:r>
          </w:p>
        </w:tc>
        <w:tc>
          <w:tcPr>
            <w:tcW w:w="708"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250.20±0.004</w:t>
            </w:r>
          </w:p>
        </w:tc>
        <w:tc>
          <w:tcPr>
            <w:tcW w:w="486"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0.912±0.010</w:t>
            </w:r>
          </w:p>
        </w:tc>
        <w:tc>
          <w:tcPr>
            <w:tcW w:w="752"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0.000±0.000</w:t>
            </w:r>
          </w:p>
        </w:tc>
        <w:tc>
          <w:tcPr>
            <w:tcW w:w="575" w:type="pct"/>
            <w:tcBorders>
              <w:top w:val="nil"/>
              <w:left w:val="nil"/>
              <w:bottom w:val="nil"/>
              <w:right w:val="nil"/>
            </w:tcBorders>
            <w:shd w:val="clear" w:color="auto" w:fill="FFFFFF" w:themeFill="background1"/>
            <w:hideMark/>
          </w:tcPr>
          <w:p w:rsidR="00A80168" w:rsidRDefault="00A80168" w:rsidP="007840EF">
            <w:pPr>
              <w:spacing w:line="360" w:lineRule="auto"/>
              <w:contextualSpacing/>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0.004±0.000</w:t>
            </w:r>
          </w:p>
        </w:tc>
      </w:tr>
      <w:tr w:rsidR="00A80168" w:rsidTr="00A80168">
        <w:trPr>
          <w:trHeight w:val="89"/>
        </w:trPr>
        <w:tc>
          <w:tcPr>
            <w:cnfStyle w:val="001000000000"/>
            <w:tcW w:w="177" w:type="pct"/>
            <w:tcBorders>
              <w:top w:val="nil"/>
              <w:left w:val="nil"/>
              <w:bottom w:val="single" w:sz="4" w:space="0" w:color="000000" w:themeColor="text1"/>
              <w:right w:val="nil"/>
            </w:tcBorders>
            <w:shd w:val="clear" w:color="auto" w:fill="FFFFFF" w:themeFill="background1"/>
            <w:hideMark/>
          </w:tcPr>
          <w:p w:rsidR="00A80168" w:rsidRDefault="00A80168" w:rsidP="007840EF">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22.</w:t>
            </w:r>
          </w:p>
        </w:tc>
        <w:tc>
          <w:tcPr>
            <w:tcW w:w="442" w:type="pct"/>
            <w:tcBorders>
              <w:top w:val="nil"/>
              <w:left w:val="nil"/>
              <w:bottom w:val="single" w:sz="4" w:space="0" w:color="000000" w:themeColor="text1"/>
              <w:right w:val="nil"/>
            </w:tcBorders>
            <w:shd w:val="clear" w:color="auto" w:fill="FFFFFF" w:themeFill="background1"/>
            <w:hideMark/>
          </w:tcPr>
          <w:p w:rsidR="00A80168" w:rsidRDefault="00A80168" w:rsidP="007840EF">
            <w:pPr>
              <w:spacing w:line="24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-ve.. Control</w:t>
            </w:r>
          </w:p>
        </w:tc>
        <w:tc>
          <w:tcPr>
            <w:tcW w:w="531" w:type="pct"/>
            <w:tcBorders>
              <w:top w:val="nil"/>
              <w:left w:val="nil"/>
              <w:bottom w:val="single" w:sz="4" w:space="0" w:color="000000" w:themeColor="text1"/>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620" w:type="pct"/>
            <w:tcBorders>
              <w:top w:val="nil"/>
              <w:left w:val="nil"/>
              <w:bottom w:val="single" w:sz="4" w:space="0" w:color="000000" w:themeColor="text1"/>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708" w:type="pct"/>
            <w:tcBorders>
              <w:top w:val="nil"/>
              <w:left w:val="nil"/>
              <w:bottom w:val="single" w:sz="4" w:space="0" w:color="000000" w:themeColor="text1"/>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708" w:type="pct"/>
            <w:tcBorders>
              <w:top w:val="nil"/>
              <w:left w:val="nil"/>
              <w:bottom w:val="single" w:sz="4" w:space="0" w:color="000000" w:themeColor="text1"/>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486" w:type="pct"/>
            <w:tcBorders>
              <w:top w:val="nil"/>
              <w:left w:val="nil"/>
              <w:bottom w:val="single" w:sz="4" w:space="0" w:color="000000" w:themeColor="text1"/>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752" w:type="pct"/>
            <w:tcBorders>
              <w:top w:val="nil"/>
              <w:left w:val="nil"/>
              <w:bottom w:val="single" w:sz="4" w:space="0" w:color="000000" w:themeColor="text1"/>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highlight w:val="green"/>
              </w:rPr>
            </w:pPr>
            <w:r>
              <w:rPr>
                <w:rFonts w:ascii="Times New Roman" w:eastAsia="Calibri" w:hAnsi="Times New Roman" w:cs="Times New Roman"/>
                <w:sz w:val="20"/>
                <w:szCs w:val="20"/>
              </w:rPr>
              <w:t>--</w:t>
            </w:r>
          </w:p>
        </w:tc>
        <w:tc>
          <w:tcPr>
            <w:tcW w:w="575" w:type="pct"/>
            <w:tcBorders>
              <w:top w:val="nil"/>
              <w:left w:val="nil"/>
              <w:bottom w:val="single" w:sz="4" w:space="0" w:color="000000" w:themeColor="text1"/>
              <w:right w:val="nil"/>
            </w:tcBorders>
            <w:shd w:val="clear" w:color="auto" w:fill="FFFFFF" w:themeFill="background1"/>
            <w:hideMark/>
          </w:tcPr>
          <w:p w:rsidR="00A80168" w:rsidRDefault="00A80168" w:rsidP="007840EF">
            <w:pPr>
              <w:spacing w:line="360" w:lineRule="auto"/>
              <w:contextualSpacing/>
              <w:jc w:val="both"/>
              <w:cnfStyle w:val="000000000000"/>
              <w:rPr>
                <w:rFonts w:ascii="Times New Roman" w:eastAsia="Calibri" w:hAnsi="Times New Roman" w:cs="Times New Roman"/>
                <w:sz w:val="20"/>
                <w:szCs w:val="20"/>
                <w:highlight w:val="green"/>
              </w:rPr>
            </w:pPr>
            <w:r>
              <w:rPr>
                <w:rFonts w:ascii="Times New Roman" w:hAnsi="Times New Roman" w:cs="Times New Roman"/>
                <w:color w:val="000000"/>
                <w:sz w:val="20"/>
                <w:szCs w:val="20"/>
              </w:rPr>
              <w:t>0.834±0.058</w:t>
            </w:r>
            <w:r>
              <w:rPr>
                <w:rFonts w:ascii="Times New Roman" w:eastAsia="Calibri" w:hAnsi="Times New Roman" w:cs="Times New Roman"/>
                <w:b/>
                <w:sz w:val="20"/>
                <w:szCs w:val="20"/>
                <w:vertAlign w:val="superscript"/>
              </w:rPr>
              <w:t xml:space="preserve"> β</w:t>
            </w:r>
          </w:p>
        </w:tc>
      </w:tr>
    </w:tbl>
    <w:p w:rsidR="00A80168" w:rsidRDefault="00A80168" w:rsidP="00A80168">
      <w:pPr>
        <w:spacing w:after="0" w:line="240" w:lineRule="auto"/>
        <w:rPr>
          <w:rFonts w:ascii="Times New Roman" w:hAnsi="Times New Roman"/>
          <w:b/>
          <w:sz w:val="16"/>
          <w:szCs w:val="16"/>
        </w:rPr>
      </w:pPr>
      <w:r>
        <w:rPr>
          <w:rFonts w:ascii="Times New Roman" w:hAnsi="Times New Roman"/>
          <w:b/>
          <w:sz w:val="16"/>
          <w:szCs w:val="16"/>
        </w:rPr>
        <w:t>Results are expressed in mean ± SD; n = 4</w:t>
      </w:r>
    </w:p>
    <w:p w:rsidR="00A80168" w:rsidRDefault="00A80168" w:rsidP="00A80168">
      <w:pPr>
        <w:spacing w:after="0" w:line="240" w:lineRule="auto"/>
        <w:rPr>
          <w:rFonts w:ascii="Times New Roman" w:hAnsi="Times New Roman"/>
          <w:b/>
          <w:sz w:val="16"/>
          <w:szCs w:val="16"/>
        </w:rPr>
      </w:pPr>
      <w:r>
        <w:rPr>
          <w:rFonts w:ascii="Times New Roman" w:hAnsi="Times New Roman"/>
          <w:b/>
          <w:sz w:val="16"/>
          <w:szCs w:val="16"/>
        </w:rPr>
        <w:t>The mean values with beta (</w:t>
      </w:r>
      <w:r>
        <w:rPr>
          <w:rFonts w:ascii="Times New Roman" w:hAnsi="Times New Roman"/>
          <w:b/>
          <w:sz w:val="16"/>
          <w:szCs w:val="16"/>
          <w:vertAlign w:val="superscript"/>
        </w:rPr>
        <w:t>β</w:t>
      </w:r>
      <w:r>
        <w:rPr>
          <w:rFonts w:ascii="Times New Roman" w:hAnsi="Times New Roman"/>
          <w:b/>
          <w:sz w:val="16"/>
          <w:szCs w:val="16"/>
        </w:rPr>
        <w:t>) as superscripts across the column compared with (Refined Oil)  are considered significant (P&lt;0.05)</w:t>
      </w:r>
    </w:p>
    <w:p w:rsidR="00A80168" w:rsidRDefault="00A80168" w:rsidP="00A80168">
      <w:pPr>
        <w:spacing w:after="0" w:line="240" w:lineRule="auto"/>
        <w:rPr>
          <w:rFonts w:ascii="Times New Roman" w:hAnsi="Times New Roman"/>
          <w:b/>
          <w:sz w:val="19"/>
          <w:szCs w:val="19"/>
        </w:rPr>
      </w:pPr>
    </w:p>
    <w:p w:rsidR="00A80168" w:rsidRDefault="00A80168" w:rsidP="00A80168">
      <w:pPr>
        <w:tabs>
          <w:tab w:val="left" w:pos="10632"/>
        </w:tabs>
      </w:pPr>
    </w:p>
    <w:p w:rsidR="00A80168" w:rsidRDefault="00A80168">
      <w:pPr>
        <w:spacing w:after="120" w:line="480" w:lineRule="auto"/>
        <w:rPr>
          <w:rFonts w:cs="Times New Roman"/>
          <w:sz w:val="24"/>
          <w:szCs w:val="24"/>
        </w:rPr>
        <w:sectPr w:rsidR="00A80168" w:rsidSect="00A80168">
          <w:pgSz w:w="15840" w:h="12240" w:orient="landscape"/>
          <w:pgMar w:top="1440" w:right="1440" w:bottom="1440" w:left="1440" w:header="720" w:footer="720" w:gutter="0"/>
          <w:cols w:space="720"/>
          <w:docGrid w:linePitch="360"/>
        </w:sectPr>
      </w:pPr>
    </w:p>
    <w:p w:rsidR="003B3559" w:rsidRDefault="003B3559">
      <w:pPr>
        <w:spacing w:after="120" w:line="480" w:lineRule="auto"/>
        <w:rPr>
          <w:rFonts w:cs="Times New Roman"/>
          <w:sz w:val="24"/>
          <w:szCs w:val="24"/>
        </w:rPr>
      </w:pPr>
    </w:p>
    <w:p w:rsidR="00970163" w:rsidRDefault="00970163" w:rsidP="00970163">
      <w:pPr>
        <w:spacing w:after="120" w:line="480" w:lineRule="auto"/>
        <w:rPr>
          <w:rFonts w:cs="Times New Roman"/>
          <w:sz w:val="24"/>
          <w:szCs w:val="24"/>
        </w:rPr>
      </w:pPr>
    </w:p>
    <w:p w:rsidR="00A80168" w:rsidRDefault="00A80168" w:rsidP="00970163">
      <w:pPr>
        <w:spacing w:after="120" w:line="480" w:lineRule="auto"/>
        <w:rPr>
          <w:rFonts w:cs="Times New Roman"/>
          <w:sz w:val="24"/>
          <w:szCs w:val="24"/>
        </w:rPr>
      </w:pPr>
    </w:p>
    <w:p w:rsidR="00A80168" w:rsidRDefault="00A80168" w:rsidP="00970163">
      <w:pPr>
        <w:spacing w:after="120" w:line="480" w:lineRule="auto"/>
        <w:rPr>
          <w:rFonts w:cs="Times New Roman"/>
          <w:sz w:val="24"/>
          <w:szCs w:val="24"/>
        </w:rPr>
      </w:pPr>
    </w:p>
    <w:p w:rsidR="00A80168" w:rsidRDefault="00A80168" w:rsidP="00970163">
      <w:pPr>
        <w:spacing w:after="120" w:line="480" w:lineRule="auto"/>
        <w:rPr>
          <w:rFonts w:cs="Times New Roman"/>
          <w:sz w:val="24"/>
          <w:szCs w:val="24"/>
        </w:rPr>
      </w:pPr>
    </w:p>
    <w:p w:rsidR="00A80168" w:rsidRDefault="00A80168" w:rsidP="00970163">
      <w:pPr>
        <w:spacing w:after="120" w:line="480" w:lineRule="auto"/>
        <w:rPr>
          <w:rFonts w:cs="Times New Roman"/>
          <w:sz w:val="24"/>
          <w:szCs w:val="24"/>
        </w:rPr>
      </w:pPr>
    </w:p>
    <w:p w:rsidR="00A80168" w:rsidRDefault="00A80168" w:rsidP="00970163">
      <w:pPr>
        <w:spacing w:after="120" w:line="480" w:lineRule="auto"/>
        <w:rPr>
          <w:rFonts w:cs="Times New Roman"/>
          <w:sz w:val="24"/>
          <w:szCs w:val="24"/>
        </w:rPr>
      </w:pPr>
    </w:p>
    <w:p w:rsidR="00A80168" w:rsidRDefault="00A80168" w:rsidP="00970163">
      <w:pPr>
        <w:spacing w:after="120" w:line="480" w:lineRule="auto"/>
        <w:rPr>
          <w:rFonts w:cs="Times New Roman"/>
          <w:sz w:val="24"/>
          <w:szCs w:val="24"/>
        </w:rPr>
      </w:pPr>
    </w:p>
    <w:p w:rsidR="00A80168" w:rsidRDefault="00A80168" w:rsidP="00970163">
      <w:pPr>
        <w:spacing w:after="120" w:line="480" w:lineRule="auto"/>
        <w:rPr>
          <w:rFonts w:cs="Times New Roman"/>
          <w:sz w:val="24"/>
          <w:szCs w:val="24"/>
        </w:rPr>
      </w:pPr>
    </w:p>
    <w:p w:rsidR="00A80168" w:rsidRDefault="00A80168" w:rsidP="00970163">
      <w:pPr>
        <w:spacing w:after="120" w:line="480" w:lineRule="auto"/>
        <w:rPr>
          <w:rFonts w:cs="Times New Roman"/>
          <w:sz w:val="24"/>
          <w:szCs w:val="24"/>
        </w:rPr>
      </w:pPr>
    </w:p>
    <w:p w:rsidR="00A80168" w:rsidRDefault="00A80168" w:rsidP="00970163">
      <w:pPr>
        <w:spacing w:after="120" w:line="480" w:lineRule="auto"/>
        <w:rPr>
          <w:rFonts w:cs="Times New Roman"/>
          <w:sz w:val="24"/>
          <w:szCs w:val="24"/>
        </w:rPr>
      </w:pPr>
    </w:p>
    <w:p w:rsidR="00A80168" w:rsidRDefault="00A80168" w:rsidP="00970163">
      <w:pPr>
        <w:spacing w:after="120" w:line="480" w:lineRule="auto"/>
        <w:rPr>
          <w:rFonts w:cs="Times New Roman"/>
          <w:sz w:val="24"/>
          <w:szCs w:val="24"/>
        </w:rPr>
      </w:pPr>
    </w:p>
    <w:p w:rsidR="00A80168" w:rsidRDefault="00A80168" w:rsidP="00970163">
      <w:pPr>
        <w:spacing w:after="120" w:line="480" w:lineRule="auto"/>
        <w:rPr>
          <w:rFonts w:cs="Times New Roman"/>
          <w:sz w:val="24"/>
          <w:szCs w:val="24"/>
        </w:rPr>
      </w:pPr>
    </w:p>
    <w:p w:rsidR="00A80168" w:rsidRDefault="00A80168" w:rsidP="00970163">
      <w:pPr>
        <w:spacing w:after="120" w:line="480" w:lineRule="auto"/>
        <w:rPr>
          <w:rFonts w:cs="Times New Roman"/>
          <w:sz w:val="24"/>
          <w:szCs w:val="24"/>
        </w:rPr>
      </w:pPr>
    </w:p>
    <w:p w:rsidR="00A80168" w:rsidRDefault="00A80168" w:rsidP="00970163">
      <w:pPr>
        <w:spacing w:after="120" w:line="480" w:lineRule="auto"/>
        <w:rPr>
          <w:rFonts w:cs="Times New Roman"/>
          <w:sz w:val="24"/>
          <w:szCs w:val="24"/>
        </w:rPr>
      </w:pPr>
    </w:p>
    <w:p w:rsidR="00A80168" w:rsidRDefault="00A80168" w:rsidP="00970163">
      <w:pPr>
        <w:spacing w:after="120" w:line="480" w:lineRule="auto"/>
        <w:rPr>
          <w:rFonts w:cs="Times New Roman"/>
          <w:sz w:val="24"/>
          <w:szCs w:val="24"/>
        </w:rPr>
      </w:pPr>
    </w:p>
    <w:p w:rsidR="002E1CDD" w:rsidRDefault="002E1CDD" w:rsidP="00970163">
      <w:pPr>
        <w:spacing w:after="120" w:line="480" w:lineRule="auto"/>
        <w:rPr>
          <w:rFonts w:cs="Times New Roman"/>
          <w:sz w:val="24"/>
          <w:szCs w:val="24"/>
        </w:rPr>
      </w:pPr>
    </w:p>
    <w:p w:rsidR="00970163" w:rsidRPr="00970163" w:rsidRDefault="00970163" w:rsidP="00970163">
      <w:pPr>
        <w:spacing w:before="0" w:beforeAutospacing="0" w:after="120" w:line="480" w:lineRule="auto"/>
        <w:rPr>
          <w:rFonts w:cs="Times New Roman"/>
          <w:sz w:val="24"/>
          <w:szCs w:val="24"/>
        </w:rPr>
      </w:pPr>
      <w:r>
        <w:rPr>
          <w:rFonts w:ascii="Times New Roman" w:eastAsia="Calibri" w:hAnsi="Times New Roman" w:cs="Times New Roman"/>
          <w:b/>
          <w:sz w:val="24"/>
          <w:szCs w:val="24"/>
        </w:rPr>
        <w:t>Table2: Identified Compounds from GC-MS Chromatogram of Untreated Raw Re-used Deep Fried Oil</w:t>
      </w:r>
    </w:p>
    <w:tbl>
      <w:tblPr>
        <w:tblW w:w="9922" w:type="dxa"/>
        <w:tblInd w:w="135" w:type="dxa"/>
        <w:tblLayout w:type="fixed"/>
        <w:tblLook w:val="04A0"/>
      </w:tblPr>
      <w:tblGrid>
        <w:gridCol w:w="1134"/>
        <w:gridCol w:w="851"/>
        <w:gridCol w:w="1276"/>
        <w:gridCol w:w="3826"/>
        <w:gridCol w:w="2835"/>
      </w:tblGrid>
      <w:tr w:rsidR="003B3559">
        <w:tc>
          <w:tcPr>
            <w:tcW w:w="1134" w:type="dxa"/>
            <w:tcBorders>
              <w:top w:val="single" w:sz="4" w:space="0" w:color="7F7F7F"/>
              <w:left w:val="nil"/>
              <w:right w:val="nil"/>
            </w:tcBorders>
          </w:tcPr>
          <w:p w:rsidR="003B3559" w:rsidRPr="00E26F87" w:rsidRDefault="00727B14">
            <w:pPr>
              <w:spacing w:line="360" w:lineRule="auto"/>
              <w:contextualSpacing/>
              <w:jc w:val="both"/>
              <w:rPr>
                <w:rFonts w:ascii="Times New Roman" w:eastAsia="Calibri" w:hAnsi="Times New Roman" w:cs="Times New Roman"/>
                <w:b/>
              </w:rPr>
            </w:pPr>
            <w:r w:rsidRPr="00E26F87">
              <w:rPr>
                <w:rFonts w:ascii="Times New Roman" w:eastAsia="Calibri" w:hAnsi="Times New Roman" w:cs="Times New Roman"/>
                <w:b/>
                <w:bCs/>
              </w:rPr>
              <w:t>Retention Time</w:t>
            </w:r>
          </w:p>
        </w:tc>
        <w:tc>
          <w:tcPr>
            <w:tcW w:w="851" w:type="dxa"/>
            <w:tcBorders>
              <w:top w:val="single" w:sz="4" w:space="0" w:color="7F7F7F"/>
              <w:left w:val="nil"/>
              <w:right w:val="nil"/>
            </w:tcBorders>
          </w:tcPr>
          <w:p w:rsidR="003B3559" w:rsidRPr="00E26F87" w:rsidRDefault="00727B14">
            <w:pPr>
              <w:spacing w:line="360" w:lineRule="auto"/>
              <w:contextualSpacing/>
              <w:jc w:val="both"/>
              <w:rPr>
                <w:rFonts w:ascii="Times New Roman" w:eastAsia="Calibri" w:hAnsi="Times New Roman" w:cs="Times New Roman"/>
                <w:b/>
                <w:bCs/>
              </w:rPr>
            </w:pPr>
            <w:r w:rsidRPr="00E26F87">
              <w:rPr>
                <w:rFonts w:ascii="Times New Roman" w:eastAsia="Calibri" w:hAnsi="Times New Roman" w:cs="Times New Roman"/>
                <w:b/>
                <w:bCs/>
              </w:rPr>
              <w:t>% Area</w:t>
            </w:r>
          </w:p>
        </w:tc>
        <w:tc>
          <w:tcPr>
            <w:tcW w:w="1276" w:type="dxa"/>
            <w:tcBorders>
              <w:top w:val="single" w:sz="4" w:space="0" w:color="7F7F7F"/>
              <w:left w:val="nil"/>
              <w:right w:val="nil"/>
            </w:tcBorders>
          </w:tcPr>
          <w:p w:rsidR="003B3559" w:rsidRPr="00E26F87" w:rsidRDefault="00727B14">
            <w:pPr>
              <w:spacing w:line="360" w:lineRule="auto"/>
              <w:contextualSpacing/>
              <w:jc w:val="both"/>
              <w:rPr>
                <w:rFonts w:ascii="Times New Roman" w:eastAsia="Calibri" w:hAnsi="Times New Roman" w:cs="Times New Roman"/>
                <w:b/>
                <w:bCs/>
              </w:rPr>
            </w:pPr>
            <w:r w:rsidRPr="00E26F87">
              <w:rPr>
                <w:rFonts w:ascii="Times New Roman" w:eastAsia="Calibri" w:hAnsi="Times New Roman" w:cs="Times New Roman"/>
                <w:b/>
                <w:bCs/>
              </w:rPr>
              <w:t>Molecular</w:t>
            </w:r>
          </w:p>
          <w:p w:rsidR="003B3559" w:rsidRPr="00E26F87" w:rsidRDefault="00727B14">
            <w:pPr>
              <w:spacing w:line="360" w:lineRule="auto"/>
              <w:contextualSpacing/>
              <w:jc w:val="both"/>
              <w:rPr>
                <w:rFonts w:ascii="Times New Roman" w:eastAsia="Calibri" w:hAnsi="Times New Roman" w:cs="Times New Roman"/>
                <w:b/>
                <w:bCs/>
              </w:rPr>
            </w:pPr>
            <w:r w:rsidRPr="00E26F87">
              <w:rPr>
                <w:rFonts w:ascii="Times New Roman" w:eastAsia="Calibri" w:hAnsi="Times New Roman" w:cs="Times New Roman"/>
                <w:b/>
                <w:bCs/>
              </w:rPr>
              <w:t>Formula</w:t>
            </w:r>
          </w:p>
        </w:tc>
        <w:tc>
          <w:tcPr>
            <w:tcW w:w="3826" w:type="dxa"/>
            <w:tcBorders>
              <w:top w:val="single" w:sz="4" w:space="0" w:color="7F7F7F"/>
              <w:left w:val="nil"/>
              <w:right w:val="nil"/>
            </w:tcBorders>
          </w:tcPr>
          <w:p w:rsidR="003B3559" w:rsidRPr="00E26F87" w:rsidRDefault="00727B14">
            <w:pPr>
              <w:spacing w:line="360" w:lineRule="auto"/>
              <w:contextualSpacing/>
              <w:jc w:val="both"/>
              <w:rPr>
                <w:rFonts w:ascii="Times New Roman" w:eastAsia="Calibri" w:hAnsi="Times New Roman" w:cs="Times New Roman"/>
                <w:b/>
                <w:bCs/>
              </w:rPr>
            </w:pPr>
            <w:r w:rsidRPr="00E26F87">
              <w:rPr>
                <w:rFonts w:ascii="Times New Roman" w:eastAsia="Calibri" w:hAnsi="Times New Roman" w:cs="Times New Roman"/>
                <w:b/>
                <w:bCs/>
              </w:rPr>
              <w:t>Compound’s Name</w:t>
            </w:r>
          </w:p>
        </w:tc>
        <w:tc>
          <w:tcPr>
            <w:tcW w:w="2835" w:type="dxa"/>
            <w:tcBorders>
              <w:top w:val="single" w:sz="4" w:space="0" w:color="7F7F7F"/>
              <w:left w:val="nil"/>
              <w:right w:val="nil"/>
            </w:tcBorders>
          </w:tcPr>
          <w:p w:rsidR="003B3559" w:rsidRPr="00E26F87" w:rsidRDefault="00727B14">
            <w:pPr>
              <w:spacing w:line="360" w:lineRule="auto"/>
              <w:contextualSpacing/>
              <w:jc w:val="both"/>
              <w:rPr>
                <w:rFonts w:ascii="Times New Roman" w:eastAsia="Calibri" w:hAnsi="Times New Roman" w:cs="Times New Roman"/>
                <w:b/>
                <w:bCs/>
              </w:rPr>
            </w:pPr>
            <w:r w:rsidRPr="00E26F87">
              <w:rPr>
                <w:rFonts w:ascii="Times New Roman" w:eastAsia="Calibri" w:hAnsi="Times New Roman" w:cs="Times New Roman"/>
                <w:b/>
                <w:bCs/>
              </w:rPr>
              <w:t>Molecular Structure</w:t>
            </w:r>
          </w:p>
        </w:tc>
      </w:tr>
      <w:tr w:rsidR="003B3559">
        <w:tc>
          <w:tcPr>
            <w:tcW w:w="1134"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bCs/>
              </w:rPr>
            </w:pPr>
            <w:r>
              <w:rPr>
                <w:rFonts w:ascii="Times New Roman" w:eastAsia="Calibri" w:hAnsi="Times New Roman" w:cs="Times New Roman"/>
                <w:b/>
                <w:bCs/>
              </w:rPr>
              <w:t>05.694</w:t>
            </w:r>
          </w:p>
        </w:tc>
        <w:tc>
          <w:tcPr>
            <w:tcW w:w="851"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00.030</w:t>
            </w:r>
          </w:p>
        </w:tc>
        <w:tc>
          <w:tcPr>
            <w:tcW w:w="1276"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C</w:t>
            </w:r>
            <w:r>
              <w:rPr>
                <w:rFonts w:ascii="Times New Roman" w:eastAsia="Calibri" w:hAnsi="Times New Roman" w:cs="Times New Roman"/>
                <w:vertAlign w:val="subscript"/>
              </w:rPr>
              <w:t>18</w:t>
            </w:r>
            <w:r>
              <w:rPr>
                <w:rFonts w:ascii="Times New Roman" w:eastAsia="Calibri" w:hAnsi="Times New Roman" w:cs="Times New Roman"/>
              </w:rPr>
              <w:t>H</w:t>
            </w:r>
            <w:r>
              <w:rPr>
                <w:rFonts w:ascii="Times New Roman" w:eastAsia="Calibri" w:hAnsi="Times New Roman" w:cs="Times New Roman"/>
                <w:vertAlign w:val="subscript"/>
              </w:rPr>
              <w:t>36</w:t>
            </w:r>
            <w:r>
              <w:rPr>
                <w:rFonts w:ascii="Times New Roman" w:eastAsia="Calibri" w:hAnsi="Times New Roman" w:cs="Times New Roman"/>
              </w:rPr>
              <w:t>O</w:t>
            </w:r>
            <w:r>
              <w:rPr>
                <w:rFonts w:ascii="Times New Roman" w:eastAsia="Calibri" w:hAnsi="Times New Roman" w:cs="Times New Roman"/>
                <w:vertAlign w:val="subscript"/>
              </w:rPr>
              <w:t>2</w:t>
            </w:r>
          </w:p>
        </w:tc>
        <w:tc>
          <w:tcPr>
            <w:tcW w:w="3826"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Octadecanoic acid</w:t>
            </w:r>
          </w:p>
        </w:tc>
        <w:tc>
          <w:tcPr>
            <w:tcW w:w="2835"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noProof/>
              </w:rPr>
              <w:drawing>
                <wp:inline distT="0" distB="0" distL="0" distR="0">
                  <wp:extent cx="2061845" cy="349250"/>
                  <wp:effectExtent l="0" t="0" r="0" b="0"/>
                  <wp:docPr id="73" name="Picture 73" descr="C:\Users\FRANK\AppData\Local\Temp\ksohtml11152\wps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C:\Users\FRANK\AppData\Local\Temp\ksohtml11152\wps92.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061845" cy="349250"/>
                          </a:xfrm>
                          <a:prstGeom prst="rect">
                            <a:avLst/>
                          </a:prstGeom>
                          <a:noFill/>
                          <a:ln>
                            <a:noFill/>
                          </a:ln>
                        </pic:spPr>
                      </pic:pic>
                    </a:graphicData>
                  </a:graphic>
                </wp:inline>
              </w:drawing>
            </w:r>
          </w:p>
        </w:tc>
      </w:tr>
      <w:tr w:rsidR="003B3559">
        <w:tc>
          <w:tcPr>
            <w:tcW w:w="1134"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b/>
                <w:bCs/>
              </w:rPr>
              <w:t>05.830</w:t>
            </w:r>
          </w:p>
        </w:tc>
        <w:tc>
          <w:tcPr>
            <w:tcW w:w="851"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00.050</w:t>
            </w:r>
          </w:p>
        </w:tc>
        <w:tc>
          <w:tcPr>
            <w:tcW w:w="1276"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C</w:t>
            </w:r>
            <w:r>
              <w:rPr>
                <w:rFonts w:ascii="Times New Roman" w:eastAsia="Calibri" w:hAnsi="Times New Roman" w:cs="Times New Roman"/>
                <w:vertAlign w:val="subscript"/>
              </w:rPr>
              <w:t>23</w:t>
            </w:r>
            <w:r>
              <w:rPr>
                <w:rFonts w:ascii="Times New Roman" w:eastAsia="Calibri" w:hAnsi="Times New Roman" w:cs="Times New Roman"/>
              </w:rPr>
              <w:t>H</w:t>
            </w:r>
            <w:r>
              <w:rPr>
                <w:rFonts w:ascii="Times New Roman" w:eastAsia="Calibri" w:hAnsi="Times New Roman" w:cs="Times New Roman"/>
                <w:vertAlign w:val="subscript"/>
              </w:rPr>
              <w:t>36</w:t>
            </w:r>
            <w:r>
              <w:rPr>
                <w:rFonts w:ascii="Times New Roman" w:eastAsia="Calibri" w:hAnsi="Times New Roman" w:cs="Times New Roman"/>
              </w:rPr>
              <w:t>O</w:t>
            </w:r>
            <w:r>
              <w:rPr>
                <w:rFonts w:ascii="Times New Roman" w:eastAsia="Calibri" w:hAnsi="Times New Roman" w:cs="Times New Roman"/>
                <w:vertAlign w:val="subscript"/>
              </w:rPr>
              <w:t>4</w:t>
            </w:r>
          </w:p>
        </w:tc>
        <w:tc>
          <w:tcPr>
            <w:tcW w:w="3826"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Phthalic acid, butyl undecyl ester</w:t>
            </w:r>
          </w:p>
        </w:tc>
        <w:tc>
          <w:tcPr>
            <w:tcW w:w="2835"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noProof/>
              </w:rPr>
              <w:drawing>
                <wp:inline distT="0" distB="0" distL="0" distR="0">
                  <wp:extent cx="2377440" cy="294199"/>
                  <wp:effectExtent l="0" t="0" r="3810" b="0"/>
                  <wp:docPr id="72" name="Picture 72" descr="C:\Users\FRANK\AppData\Local\Temp\ksohtml11152\wps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C:\Users\FRANK\AppData\Local\Temp\ksohtml11152\wps93.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406866" cy="297840"/>
                          </a:xfrm>
                          <a:prstGeom prst="rect">
                            <a:avLst/>
                          </a:prstGeom>
                          <a:noFill/>
                          <a:ln>
                            <a:noFill/>
                          </a:ln>
                        </pic:spPr>
                      </pic:pic>
                    </a:graphicData>
                  </a:graphic>
                </wp:inline>
              </w:drawing>
            </w:r>
          </w:p>
        </w:tc>
      </w:tr>
      <w:tr w:rsidR="003B3559">
        <w:tc>
          <w:tcPr>
            <w:tcW w:w="1134"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b/>
                <w:bCs/>
              </w:rPr>
              <w:t>06.028</w:t>
            </w:r>
          </w:p>
        </w:tc>
        <w:tc>
          <w:tcPr>
            <w:tcW w:w="851"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01.330</w:t>
            </w:r>
          </w:p>
        </w:tc>
        <w:tc>
          <w:tcPr>
            <w:tcW w:w="1276"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C</w:t>
            </w:r>
            <w:r>
              <w:rPr>
                <w:rFonts w:ascii="Times New Roman" w:eastAsia="Calibri" w:hAnsi="Times New Roman" w:cs="Times New Roman"/>
                <w:vertAlign w:val="subscript"/>
              </w:rPr>
              <w:t>16</w:t>
            </w:r>
            <w:r>
              <w:rPr>
                <w:rFonts w:ascii="Times New Roman" w:eastAsia="Calibri" w:hAnsi="Times New Roman" w:cs="Times New Roman"/>
              </w:rPr>
              <w:t>H</w:t>
            </w:r>
            <w:r>
              <w:rPr>
                <w:rFonts w:ascii="Times New Roman" w:eastAsia="Calibri" w:hAnsi="Times New Roman" w:cs="Times New Roman"/>
                <w:vertAlign w:val="subscript"/>
              </w:rPr>
              <w:t>32</w:t>
            </w:r>
            <w:r>
              <w:rPr>
                <w:rFonts w:ascii="Times New Roman" w:eastAsia="Calibri" w:hAnsi="Times New Roman" w:cs="Times New Roman"/>
              </w:rPr>
              <w:t>O</w:t>
            </w:r>
            <w:r>
              <w:rPr>
                <w:rFonts w:ascii="Times New Roman" w:eastAsia="Calibri" w:hAnsi="Times New Roman" w:cs="Times New Roman"/>
                <w:vertAlign w:val="subscript"/>
              </w:rPr>
              <w:t>2</w:t>
            </w:r>
          </w:p>
        </w:tc>
        <w:tc>
          <w:tcPr>
            <w:tcW w:w="3826"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n-Hexadecanoic acid</w:t>
            </w:r>
          </w:p>
        </w:tc>
        <w:tc>
          <w:tcPr>
            <w:tcW w:w="2835"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noProof/>
              </w:rPr>
              <w:drawing>
                <wp:inline distT="0" distB="0" distL="0" distR="0">
                  <wp:extent cx="2377440" cy="282575"/>
                  <wp:effectExtent l="0" t="0" r="3810" b="3175"/>
                  <wp:docPr id="71" name="Picture 71" descr="C:\Users\FRANK\AppData\Local\Temp\ksohtml11152\wps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C:\Users\FRANK\AppData\Local\Temp\ksohtml11152\wps94.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377440" cy="282575"/>
                          </a:xfrm>
                          <a:prstGeom prst="rect">
                            <a:avLst/>
                          </a:prstGeom>
                          <a:noFill/>
                          <a:ln>
                            <a:noFill/>
                          </a:ln>
                        </pic:spPr>
                      </pic:pic>
                    </a:graphicData>
                  </a:graphic>
                </wp:inline>
              </w:drawing>
            </w:r>
          </w:p>
        </w:tc>
      </w:tr>
      <w:tr w:rsidR="003B3559">
        <w:tc>
          <w:tcPr>
            <w:tcW w:w="1134"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b/>
                <w:bCs/>
              </w:rPr>
              <w:t>06.598</w:t>
            </w:r>
          </w:p>
        </w:tc>
        <w:tc>
          <w:tcPr>
            <w:tcW w:w="851"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00.150</w:t>
            </w:r>
          </w:p>
        </w:tc>
        <w:tc>
          <w:tcPr>
            <w:tcW w:w="1276"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C</w:t>
            </w:r>
            <w:r>
              <w:rPr>
                <w:rFonts w:ascii="Times New Roman" w:eastAsia="Calibri" w:hAnsi="Times New Roman" w:cs="Times New Roman"/>
                <w:vertAlign w:val="subscript"/>
              </w:rPr>
              <w:t>21</w:t>
            </w:r>
            <w:r>
              <w:rPr>
                <w:rFonts w:ascii="Times New Roman" w:eastAsia="Calibri" w:hAnsi="Times New Roman" w:cs="Times New Roman"/>
              </w:rPr>
              <w:t>H</w:t>
            </w:r>
            <w:r>
              <w:rPr>
                <w:rFonts w:ascii="Times New Roman" w:eastAsia="Calibri" w:hAnsi="Times New Roman" w:cs="Times New Roman"/>
                <w:vertAlign w:val="subscript"/>
              </w:rPr>
              <w:t>42</w:t>
            </w:r>
            <w:r>
              <w:rPr>
                <w:rFonts w:ascii="Times New Roman" w:eastAsia="Calibri" w:hAnsi="Times New Roman" w:cs="Times New Roman"/>
              </w:rPr>
              <w:t>O</w:t>
            </w:r>
            <w:r>
              <w:rPr>
                <w:rFonts w:ascii="Times New Roman" w:eastAsia="Calibri" w:hAnsi="Times New Roman" w:cs="Times New Roman"/>
                <w:vertAlign w:val="subscript"/>
              </w:rPr>
              <w:t>3</w:t>
            </w:r>
          </w:p>
        </w:tc>
        <w:tc>
          <w:tcPr>
            <w:tcW w:w="3826"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Methoxyacetic acid, octadecyl ester</w:t>
            </w:r>
          </w:p>
        </w:tc>
        <w:tc>
          <w:tcPr>
            <w:tcW w:w="2835"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noProof/>
              </w:rPr>
              <w:drawing>
                <wp:inline distT="0" distB="0" distL="0" distR="0">
                  <wp:extent cx="2377440" cy="241300"/>
                  <wp:effectExtent l="0" t="0" r="3810" b="6350"/>
                  <wp:docPr id="70" name="Picture 70" descr="C:\Users\FRANK\AppData\Local\Temp\ksohtml11152\wps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C:\Users\FRANK\AppData\Local\Temp\ksohtml11152\wps95.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377440" cy="241300"/>
                          </a:xfrm>
                          <a:prstGeom prst="rect">
                            <a:avLst/>
                          </a:prstGeom>
                          <a:noFill/>
                          <a:ln>
                            <a:noFill/>
                          </a:ln>
                        </pic:spPr>
                      </pic:pic>
                    </a:graphicData>
                  </a:graphic>
                </wp:inline>
              </w:drawing>
            </w:r>
          </w:p>
        </w:tc>
      </w:tr>
      <w:tr w:rsidR="003B3559">
        <w:tc>
          <w:tcPr>
            <w:tcW w:w="1134"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b/>
                <w:bCs/>
              </w:rPr>
              <w:t>07.403</w:t>
            </w:r>
          </w:p>
        </w:tc>
        <w:tc>
          <w:tcPr>
            <w:tcW w:w="851"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00.110</w:t>
            </w:r>
          </w:p>
        </w:tc>
        <w:tc>
          <w:tcPr>
            <w:tcW w:w="1276"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C</w:t>
            </w:r>
            <w:r>
              <w:rPr>
                <w:rFonts w:ascii="Times New Roman" w:eastAsia="Calibri" w:hAnsi="Times New Roman" w:cs="Times New Roman"/>
                <w:vertAlign w:val="subscript"/>
              </w:rPr>
              <w:t>19</w:t>
            </w:r>
            <w:r>
              <w:rPr>
                <w:rFonts w:ascii="Times New Roman" w:eastAsia="Calibri" w:hAnsi="Times New Roman" w:cs="Times New Roman"/>
              </w:rPr>
              <w:t>H</w:t>
            </w:r>
            <w:r>
              <w:rPr>
                <w:rFonts w:ascii="Times New Roman" w:eastAsia="Calibri" w:hAnsi="Times New Roman" w:cs="Times New Roman"/>
                <w:vertAlign w:val="subscript"/>
              </w:rPr>
              <w:t>40</w:t>
            </w:r>
            <w:r>
              <w:rPr>
                <w:rFonts w:ascii="Times New Roman" w:eastAsia="Calibri" w:hAnsi="Times New Roman" w:cs="Times New Roman"/>
              </w:rPr>
              <w:t>O</w:t>
            </w:r>
          </w:p>
        </w:tc>
        <w:tc>
          <w:tcPr>
            <w:tcW w:w="3826"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n-Nonadecanol-1</w:t>
            </w:r>
          </w:p>
        </w:tc>
        <w:tc>
          <w:tcPr>
            <w:tcW w:w="2835"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noProof/>
              </w:rPr>
              <w:drawing>
                <wp:inline distT="0" distB="0" distL="0" distR="0">
                  <wp:extent cx="2377440" cy="191135"/>
                  <wp:effectExtent l="0" t="0" r="3810" b="0"/>
                  <wp:docPr id="69" name="Picture 69" descr="C:\Users\FRANK\AppData\Local\Temp\ksohtml11152\wps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C:\Users\FRANK\AppData\Local\Temp\ksohtml11152\wps96.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377440" cy="191135"/>
                          </a:xfrm>
                          <a:prstGeom prst="rect">
                            <a:avLst/>
                          </a:prstGeom>
                          <a:noFill/>
                          <a:ln>
                            <a:noFill/>
                          </a:ln>
                        </pic:spPr>
                      </pic:pic>
                    </a:graphicData>
                  </a:graphic>
                </wp:inline>
              </w:drawing>
            </w:r>
          </w:p>
        </w:tc>
      </w:tr>
      <w:tr w:rsidR="003B3559">
        <w:tc>
          <w:tcPr>
            <w:tcW w:w="1134"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b/>
                <w:bCs/>
              </w:rPr>
              <w:t>08.034</w:t>
            </w:r>
          </w:p>
        </w:tc>
        <w:tc>
          <w:tcPr>
            <w:tcW w:w="851"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00.100</w:t>
            </w:r>
          </w:p>
        </w:tc>
        <w:tc>
          <w:tcPr>
            <w:tcW w:w="1276"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C</w:t>
            </w:r>
            <w:r>
              <w:rPr>
                <w:rFonts w:ascii="Times New Roman" w:eastAsia="Calibri" w:hAnsi="Times New Roman" w:cs="Times New Roman"/>
                <w:vertAlign w:val="subscript"/>
              </w:rPr>
              <w:t>22</w:t>
            </w:r>
            <w:r>
              <w:rPr>
                <w:rFonts w:ascii="Times New Roman" w:eastAsia="Calibri" w:hAnsi="Times New Roman" w:cs="Times New Roman"/>
              </w:rPr>
              <w:t>H</w:t>
            </w:r>
            <w:r>
              <w:rPr>
                <w:rFonts w:ascii="Times New Roman" w:eastAsia="Calibri" w:hAnsi="Times New Roman" w:cs="Times New Roman"/>
                <w:vertAlign w:val="subscript"/>
              </w:rPr>
              <w:t>42</w:t>
            </w:r>
            <w:r>
              <w:rPr>
                <w:rFonts w:ascii="Times New Roman" w:eastAsia="Calibri" w:hAnsi="Times New Roman" w:cs="Times New Roman"/>
              </w:rPr>
              <w:t>O</w:t>
            </w:r>
            <w:r>
              <w:rPr>
                <w:rFonts w:ascii="Times New Roman" w:eastAsia="Calibri" w:hAnsi="Times New Roman" w:cs="Times New Roman"/>
                <w:vertAlign w:val="subscript"/>
              </w:rPr>
              <w:t>2</w:t>
            </w:r>
          </w:p>
        </w:tc>
        <w:tc>
          <w:tcPr>
            <w:tcW w:w="3826"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Erucic acid</w:t>
            </w:r>
          </w:p>
        </w:tc>
        <w:tc>
          <w:tcPr>
            <w:tcW w:w="2835"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noProof/>
              </w:rPr>
              <w:drawing>
                <wp:inline distT="0" distB="0" distL="0" distR="0">
                  <wp:extent cx="2377440" cy="307340"/>
                  <wp:effectExtent l="0" t="0" r="3810" b="0"/>
                  <wp:docPr id="68" name="Picture 68" descr="C:\Users\FRANK\AppData\Local\Temp\ksohtml11152\wps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C:\Users\FRANK\AppData\Local\Temp\ksohtml11152\wps97.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377440" cy="307340"/>
                          </a:xfrm>
                          <a:prstGeom prst="rect">
                            <a:avLst/>
                          </a:prstGeom>
                          <a:noFill/>
                          <a:ln>
                            <a:noFill/>
                          </a:ln>
                        </pic:spPr>
                      </pic:pic>
                    </a:graphicData>
                  </a:graphic>
                </wp:inline>
              </w:drawing>
            </w:r>
          </w:p>
        </w:tc>
      </w:tr>
      <w:tr w:rsidR="003B3559">
        <w:tc>
          <w:tcPr>
            <w:tcW w:w="1134"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b/>
                <w:bCs/>
              </w:rPr>
              <w:t>08.399</w:t>
            </w:r>
          </w:p>
        </w:tc>
        <w:tc>
          <w:tcPr>
            <w:tcW w:w="851"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00.530</w:t>
            </w:r>
          </w:p>
        </w:tc>
        <w:tc>
          <w:tcPr>
            <w:tcW w:w="1276"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C</w:t>
            </w:r>
            <w:r>
              <w:rPr>
                <w:rFonts w:ascii="Times New Roman" w:eastAsia="Calibri" w:hAnsi="Times New Roman" w:cs="Times New Roman"/>
                <w:vertAlign w:val="subscript"/>
              </w:rPr>
              <w:t>18</w:t>
            </w:r>
            <w:r>
              <w:rPr>
                <w:rFonts w:ascii="Times New Roman" w:eastAsia="Calibri" w:hAnsi="Times New Roman" w:cs="Times New Roman"/>
              </w:rPr>
              <w:t>H</w:t>
            </w:r>
            <w:r>
              <w:rPr>
                <w:rFonts w:ascii="Times New Roman" w:eastAsia="Calibri" w:hAnsi="Times New Roman" w:cs="Times New Roman"/>
                <w:vertAlign w:val="subscript"/>
              </w:rPr>
              <w:t>36</w:t>
            </w:r>
            <w:r>
              <w:rPr>
                <w:rFonts w:ascii="Times New Roman" w:eastAsia="Calibri" w:hAnsi="Times New Roman" w:cs="Times New Roman"/>
              </w:rPr>
              <w:t>O</w:t>
            </w:r>
            <w:r>
              <w:rPr>
                <w:rFonts w:ascii="Times New Roman" w:eastAsia="Calibri" w:hAnsi="Times New Roman" w:cs="Times New Roman"/>
                <w:vertAlign w:val="subscript"/>
              </w:rPr>
              <w:t>2</w:t>
            </w:r>
          </w:p>
        </w:tc>
        <w:tc>
          <w:tcPr>
            <w:tcW w:w="3826"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Octadecanoic acid</w:t>
            </w:r>
          </w:p>
        </w:tc>
        <w:tc>
          <w:tcPr>
            <w:tcW w:w="2835"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noProof/>
              </w:rPr>
              <w:drawing>
                <wp:inline distT="0" distB="0" distL="0" distR="0">
                  <wp:extent cx="2377440" cy="278295"/>
                  <wp:effectExtent l="0" t="0" r="3810" b="7620"/>
                  <wp:docPr id="67" name="Picture 67" descr="C:\Users\FRANK\AppData\Local\Temp\ksohtml11152\wps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C:\Users\FRANK\AppData\Local\Temp\ksohtml11152\wps98.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393638" cy="280191"/>
                          </a:xfrm>
                          <a:prstGeom prst="rect">
                            <a:avLst/>
                          </a:prstGeom>
                          <a:noFill/>
                          <a:ln>
                            <a:noFill/>
                          </a:ln>
                        </pic:spPr>
                      </pic:pic>
                    </a:graphicData>
                  </a:graphic>
                </wp:inline>
              </w:drawing>
            </w:r>
          </w:p>
        </w:tc>
      </w:tr>
      <w:tr w:rsidR="003B3559">
        <w:tc>
          <w:tcPr>
            <w:tcW w:w="1134"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b/>
                <w:bCs/>
              </w:rPr>
              <w:t>09.530</w:t>
            </w:r>
          </w:p>
        </w:tc>
        <w:tc>
          <w:tcPr>
            <w:tcW w:w="851"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00.150</w:t>
            </w:r>
          </w:p>
        </w:tc>
        <w:tc>
          <w:tcPr>
            <w:tcW w:w="1276"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C</w:t>
            </w:r>
            <w:r>
              <w:rPr>
                <w:rFonts w:ascii="Times New Roman" w:eastAsia="Calibri" w:hAnsi="Times New Roman" w:cs="Times New Roman"/>
                <w:vertAlign w:val="subscript"/>
              </w:rPr>
              <w:t>20</w:t>
            </w:r>
            <w:r>
              <w:rPr>
                <w:rFonts w:ascii="Times New Roman" w:eastAsia="Calibri" w:hAnsi="Times New Roman" w:cs="Times New Roman"/>
              </w:rPr>
              <w:t>H</w:t>
            </w:r>
            <w:r>
              <w:rPr>
                <w:rFonts w:ascii="Times New Roman" w:eastAsia="Calibri" w:hAnsi="Times New Roman" w:cs="Times New Roman"/>
                <w:vertAlign w:val="subscript"/>
              </w:rPr>
              <w:t>36</w:t>
            </w:r>
            <w:r>
              <w:rPr>
                <w:rFonts w:ascii="Times New Roman" w:eastAsia="Calibri" w:hAnsi="Times New Roman" w:cs="Times New Roman"/>
              </w:rPr>
              <w:t>O</w:t>
            </w:r>
            <w:r>
              <w:rPr>
                <w:rFonts w:ascii="Times New Roman" w:eastAsia="Calibri" w:hAnsi="Times New Roman" w:cs="Times New Roman"/>
                <w:vertAlign w:val="subscript"/>
              </w:rPr>
              <w:t>4</w:t>
            </w:r>
          </w:p>
        </w:tc>
        <w:tc>
          <w:tcPr>
            <w:tcW w:w="3826"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2-Butenedioic acid (E)-, bis(2-ethylhexyl) ester</w:t>
            </w:r>
          </w:p>
        </w:tc>
        <w:tc>
          <w:tcPr>
            <w:tcW w:w="2835"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noProof/>
              </w:rPr>
              <w:drawing>
                <wp:inline distT="0" distB="0" distL="0" distR="0">
                  <wp:extent cx="2377440" cy="382270"/>
                  <wp:effectExtent l="0" t="0" r="3810" b="0"/>
                  <wp:docPr id="66" name="Picture 66" descr="C:\Users\FRANK\AppData\Local\Temp\ksohtml11152\wps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C:\Users\FRANK\AppData\Local\Temp\ksohtml11152\wps99.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377440" cy="382270"/>
                          </a:xfrm>
                          <a:prstGeom prst="rect">
                            <a:avLst/>
                          </a:prstGeom>
                          <a:noFill/>
                          <a:ln>
                            <a:noFill/>
                          </a:ln>
                        </pic:spPr>
                      </pic:pic>
                    </a:graphicData>
                  </a:graphic>
                </wp:inline>
              </w:drawing>
            </w:r>
          </w:p>
        </w:tc>
      </w:tr>
      <w:tr w:rsidR="003B3559">
        <w:tc>
          <w:tcPr>
            <w:tcW w:w="1134"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b/>
                <w:bCs/>
              </w:rPr>
              <w:t>11.288</w:t>
            </w:r>
          </w:p>
        </w:tc>
        <w:tc>
          <w:tcPr>
            <w:tcW w:w="851"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01.250</w:t>
            </w:r>
          </w:p>
        </w:tc>
        <w:tc>
          <w:tcPr>
            <w:tcW w:w="1276"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C</w:t>
            </w:r>
            <w:r>
              <w:rPr>
                <w:rFonts w:ascii="Times New Roman" w:eastAsia="Calibri" w:hAnsi="Times New Roman" w:cs="Times New Roman"/>
                <w:vertAlign w:val="subscript"/>
              </w:rPr>
              <w:t>22</w:t>
            </w:r>
            <w:r>
              <w:rPr>
                <w:rFonts w:ascii="Times New Roman" w:eastAsia="Calibri" w:hAnsi="Times New Roman" w:cs="Times New Roman"/>
              </w:rPr>
              <w:t>H</w:t>
            </w:r>
            <w:r>
              <w:rPr>
                <w:rFonts w:ascii="Times New Roman" w:eastAsia="Calibri" w:hAnsi="Times New Roman" w:cs="Times New Roman"/>
                <w:vertAlign w:val="subscript"/>
              </w:rPr>
              <w:t>42</w:t>
            </w:r>
            <w:r>
              <w:rPr>
                <w:rFonts w:ascii="Times New Roman" w:eastAsia="Calibri" w:hAnsi="Times New Roman" w:cs="Times New Roman"/>
              </w:rPr>
              <w:t>O</w:t>
            </w:r>
            <w:r>
              <w:rPr>
                <w:rFonts w:ascii="Times New Roman" w:eastAsia="Calibri" w:hAnsi="Times New Roman" w:cs="Times New Roman"/>
                <w:vertAlign w:val="subscript"/>
              </w:rPr>
              <w:t>4</w:t>
            </w:r>
          </w:p>
        </w:tc>
        <w:tc>
          <w:tcPr>
            <w:tcW w:w="3826"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Hexanedioic acid, bis(2-ethylhexyl) ester</w:t>
            </w:r>
          </w:p>
        </w:tc>
        <w:tc>
          <w:tcPr>
            <w:tcW w:w="2835"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noProof/>
              </w:rPr>
              <w:drawing>
                <wp:inline distT="0" distB="0" distL="0" distR="0">
                  <wp:extent cx="2377440" cy="315595"/>
                  <wp:effectExtent l="0" t="0" r="3810" b="8255"/>
                  <wp:docPr id="65" name="Picture 65" descr="C:\Users\FRANK\AppData\Local\Temp\ksohtml11152\wps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C:\Users\FRANK\AppData\Local\Temp\ksohtml11152\wps100.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377440" cy="315595"/>
                          </a:xfrm>
                          <a:prstGeom prst="rect">
                            <a:avLst/>
                          </a:prstGeom>
                          <a:noFill/>
                          <a:ln>
                            <a:noFill/>
                          </a:ln>
                        </pic:spPr>
                      </pic:pic>
                    </a:graphicData>
                  </a:graphic>
                </wp:inline>
              </w:drawing>
            </w:r>
          </w:p>
        </w:tc>
      </w:tr>
      <w:tr w:rsidR="003B3559">
        <w:tc>
          <w:tcPr>
            <w:tcW w:w="1134"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b/>
                <w:bCs/>
              </w:rPr>
              <w:t>12.740</w:t>
            </w:r>
          </w:p>
          <w:p w:rsidR="003B3559" w:rsidRDefault="00727B14">
            <w:pPr>
              <w:spacing w:line="360" w:lineRule="auto"/>
              <w:contextualSpacing/>
              <w:jc w:val="both"/>
              <w:rPr>
                <w:rFonts w:ascii="Times New Roman" w:eastAsia="Calibri" w:hAnsi="Times New Roman" w:cs="Times New Roman"/>
                <w:b/>
                <w:bCs/>
              </w:rPr>
            </w:pPr>
            <w:r>
              <w:rPr>
                <w:rFonts w:ascii="Times New Roman" w:eastAsia="Calibri" w:hAnsi="Times New Roman" w:cs="Times New Roman"/>
                <w:b/>
                <w:bCs/>
              </w:rPr>
              <w:t>13.506</w:t>
            </w:r>
          </w:p>
        </w:tc>
        <w:tc>
          <w:tcPr>
            <w:tcW w:w="851"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08.390</w:t>
            </w:r>
          </w:p>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24.160</w:t>
            </w:r>
          </w:p>
        </w:tc>
        <w:tc>
          <w:tcPr>
            <w:tcW w:w="1276"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C</w:t>
            </w:r>
            <w:r>
              <w:rPr>
                <w:rFonts w:ascii="Times New Roman" w:eastAsia="Calibri" w:hAnsi="Times New Roman" w:cs="Times New Roman"/>
                <w:vertAlign w:val="subscript"/>
              </w:rPr>
              <w:t>27</w:t>
            </w:r>
            <w:r>
              <w:rPr>
                <w:rFonts w:ascii="Times New Roman" w:eastAsia="Calibri" w:hAnsi="Times New Roman" w:cs="Times New Roman"/>
              </w:rPr>
              <w:t>H</w:t>
            </w:r>
            <w:r>
              <w:rPr>
                <w:rFonts w:ascii="Times New Roman" w:eastAsia="Calibri" w:hAnsi="Times New Roman" w:cs="Times New Roman"/>
                <w:vertAlign w:val="subscript"/>
              </w:rPr>
              <w:t>52</w:t>
            </w:r>
            <w:r>
              <w:rPr>
                <w:rFonts w:ascii="Times New Roman" w:eastAsia="Calibri" w:hAnsi="Times New Roman" w:cs="Times New Roman"/>
              </w:rPr>
              <w:t>O</w:t>
            </w:r>
            <w:r>
              <w:rPr>
                <w:rFonts w:ascii="Times New Roman" w:eastAsia="Calibri" w:hAnsi="Times New Roman" w:cs="Times New Roman"/>
                <w:vertAlign w:val="subscript"/>
              </w:rPr>
              <w:t>5</w:t>
            </w:r>
          </w:p>
        </w:tc>
        <w:tc>
          <w:tcPr>
            <w:tcW w:w="3826"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Dodecanoic acid, 1-(hydroxymethyl)-1,2-ethanediyl</w:t>
            </w:r>
          </w:p>
        </w:tc>
        <w:tc>
          <w:tcPr>
            <w:tcW w:w="2835"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noProof/>
              </w:rPr>
              <w:drawing>
                <wp:inline distT="0" distB="0" distL="0" distR="0">
                  <wp:extent cx="2377440" cy="340995"/>
                  <wp:effectExtent l="0" t="0" r="3810" b="1905"/>
                  <wp:docPr id="64" name="Picture 64" descr="C:\Users\FRANK\AppData\Local\Temp\ksohtml11152\wps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C:\Users\FRANK\AppData\Local\Temp\ksohtml11152\wps101.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377440" cy="340995"/>
                          </a:xfrm>
                          <a:prstGeom prst="rect">
                            <a:avLst/>
                          </a:prstGeom>
                          <a:noFill/>
                          <a:ln>
                            <a:noFill/>
                          </a:ln>
                        </pic:spPr>
                      </pic:pic>
                    </a:graphicData>
                  </a:graphic>
                </wp:inline>
              </w:drawing>
            </w:r>
          </w:p>
        </w:tc>
      </w:tr>
      <w:tr w:rsidR="003B3559">
        <w:tc>
          <w:tcPr>
            <w:tcW w:w="1134"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b/>
                <w:bCs/>
              </w:rPr>
              <w:t>15.142</w:t>
            </w:r>
          </w:p>
        </w:tc>
        <w:tc>
          <w:tcPr>
            <w:tcW w:w="851"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22.180</w:t>
            </w:r>
          </w:p>
        </w:tc>
        <w:tc>
          <w:tcPr>
            <w:tcW w:w="1276"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C</w:t>
            </w:r>
            <w:r>
              <w:rPr>
                <w:rFonts w:ascii="Times New Roman" w:eastAsia="Calibri" w:hAnsi="Times New Roman" w:cs="Times New Roman"/>
                <w:vertAlign w:val="subscript"/>
              </w:rPr>
              <w:t>24</w:t>
            </w:r>
            <w:r>
              <w:rPr>
                <w:rFonts w:ascii="Times New Roman" w:eastAsia="Calibri" w:hAnsi="Times New Roman" w:cs="Times New Roman"/>
              </w:rPr>
              <w:t>H</w:t>
            </w:r>
            <w:r>
              <w:rPr>
                <w:rFonts w:ascii="Times New Roman" w:eastAsia="Calibri" w:hAnsi="Times New Roman" w:cs="Times New Roman"/>
                <w:vertAlign w:val="subscript"/>
              </w:rPr>
              <w:t>38</w:t>
            </w:r>
            <w:r>
              <w:rPr>
                <w:rFonts w:ascii="Times New Roman" w:eastAsia="Calibri" w:hAnsi="Times New Roman" w:cs="Times New Roman"/>
              </w:rPr>
              <w:t>O</w:t>
            </w:r>
            <w:r>
              <w:rPr>
                <w:rFonts w:ascii="Times New Roman" w:eastAsia="Calibri" w:hAnsi="Times New Roman" w:cs="Times New Roman"/>
                <w:vertAlign w:val="subscript"/>
              </w:rPr>
              <w:t>4</w:t>
            </w:r>
          </w:p>
        </w:tc>
        <w:tc>
          <w:tcPr>
            <w:tcW w:w="3826"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1,3-Benzenedicarboxylic acid, bis(2-ethylhexyl</w:t>
            </w:r>
          </w:p>
        </w:tc>
        <w:tc>
          <w:tcPr>
            <w:tcW w:w="2835"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noProof/>
              </w:rPr>
              <w:drawing>
                <wp:inline distT="0" distB="0" distL="0" distR="0">
                  <wp:extent cx="2377440" cy="440690"/>
                  <wp:effectExtent l="0" t="0" r="3810" b="0"/>
                  <wp:docPr id="63" name="Picture 63" descr="C:\Users\FRANK\AppData\Local\Temp\ksohtml11152\wps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C:\Users\FRANK\AppData\Local\Temp\ksohtml11152\wps102.jp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377440" cy="440690"/>
                          </a:xfrm>
                          <a:prstGeom prst="rect">
                            <a:avLst/>
                          </a:prstGeom>
                          <a:noFill/>
                          <a:ln>
                            <a:noFill/>
                          </a:ln>
                        </pic:spPr>
                      </pic:pic>
                    </a:graphicData>
                  </a:graphic>
                </wp:inline>
              </w:drawing>
            </w:r>
          </w:p>
        </w:tc>
      </w:tr>
      <w:tr w:rsidR="003B3559">
        <w:tc>
          <w:tcPr>
            <w:tcW w:w="1134"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b/>
                <w:bCs/>
              </w:rPr>
              <w:t>17.955</w:t>
            </w:r>
          </w:p>
        </w:tc>
        <w:tc>
          <w:tcPr>
            <w:tcW w:w="851"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00.900</w:t>
            </w:r>
          </w:p>
        </w:tc>
        <w:tc>
          <w:tcPr>
            <w:tcW w:w="1276"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C</w:t>
            </w:r>
            <w:r>
              <w:rPr>
                <w:rFonts w:ascii="Times New Roman" w:eastAsia="Calibri" w:hAnsi="Times New Roman" w:cs="Times New Roman"/>
                <w:vertAlign w:val="subscript"/>
              </w:rPr>
              <w:t>29</w:t>
            </w:r>
            <w:r>
              <w:rPr>
                <w:rFonts w:ascii="Times New Roman" w:eastAsia="Calibri" w:hAnsi="Times New Roman" w:cs="Times New Roman"/>
              </w:rPr>
              <w:t>H</w:t>
            </w:r>
            <w:r>
              <w:rPr>
                <w:rFonts w:ascii="Times New Roman" w:eastAsia="Calibri" w:hAnsi="Times New Roman" w:cs="Times New Roman"/>
                <w:vertAlign w:val="subscript"/>
              </w:rPr>
              <w:t>50</w:t>
            </w:r>
            <w:r>
              <w:rPr>
                <w:rFonts w:ascii="Times New Roman" w:eastAsia="Calibri" w:hAnsi="Times New Roman" w:cs="Times New Roman"/>
              </w:rPr>
              <w:t>O</w:t>
            </w:r>
          </w:p>
        </w:tc>
        <w:tc>
          <w:tcPr>
            <w:tcW w:w="3826"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beta.-Sitostero</w:t>
            </w:r>
          </w:p>
        </w:tc>
        <w:tc>
          <w:tcPr>
            <w:tcW w:w="2835"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noProof/>
              </w:rPr>
              <w:drawing>
                <wp:inline distT="0" distB="0" distL="0" distR="0">
                  <wp:extent cx="2086610" cy="465455"/>
                  <wp:effectExtent l="0" t="0" r="8890" b="0"/>
                  <wp:docPr id="62" name="Picture 62" descr="C:\Users\FRANK\AppData\Local\Temp\ksohtml11152\wps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Users\FRANK\AppData\Local\Temp\ksohtml11152\wps103.jp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086610" cy="465455"/>
                          </a:xfrm>
                          <a:prstGeom prst="rect">
                            <a:avLst/>
                          </a:prstGeom>
                          <a:noFill/>
                          <a:ln>
                            <a:noFill/>
                          </a:ln>
                        </pic:spPr>
                      </pic:pic>
                    </a:graphicData>
                  </a:graphic>
                </wp:inline>
              </w:drawing>
            </w:r>
          </w:p>
        </w:tc>
      </w:tr>
      <w:tr w:rsidR="003B3559">
        <w:tc>
          <w:tcPr>
            <w:tcW w:w="1134"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b/>
                <w:bCs/>
              </w:rPr>
              <w:t>18.628</w:t>
            </w:r>
          </w:p>
        </w:tc>
        <w:tc>
          <w:tcPr>
            <w:tcW w:w="851"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00.520</w:t>
            </w:r>
          </w:p>
        </w:tc>
        <w:tc>
          <w:tcPr>
            <w:tcW w:w="1276"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C</w:t>
            </w:r>
            <w:r>
              <w:rPr>
                <w:rFonts w:ascii="Times New Roman" w:eastAsia="Calibri" w:hAnsi="Times New Roman" w:cs="Times New Roman"/>
                <w:vertAlign w:val="subscript"/>
              </w:rPr>
              <w:t>30</w:t>
            </w:r>
            <w:r>
              <w:rPr>
                <w:rFonts w:ascii="Times New Roman" w:eastAsia="Calibri" w:hAnsi="Times New Roman" w:cs="Times New Roman"/>
              </w:rPr>
              <w:t>H</w:t>
            </w:r>
            <w:r>
              <w:rPr>
                <w:rFonts w:ascii="Times New Roman" w:eastAsia="Calibri" w:hAnsi="Times New Roman" w:cs="Times New Roman"/>
                <w:vertAlign w:val="subscript"/>
              </w:rPr>
              <w:t>60</w:t>
            </w:r>
            <w:r>
              <w:rPr>
                <w:rFonts w:ascii="Times New Roman" w:eastAsia="Calibri" w:hAnsi="Times New Roman" w:cs="Times New Roman"/>
              </w:rPr>
              <w:t>O</w:t>
            </w:r>
            <w:r>
              <w:rPr>
                <w:rFonts w:ascii="Times New Roman" w:eastAsia="Calibri" w:hAnsi="Times New Roman" w:cs="Times New Roman"/>
                <w:vertAlign w:val="subscript"/>
              </w:rPr>
              <w:t>2</w:t>
            </w:r>
          </w:p>
        </w:tc>
        <w:tc>
          <w:tcPr>
            <w:tcW w:w="3826"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Hexadecanoic acid, tetradecyl ester</w:t>
            </w:r>
          </w:p>
        </w:tc>
        <w:tc>
          <w:tcPr>
            <w:tcW w:w="2835"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noProof/>
              </w:rPr>
              <w:drawing>
                <wp:inline distT="0" distB="0" distL="0" distR="0">
                  <wp:extent cx="2377440" cy="274320"/>
                  <wp:effectExtent l="0" t="0" r="3810" b="0"/>
                  <wp:docPr id="61" name="Picture 61" descr="C:\Users\FRANK\AppData\Local\Temp\ksohtml11152\wps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C:\Users\FRANK\AppData\Local\Temp\ksohtml11152\wps104.jp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377440" cy="274320"/>
                          </a:xfrm>
                          <a:prstGeom prst="rect">
                            <a:avLst/>
                          </a:prstGeom>
                          <a:noFill/>
                          <a:ln>
                            <a:noFill/>
                          </a:ln>
                        </pic:spPr>
                      </pic:pic>
                    </a:graphicData>
                  </a:graphic>
                </wp:inline>
              </w:drawing>
            </w:r>
          </w:p>
        </w:tc>
      </w:tr>
      <w:tr w:rsidR="003B3559">
        <w:trPr>
          <w:trHeight w:val="811"/>
        </w:trPr>
        <w:tc>
          <w:tcPr>
            <w:tcW w:w="1134"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b/>
                <w:bCs/>
              </w:rPr>
              <w:lastRenderedPageBreak/>
              <w:t>18.989</w:t>
            </w:r>
          </w:p>
        </w:tc>
        <w:tc>
          <w:tcPr>
            <w:tcW w:w="851"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05.570</w:t>
            </w:r>
          </w:p>
        </w:tc>
        <w:tc>
          <w:tcPr>
            <w:tcW w:w="1276"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C</w:t>
            </w:r>
            <w:r>
              <w:rPr>
                <w:rFonts w:ascii="Times New Roman" w:eastAsia="Calibri" w:hAnsi="Times New Roman" w:cs="Times New Roman"/>
                <w:vertAlign w:val="subscript"/>
              </w:rPr>
              <w:t>27</w:t>
            </w:r>
            <w:r>
              <w:rPr>
                <w:rFonts w:ascii="Times New Roman" w:eastAsia="Calibri" w:hAnsi="Times New Roman" w:cs="Times New Roman"/>
              </w:rPr>
              <w:t>H</w:t>
            </w:r>
            <w:r>
              <w:rPr>
                <w:rFonts w:ascii="Times New Roman" w:eastAsia="Calibri" w:hAnsi="Times New Roman" w:cs="Times New Roman"/>
                <w:vertAlign w:val="subscript"/>
              </w:rPr>
              <w:t>50</w:t>
            </w:r>
            <w:r>
              <w:rPr>
                <w:rFonts w:ascii="Times New Roman" w:eastAsia="Calibri" w:hAnsi="Times New Roman" w:cs="Times New Roman"/>
              </w:rPr>
              <w:t>O</w:t>
            </w:r>
            <w:r>
              <w:rPr>
                <w:rFonts w:ascii="Times New Roman" w:eastAsia="Calibri" w:hAnsi="Times New Roman" w:cs="Times New Roman"/>
                <w:vertAlign w:val="subscript"/>
              </w:rPr>
              <w:t>6</w:t>
            </w:r>
          </w:p>
        </w:tc>
        <w:tc>
          <w:tcPr>
            <w:tcW w:w="3826"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Glycerol tricaprylate</w:t>
            </w:r>
          </w:p>
        </w:tc>
        <w:tc>
          <w:tcPr>
            <w:tcW w:w="2835"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noProof/>
              </w:rPr>
              <w:drawing>
                <wp:inline distT="0" distB="0" distL="0" distR="0">
                  <wp:extent cx="2377440" cy="382270"/>
                  <wp:effectExtent l="0" t="0" r="3810" b="0"/>
                  <wp:docPr id="60" name="Picture 60" descr="C:\Users\FRANK\AppData\Local\Temp\ksohtml11152\wps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C:\Users\FRANK\AppData\Local\Temp\ksohtml11152\wps105.jp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377440" cy="382270"/>
                          </a:xfrm>
                          <a:prstGeom prst="rect">
                            <a:avLst/>
                          </a:prstGeom>
                          <a:noFill/>
                          <a:ln>
                            <a:noFill/>
                          </a:ln>
                        </pic:spPr>
                      </pic:pic>
                    </a:graphicData>
                  </a:graphic>
                </wp:inline>
              </w:drawing>
            </w:r>
          </w:p>
        </w:tc>
      </w:tr>
      <w:tr w:rsidR="003B3559">
        <w:tc>
          <w:tcPr>
            <w:tcW w:w="1134"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b/>
                <w:bCs/>
              </w:rPr>
              <w:t>19.261</w:t>
            </w:r>
          </w:p>
        </w:tc>
        <w:tc>
          <w:tcPr>
            <w:tcW w:w="851"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00.960</w:t>
            </w:r>
          </w:p>
        </w:tc>
        <w:tc>
          <w:tcPr>
            <w:tcW w:w="1276"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C</w:t>
            </w:r>
            <w:r>
              <w:rPr>
                <w:rFonts w:ascii="Times New Roman" w:eastAsia="Calibri" w:hAnsi="Times New Roman" w:cs="Times New Roman"/>
                <w:vertAlign w:val="subscript"/>
              </w:rPr>
              <w:t>31</w:t>
            </w:r>
            <w:r>
              <w:rPr>
                <w:rFonts w:ascii="Times New Roman" w:eastAsia="Calibri" w:hAnsi="Times New Roman" w:cs="Times New Roman"/>
              </w:rPr>
              <w:t>H</w:t>
            </w:r>
            <w:r>
              <w:rPr>
                <w:rFonts w:ascii="Times New Roman" w:eastAsia="Calibri" w:hAnsi="Times New Roman" w:cs="Times New Roman"/>
                <w:vertAlign w:val="subscript"/>
              </w:rPr>
              <w:t>60</w:t>
            </w:r>
            <w:r>
              <w:rPr>
                <w:rFonts w:ascii="Times New Roman" w:eastAsia="Calibri" w:hAnsi="Times New Roman" w:cs="Times New Roman"/>
              </w:rPr>
              <w:t>O</w:t>
            </w:r>
            <w:r>
              <w:rPr>
                <w:rFonts w:ascii="Times New Roman" w:eastAsia="Calibri" w:hAnsi="Times New Roman" w:cs="Times New Roman"/>
                <w:vertAlign w:val="subscript"/>
              </w:rPr>
              <w:t>5</w:t>
            </w:r>
          </w:p>
        </w:tc>
        <w:tc>
          <w:tcPr>
            <w:tcW w:w="3826"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Tetradecanoic acid, 2-hydroxy-1,3-propanediyl</w:t>
            </w:r>
          </w:p>
        </w:tc>
        <w:tc>
          <w:tcPr>
            <w:tcW w:w="2835"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noProof/>
              </w:rPr>
              <w:drawing>
                <wp:inline distT="0" distB="0" distL="0" distR="0">
                  <wp:extent cx="2377440" cy="457200"/>
                  <wp:effectExtent l="0" t="0" r="3810" b="0"/>
                  <wp:docPr id="59" name="Picture 59" descr="C:\Users\FRANK\AppData\Local\Temp\ksohtml11152\wps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C:\Users\FRANK\AppData\Local\Temp\ksohtml11152\wps106.jp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377440" cy="457200"/>
                          </a:xfrm>
                          <a:prstGeom prst="rect">
                            <a:avLst/>
                          </a:prstGeom>
                          <a:noFill/>
                          <a:ln>
                            <a:noFill/>
                          </a:ln>
                        </pic:spPr>
                      </pic:pic>
                    </a:graphicData>
                  </a:graphic>
                </wp:inline>
              </w:drawing>
            </w:r>
          </w:p>
        </w:tc>
      </w:tr>
      <w:tr w:rsidR="003B3559">
        <w:tc>
          <w:tcPr>
            <w:tcW w:w="1134" w:type="dxa"/>
            <w:tcBorders>
              <w:top w:val="nil"/>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b/>
                <w:bCs/>
              </w:rPr>
              <w:t>23.189</w:t>
            </w:r>
          </w:p>
        </w:tc>
        <w:tc>
          <w:tcPr>
            <w:tcW w:w="851" w:type="dxa"/>
            <w:tcBorders>
              <w:top w:val="nil"/>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00.600</w:t>
            </w:r>
          </w:p>
        </w:tc>
        <w:tc>
          <w:tcPr>
            <w:tcW w:w="1276" w:type="dxa"/>
            <w:tcBorders>
              <w:top w:val="nil"/>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C</w:t>
            </w:r>
            <w:r>
              <w:rPr>
                <w:rFonts w:ascii="Times New Roman" w:eastAsia="Calibri" w:hAnsi="Times New Roman" w:cs="Times New Roman"/>
                <w:vertAlign w:val="subscript"/>
              </w:rPr>
              <w:t>30</w:t>
            </w:r>
            <w:r>
              <w:rPr>
                <w:rFonts w:ascii="Times New Roman" w:eastAsia="Calibri" w:hAnsi="Times New Roman" w:cs="Times New Roman"/>
              </w:rPr>
              <w:t>H</w:t>
            </w:r>
            <w:r>
              <w:rPr>
                <w:rFonts w:ascii="Times New Roman" w:eastAsia="Calibri" w:hAnsi="Times New Roman" w:cs="Times New Roman"/>
                <w:vertAlign w:val="subscript"/>
              </w:rPr>
              <w:t>60</w:t>
            </w:r>
            <w:r>
              <w:rPr>
                <w:rFonts w:ascii="Times New Roman" w:eastAsia="Calibri" w:hAnsi="Times New Roman" w:cs="Times New Roman"/>
              </w:rPr>
              <w:t>O</w:t>
            </w:r>
            <w:r>
              <w:rPr>
                <w:rFonts w:ascii="Times New Roman" w:eastAsia="Calibri" w:hAnsi="Times New Roman" w:cs="Times New Roman"/>
                <w:vertAlign w:val="subscript"/>
              </w:rPr>
              <w:t>2</w:t>
            </w:r>
          </w:p>
        </w:tc>
        <w:tc>
          <w:tcPr>
            <w:tcW w:w="3826" w:type="dxa"/>
            <w:tcBorders>
              <w:top w:val="nil"/>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Octadecanoic acid, dodecyl ester</w:t>
            </w:r>
          </w:p>
        </w:tc>
        <w:tc>
          <w:tcPr>
            <w:tcW w:w="2835" w:type="dxa"/>
            <w:tcBorders>
              <w:top w:val="nil"/>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noProof/>
              </w:rPr>
              <w:drawing>
                <wp:inline distT="0" distB="0" distL="0" distR="0">
                  <wp:extent cx="2377440" cy="315595"/>
                  <wp:effectExtent l="0" t="0" r="3810" b="8255"/>
                  <wp:docPr id="58" name="Picture 58" descr="C:\Users\FRANK\AppData\Local\Temp\ksohtml11152\wps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Users\FRANK\AppData\Local\Temp\ksohtml11152\wps107.jp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377440" cy="315595"/>
                          </a:xfrm>
                          <a:prstGeom prst="rect">
                            <a:avLst/>
                          </a:prstGeom>
                          <a:noFill/>
                          <a:ln>
                            <a:noFill/>
                          </a:ln>
                        </pic:spPr>
                      </pic:pic>
                    </a:graphicData>
                  </a:graphic>
                </wp:inline>
              </w:drawing>
            </w:r>
          </w:p>
        </w:tc>
      </w:tr>
    </w:tbl>
    <w:p w:rsidR="003B3559" w:rsidRDefault="00727B14">
      <w:pPr>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Table3:</w:t>
      </w:r>
      <w:r w:rsidRPr="00715877">
        <w:rPr>
          <w:rFonts w:ascii="Times New Roman" w:eastAsia="Calibri" w:hAnsi="Times New Roman" w:cs="Times New Roman"/>
          <w:b/>
        </w:rPr>
        <w:t xml:space="preserve"> Identified Compounds from GC-MS Chromatogram of Methylated Re-used Deep Fried Oil</w:t>
      </w:r>
    </w:p>
    <w:tbl>
      <w:tblPr>
        <w:tblW w:w="11051" w:type="dxa"/>
        <w:tblInd w:w="-851" w:type="dxa"/>
        <w:tblLayout w:type="fixed"/>
        <w:tblLook w:val="04A0"/>
      </w:tblPr>
      <w:tblGrid>
        <w:gridCol w:w="1702"/>
        <w:gridCol w:w="992"/>
        <w:gridCol w:w="1985"/>
        <w:gridCol w:w="3240"/>
        <w:gridCol w:w="3132"/>
      </w:tblGrid>
      <w:tr w:rsidR="003B3559" w:rsidTr="00715877">
        <w:tc>
          <w:tcPr>
            <w:tcW w:w="1702" w:type="dxa"/>
            <w:tcBorders>
              <w:top w:val="single" w:sz="4" w:space="0" w:color="7F7F7F"/>
              <w:left w:val="nil"/>
              <w:right w:val="nil"/>
            </w:tcBorders>
          </w:tcPr>
          <w:p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bCs/>
              </w:rPr>
              <w:t>Retention Time</w:t>
            </w:r>
          </w:p>
        </w:tc>
        <w:tc>
          <w:tcPr>
            <w:tcW w:w="992" w:type="dxa"/>
            <w:tcBorders>
              <w:top w:val="single" w:sz="4" w:space="0" w:color="7F7F7F"/>
              <w:left w:val="nil"/>
              <w:right w:val="nil"/>
            </w:tcBorders>
          </w:tcPr>
          <w:p w:rsidR="003B3559" w:rsidRDefault="00727B14">
            <w:pPr>
              <w:spacing w:line="360" w:lineRule="auto"/>
              <w:contextualSpacing/>
              <w:jc w:val="both"/>
              <w:rPr>
                <w:rFonts w:ascii="Times New Roman" w:eastAsia="Calibri" w:hAnsi="Times New Roman" w:cs="Times New Roman"/>
                <w:b/>
                <w:bCs/>
              </w:rPr>
            </w:pPr>
            <w:r>
              <w:rPr>
                <w:rFonts w:ascii="Times New Roman" w:eastAsia="Calibri" w:hAnsi="Times New Roman" w:cs="Times New Roman"/>
                <w:b/>
                <w:bCs/>
              </w:rPr>
              <w:t>% Area</w:t>
            </w:r>
          </w:p>
        </w:tc>
        <w:tc>
          <w:tcPr>
            <w:tcW w:w="1985" w:type="dxa"/>
            <w:tcBorders>
              <w:top w:val="single" w:sz="4" w:space="0" w:color="7F7F7F"/>
              <w:left w:val="nil"/>
              <w:right w:val="nil"/>
            </w:tcBorders>
          </w:tcPr>
          <w:p w:rsidR="003B3559" w:rsidRPr="00715877" w:rsidRDefault="00727B14">
            <w:pPr>
              <w:spacing w:line="360" w:lineRule="auto"/>
              <w:contextualSpacing/>
              <w:jc w:val="both"/>
              <w:rPr>
                <w:rFonts w:ascii="Times New Roman" w:eastAsia="Calibri" w:hAnsi="Times New Roman" w:cs="Times New Roman"/>
                <w:b/>
                <w:bCs/>
                <w:sz w:val="20"/>
                <w:szCs w:val="20"/>
              </w:rPr>
            </w:pPr>
            <w:r w:rsidRPr="00715877">
              <w:rPr>
                <w:rFonts w:ascii="Times New Roman" w:eastAsia="Calibri" w:hAnsi="Times New Roman" w:cs="Times New Roman"/>
                <w:b/>
                <w:bCs/>
                <w:sz w:val="20"/>
                <w:szCs w:val="20"/>
              </w:rPr>
              <w:t>Molecular</w:t>
            </w:r>
          </w:p>
          <w:p w:rsidR="003B3559" w:rsidRDefault="00727B14">
            <w:pPr>
              <w:spacing w:line="360" w:lineRule="auto"/>
              <w:contextualSpacing/>
              <w:jc w:val="both"/>
              <w:rPr>
                <w:rFonts w:ascii="Times New Roman" w:eastAsia="Calibri" w:hAnsi="Times New Roman" w:cs="Times New Roman"/>
                <w:b/>
                <w:bCs/>
              </w:rPr>
            </w:pPr>
            <w:r w:rsidRPr="00715877">
              <w:rPr>
                <w:rFonts w:ascii="Times New Roman" w:eastAsia="Calibri" w:hAnsi="Times New Roman" w:cs="Times New Roman"/>
                <w:b/>
                <w:bCs/>
                <w:sz w:val="20"/>
                <w:szCs w:val="20"/>
              </w:rPr>
              <w:t>Formula</w:t>
            </w:r>
          </w:p>
        </w:tc>
        <w:tc>
          <w:tcPr>
            <w:tcW w:w="3240" w:type="dxa"/>
            <w:tcBorders>
              <w:top w:val="single" w:sz="4" w:space="0" w:color="7F7F7F"/>
              <w:left w:val="nil"/>
              <w:right w:val="nil"/>
            </w:tcBorders>
          </w:tcPr>
          <w:p w:rsidR="003B3559" w:rsidRDefault="00727B14">
            <w:pPr>
              <w:spacing w:line="360" w:lineRule="auto"/>
              <w:contextualSpacing/>
              <w:jc w:val="both"/>
              <w:rPr>
                <w:rFonts w:ascii="Times New Roman" w:eastAsia="Calibri" w:hAnsi="Times New Roman" w:cs="Times New Roman"/>
                <w:b/>
                <w:bCs/>
              </w:rPr>
            </w:pPr>
            <w:r>
              <w:rPr>
                <w:rFonts w:ascii="Times New Roman" w:eastAsia="Calibri" w:hAnsi="Times New Roman" w:cs="Times New Roman"/>
                <w:b/>
                <w:bCs/>
              </w:rPr>
              <w:t>Molecular Name</w:t>
            </w:r>
          </w:p>
        </w:tc>
        <w:tc>
          <w:tcPr>
            <w:tcW w:w="3132" w:type="dxa"/>
            <w:tcBorders>
              <w:top w:val="single" w:sz="4" w:space="0" w:color="7F7F7F"/>
              <w:left w:val="nil"/>
              <w:right w:val="nil"/>
            </w:tcBorders>
          </w:tcPr>
          <w:p w:rsidR="003B3559" w:rsidRDefault="00727B14">
            <w:pPr>
              <w:spacing w:line="360" w:lineRule="auto"/>
              <w:contextualSpacing/>
              <w:jc w:val="both"/>
              <w:rPr>
                <w:rFonts w:ascii="Times New Roman" w:eastAsia="Calibri" w:hAnsi="Times New Roman" w:cs="Times New Roman"/>
                <w:b/>
                <w:bCs/>
              </w:rPr>
            </w:pPr>
            <w:r>
              <w:rPr>
                <w:rFonts w:ascii="Times New Roman" w:eastAsia="Calibri" w:hAnsi="Times New Roman" w:cs="Times New Roman"/>
                <w:b/>
                <w:bCs/>
              </w:rPr>
              <w:t>Chemical Structure</w:t>
            </w:r>
          </w:p>
        </w:tc>
      </w:tr>
      <w:tr w:rsidR="003B3559" w:rsidTr="00715877">
        <w:tc>
          <w:tcPr>
            <w:tcW w:w="1702"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bCs/>
              </w:rPr>
            </w:pPr>
            <w:r>
              <w:rPr>
                <w:rFonts w:ascii="Times New Roman" w:eastAsia="Calibri" w:hAnsi="Times New Roman" w:cs="Times New Roman"/>
                <w:b/>
                <w:bCs/>
              </w:rPr>
              <w:t>08.123</w:t>
            </w:r>
          </w:p>
        </w:tc>
        <w:tc>
          <w:tcPr>
            <w:tcW w:w="992"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rPr>
              <w:t>00.88</w:t>
            </w:r>
          </w:p>
        </w:tc>
        <w:tc>
          <w:tcPr>
            <w:tcW w:w="1985"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C</w:t>
            </w:r>
            <w:r>
              <w:rPr>
                <w:rFonts w:ascii="Times New Roman" w:eastAsia="Calibri" w:hAnsi="Times New Roman" w:cs="Times New Roman"/>
                <w:vertAlign w:val="subscript"/>
              </w:rPr>
              <w:t>11</w:t>
            </w:r>
            <w:r>
              <w:rPr>
                <w:rFonts w:ascii="Times New Roman" w:eastAsia="Calibri" w:hAnsi="Times New Roman" w:cs="Times New Roman"/>
              </w:rPr>
              <w:t>H</w:t>
            </w:r>
            <w:r>
              <w:rPr>
                <w:rFonts w:ascii="Times New Roman" w:eastAsia="Calibri" w:hAnsi="Times New Roman" w:cs="Times New Roman"/>
                <w:vertAlign w:val="subscript"/>
              </w:rPr>
              <w:t>22</w:t>
            </w:r>
            <w:r>
              <w:rPr>
                <w:rFonts w:ascii="Times New Roman" w:eastAsia="Calibri" w:hAnsi="Times New Roman" w:cs="Times New Roman"/>
              </w:rPr>
              <w:t>O</w:t>
            </w:r>
            <w:r>
              <w:rPr>
                <w:rFonts w:ascii="Times New Roman" w:eastAsia="Calibri" w:hAnsi="Times New Roman" w:cs="Times New Roman"/>
                <w:vertAlign w:val="subscript"/>
              </w:rPr>
              <w:t>2</w:t>
            </w:r>
          </w:p>
        </w:tc>
        <w:tc>
          <w:tcPr>
            <w:tcW w:w="3240"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 xml:space="preserve">Decanoic acid, 2-methyl-ester </w:t>
            </w:r>
          </w:p>
        </w:tc>
        <w:tc>
          <w:tcPr>
            <w:tcW w:w="3132"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rPr>
            </w:pPr>
            <w:r>
              <w:rPr>
                <w:noProof/>
              </w:rPr>
              <w:drawing>
                <wp:inline distT="0" distB="0" distL="0" distR="0">
                  <wp:extent cx="1513205" cy="315595"/>
                  <wp:effectExtent l="0" t="0" r="0" b="8255"/>
                  <wp:docPr id="57" name="Picture 57" descr="C:\Users\FRANK\AppData\Local\Temp\ksohtml11152\wps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Users\FRANK\AppData\Local\Temp\ksohtml11152\wps108.jp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513205" cy="315595"/>
                          </a:xfrm>
                          <a:prstGeom prst="rect">
                            <a:avLst/>
                          </a:prstGeom>
                          <a:noFill/>
                          <a:ln>
                            <a:noFill/>
                          </a:ln>
                        </pic:spPr>
                      </pic:pic>
                    </a:graphicData>
                  </a:graphic>
                </wp:inline>
              </w:drawing>
            </w:r>
          </w:p>
        </w:tc>
      </w:tr>
      <w:tr w:rsidR="003B3559" w:rsidTr="00715877">
        <w:tc>
          <w:tcPr>
            <w:tcW w:w="1702"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bCs/>
              </w:rPr>
              <w:t>10.974</w:t>
            </w:r>
          </w:p>
        </w:tc>
        <w:tc>
          <w:tcPr>
            <w:tcW w:w="992"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rPr>
              <w:t>25.01</w:t>
            </w:r>
          </w:p>
        </w:tc>
        <w:tc>
          <w:tcPr>
            <w:tcW w:w="1985"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C</w:t>
            </w:r>
            <w:r>
              <w:rPr>
                <w:rFonts w:ascii="Times New Roman" w:eastAsia="Calibri" w:hAnsi="Times New Roman" w:cs="Times New Roman"/>
                <w:vertAlign w:val="subscript"/>
              </w:rPr>
              <w:t>13</w:t>
            </w:r>
            <w:r>
              <w:rPr>
                <w:rFonts w:ascii="Times New Roman" w:eastAsia="Calibri" w:hAnsi="Times New Roman" w:cs="Times New Roman"/>
              </w:rPr>
              <w:t>H</w:t>
            </w:r>
            <w:r>
              <w:rPr>
                <w:rFonts w:ascii="Times New Roman" w:eastAsia="Calibri" w:hAnsi="Times New Roman" w:cs="Times New Roman"/>
                <w:vertAlign w:val="subscript"/>
              </w:rPr>
              <w:t>26</w:t>
            </w:r>
            <w:r>
              <w:rPr>
                <w:rFonts w:ascii="Times New Roman" w:eastAsia="Calibri" w:hAnsi="Times New Roman" w:cs="Times New Roman"/>
              </w:rPr>
              <w:t>O</w:t>
            </w:r>
            <w:r>
              <w:rPr>
                <w:rFonts w:ascii="Times New Roman" w:eastAsia="Calibri" w:hAnsi="Times New Roman" w:cs="Times New Roman"/>
                <w:vertAlign w:val="subscript"/>
              </w:rPr>
              <w:t>2</w:t>
            </w:r>
          </w:p>
        </w:tc>
        <w:tc>
          <w:tcPr>
            <w:tcW w:w="3240"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 xml:space="preserve">Dodecanoic acid, methyl ester </w:t>
            </w:r>
          </w:p>
        </w:tc>
        <w:tc>
          <w:tcPr>
            <w:tcW w:w="3132"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rPr>
            </w:pPr>
            <w:r>
              <w:rPr>
                <w:noProof/>
              </w:rPr>
              <w:drawing>
                <wp:inline distT="0" distB="0" distL="0" distR="0">
                  <wp:extent cx="1587500" cy="299085"/>
                  <wp:effectExtent l="0" t="0" r="0" b="5715"/>
                  <wp:docPr id="56" name="Picture 56" descr="C:\Users\FRANK\AppData\Local\Temp\ksohtml11152\wps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Users\FRANK\AppData\Local\Temp\ksohtml11152\wps109.jpg"/>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587500" cy="299085"/>
                          </a:xfrm>
                          <a:prstGeom prst="rect">
                            <a:avLst/>
                          </a:prstGeom>
                          <a:noFill/>
                          <a:ln>
                            <a:noFill/>
                          </a:ln>
                        </pic:spPr>
                      </pic:pic>
                    </a:graphicData>
                  </a:graphic>
                </wp:inline>
              </w:drawing>
            </w:r>
          </w:p>
        </w:tc>
      </w:tr>
      <w:tr w:rsidR="003B3559" w:rsidTr="00715877">
        <w:tc>
          <w:tcPr>
            <w:tcW w:w="1702"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bCs/>
              </w:rPr>
              <w:t>13.965</w:t>
            </w:r>
          </w:p>
        </w:tc>
        <w:tc>
          <w:tcPr>
            <w:tcW w:w="992"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rPr>
              <w:t>13.68</w:t>
            </w:r>
          </w:p>
        </w:tc>
        <w:tc>
          <w:tcPr>
            <w:tcW w:w="1985"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C</w:t>
            </w:r>
            <w:r>
              <w:rPr>
                <w:rFonts w:ascii="Times New Roman" w:eastAsia="Calibri" w:hAnsi="Times New Roman" w:cs="Times New Roman"/>
                <w:vertAlign w:val="subscript"/>
              </w:rPr>
              <w:t>15</w:t>
            </w:r>
            <w:r>
              <w:rPr>
                <w:rFonts w:ascii="Times New Roman" w:eastAsia="Calibri" w:hAnsi="Times New Roman" w:cs="Times New Roman"/>
              </w:rPr>
              <w:t>H</w:t>
            </w:r>
            <w:r>
              <w:rPr>
                <w:rFonts w:ascii="Times New Roman" w:eastAsia="Calibri" w:hAnsi="Times New Roman" w:cs="Times New Roman"/>
                <w:vertAlign w:val="subscript"/>
              </w:rPr>
              <w:t>30</w:t>
            </w:r>
            <w:r>
              <w:rPr>
                <w:rFonts w:ascii="Times New Roman" w:eastAsia="Calibri" w:hAnsi="Times New Roman" w:cs="Times New Roman"/>
              </w:rPr>
              <w:t>O</w:t>
            </w:r>
            <w:r>
              <w:rPr>
                <w:rFonts w:ascii="Times New Roman" w:eastAsia="Calibri" w:hAnsi="Times New Roman" w:cs="Times New Roman"/>
                <w:vertAlign w:val="subscript"/>
              </w:rPr>
              <w:t>2</w:t>
            </w:r>
          </w:p>
        </w:tc>
        <w:tc>
          <w:tcPr>
            <w:tcW w:w="3240"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Methyl tetradecanoate</w:t>
            </w:r>
          </w:p>
        </w:tc>
        <w:tc>
          <w:tcPr>
            <w:tcW w:w="3132"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rPr>
            </w:pPr>
            <w:r>
              <w:rPr>
                <w:noProof/>
              </w:rPr>
              <w:drawing>
                <wp:inline distT="0" distB="0" distL="0" distR="0">
                  <wp:extent cx="1579245" cy="390525"/>
                  <wp:effectExtent l="0" t="0" r="1905" b="9525"/>
                  <wp:docPr id="55" name="Picture 55" descr="C:\Users\FRANK\AppData\Local\Temp\ksohtml11152\wps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Users\FRANK\AppData\Local\Temp\ksohtml11152\wps110.jpg"/>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579245" cy="390525"/>
                          </a:xfrm>
                          <a:prstGeom prst="rect">
                            <a:avLst/>
                          </a:prstGeom>
                          <a:noFill/>
                          <a:ln>
                            <a:noFill/>
                          </a:ln>
                        </pic:spPr>
                      </pic:pic>
                    </a:graphicData>
                  </a:graphic>
                </wp:inline>
              </w:drawing>
            </w:r>
          </w:p>
        </w:tc>
      </w:tr>
      <w:tr w:rsidR="003B3559" w:rsidTr="00715877">
        <w:tc>
          <w:tcPr>
            <w:tcW w:w="1702"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bCs/>
              </w:rPr>
              <w:t>16.727</w:t>
            </w:r>
          </w:p>
        </w:tc>
        <w:tc>
          <w:tcPr>
            <w:tcW w:w="992"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rPr>
              <w:t>10.06</w:t>
            </w:r>
          </w:p>
        </w:tc>
        <w:tc>
          <w:tcPr>
            <w:tcW w:w="1985"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C</w:t>
            </w:r>
            <w:r>
              <w:rPr>
                <w:rFonts w:ascii="Times New Roman" w:eastAsia="Calibri" w:hAnsi="Times New Roman" w:cs="Times New Roman"/>
                <w:vertAlign w:val="subscript"/>
              </w:rPr>
              <w:t>17</w:t>
            </w:r>
            <w:r>
              <w:rPr>
                <w:rFonts w:ascii="Times New Roman" w:eastAsia="Calibri" w:hAnsi="Times New Roman" w:cs="Times New Roman"/>
              </w:rPr>
              <w:t>H</w:t>
            </w:r>
            <w:r>
              <w:rPr>
                <w:rFonts w:ascii="Times New Roman" w:eastAsia="Calibri" w:hAnsi="Times New Roman" w:cs="Times New Roman"/>
                <w:vertAlign w:val="subscript"/>
              </w:rPr>
              <w:t>34</w:t>
            </w:r>
            <w:r>
              <w:rPr>
                <w:rFonts w:ascii="Times New Roman" w:eastAsia="Calibri" w:hAnsi="Times New Roman" w:cs="Times New Roman"/>
              </w:rPr>
              <w:t>O</w:t>
            </w:r>
            <w:r>
              <w:rPr>
                <w:rFonts w:ascii="Times New Roman" w:eastAsia="Calibri" w:hAnsi="Times New Roman" w:cs="Times New Roman"/>
                <w:vertAlign w:val="subscript"/>
              </w:rPr>
              <w:t>2</w:t>
            </w:r>
          </w:p>
        </w:tc>
        <w:tc>
          <w:tcPr>
            <w:tcW w:w="3240"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 xml:space="preserve">Hexadecanoic acid, methyl ester </w:t>
            </w:r>
          </w:p>
        </w:tc>
        <w:tc>
          <w:tcPr>
            <w:tcW w:w="3132"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rPr>
            </w:pPr>
            <w:r>
              <w:rPr>
                <w:noProof/>
              </w:rPr>
              <w:drawing>
                <wp:inline distT="0" distB="0" distL="0" distR="0">
                  <wp:extent cx="1587500" cy="340995"/>
                  <wp:effectExtent l="0" t="0" r="0" b="1905"/>
                  <wp:docPr id="54" name="Picture 54" descr="C:\Users\FRANK\AppData\Local\Temp\ksohtml11152\wps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Users\FRANK\AppData\Local\Temp\ksohtml11152\wps111.jpg"/>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587500" cy="340995"/>
                          </a:xfrm>
                          <a:prstGeom prst="rect">
                            <a:avLst/>
                          </a:prstGeom>
                          <a:noFill/>
                          <a:ln>
                            <a:noFill/>
                          </a:ln>
                        </pic:spPr>
                      </pic:pic>
                    </a:graphicData>
                  </a:graphic>
                </wp:inline>
              </w:drawing>
            </w:r>
          </w:p>
        </w:tc>
      </w:tr>
      <w:tr w:rsidR="003B3559" w:rsidTr="00715877">
        <w:tc>
          <w:tcPr>
            <w:tcW w:w="1702"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bCs/>
              </w:rPr>
              <w:t>18.842</w:t>
            </w:r>
          </w:p>
        </w:tc>
        <w:tc>
          <w:tcPr>
            <w:tcW w:w="992"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rPr>
              <w:t>00.38</w:t>
            </w:r>
          </w:p>
        </w:tc>
        <w:tc>
          <w:tcPr>
            <w:tcW w:w="1985"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C</w:t>
            </w:r>
            <w:r>
              <w:rPr>
                <w:rFonts w:ascii="Times New Roman" w:eastAsia="Calibri" w:hAnsi="Times New Roman" w:cs="Times New Roman"/>
                <w:vertAlign w:val="subscript"/>
              </w:rPr>
              <w:t>19</w:t>
            </w:r>
            <w:r>
              <w:rPr>
                <w:rFonts w:ascii="Times New Roman" w:eastAsia="Calibri" w:hAnsi="Times New Roman" w:cs="Times New Roman"/>
              </w:rPr>
              <w:t>H</w:t>
            </w:r>
            <w:r>
              <w:rPr>
                <w:rFonts w:ascii="Times New Roman" w:eastAsia="Calibri" w:hAnsi="Times New Roman" w:cs="Times New Roman"/>
                <w:vertAlign w:val="subscript"/>
              </w:rPr>
              <w:t>34</w:t>
            </w:r>
            <w:r>
              <w:rPr>
                <w:rFonts w:ascii="Times New Roman" w:eastAsia="Calibri" w:hAnsi="Times New Roman" w:cs="Times New Roman"/>
              </w:rPr>
              <w:t>O</w:t>
            </w:r>
            <w:r>
              <w:rPr>
                <w:rFonts w:ascii="Times New Roman" w:eastAsia="Calibri" w:hAnsi="Times New Roman" w:cs="Times New Roman"/>
                <w:vertAlign w:val="subscript"/>
              </w:rPr>
              <w:t>2</w:t>
            </w:r>
          </w:p>
        </w:tc>
        <w:tc>
          <w:tcPr>
            <w:tcW w:w="3240"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 xml:space="preserve">n-Propyl 9,12-hexadecadienoate  </w:t>
            </w:r>
          </w:p>
        </w:tc>
        <w:tc>
          <w:tcPr>
            <w:tcW w:w="3132"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rPr>
            </w:pPr>
            <w:r>
              <w:rPr>
                <w:noProof/>
              </w:rPr>
              <w:drawing>
                <wp:inline distT="0" distB="0" distL="0" distR="0">
                  <wp:extent cx="1521460" cy="390525"/>
                  <wp:effectExtent l="0" t="0" r="2540" b="9525"/>
                  <wp:docPr id="53" name="Picture 53" descr="C:\Users\FRANK\AppData\Local\Temp\ksohtml11152\wps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Users\FRANK\AppData\Local\Temp\ksohtml11152\wps112.jpg"/>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521460" cy="390525"/>
                          </a:xfrm>
                          <a:prstGeom prst="rect">
                            <a:avLst/>
                          </a:prstGeom>
                          <a:noFill/>
                          <a:ln>
                            <a:noFill/>
                          </a:ln>
                        </pic:spPr>
                      </pic:pic>
                    </a:graphicData>
                  </a:graphic>
                </wp:inline>
              </w:drawing>
            </w:r>
          </w:p>
        </w:tc>
      </w:tr>
      <w:tr w:rsidR="003B3559" w:rsidTr="00715877">
        <w:tc>
          <w:tcPr>
            <w:tcW w:w="1702"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bCs/>
              </w:rPr>
              <w:t>18.914</w:t>
            </w:r>
          </w:p>
        </w:tc>
        <w:tc>
          <w:tcPr>
            <w:tcW w:w="992"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rPr>
              <w:t>16.41</w:t>
            </w:r>
          </w:p>
        </w:tc>
        <w:tc>
          <w:tcPr>
            <w:tcW w:w="1985"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C</w:t>
            </w:r>
            <w:r>
              <w:rPr>
                <w:rFonts w:ascii="Times New Roman" w:eastAsia="Calibri" w:hAnsi="Times New Roman" w:cs="Times New Roman"/>
                <w:vertAlign w:val="subscript"/>
              </w:rPr>
              <w:t>19</w:t>
            </w:r>
            <w:r>
              <w:rPr>
                <w:rFonts w:ascii="Times New Roman" w:eastAsia="Calibri" w:hAnsi="Times New Roman" w:cs="Times New Roman"/>
              </w:rPr>
              <w:t>H</w:t>
            </w:r>
            <w:r>
              <w:rPr>
                <w:rFonts w:ascii="Times New Roman" w:eastAsia="Calibri" w:hAnsi="Times New Roman" w:cs="Times New Roman"/>
                <w:vertAlign w:val="subscript"/>
              </w:rPr>
              <w:t>36</w:t>
            </w:r>
            <w:r>
              <w:rPr>
                <w:rFonts w:ascii="Times New Roman" w:eastAsia="Calibri" w:hAnsi="Times New Roman" w:cs="Times New Roman"/>
              </w:rPr>
              <w:t>O</w:t>
            </w:r>
            <w:r>
              <w:rPr>
                <w:rFonts w:ascii="Times New Roman" w:eastAsia="Calibri" w:hAnsi="Times New Roman" w:cs="Times New Roman"/>
                <w:vertAlign w:val="subscript"/>
              </w:rPr>
              <w:t>2</w:t>
            </w:r>
          </w:p>
        </w:tc>
        <w:tc>
          <w:tcPr>
            <w:tcW w:w="3240"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 xml:space="preserve">11-Octadecenoic acid, methyl ester </w:t>
            </w:r>
          </w:p>
        </w:tc>
        <w:tc>
          <w:tcPr>
            <w:tcW w:w="3132"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rPr>
            </w:pPr>
            <w:r>
              <w:rPr>
                <w:noProof/>
              </w:rPr>
              <w:drawing>
                <wp:inline distT="0" distB="0" distL="0" distR="0">
                  <wp:extent cx="1961515" cy="365760"/>
                  <wp:effectExtent l="0" t="0" r="635" b="0"/>
                  <wp:docPr id="52" name="Picture 52" descr="C:\Users\FRANK\AppData\Local\Temp\ksohtml11152\wps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Users\FRANK\AppData\Local\Temp\ksohtml11152\wps113.jp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961515" cy="365760"/>
                          </a:xfrm>
                          <a:prstGeom prst="rect">
                            <a:avLst/>
                          </a:prstGeom>
                          <a:noFill/>
                          <a:ln>
                            <a:noFill/>
                          </a:ln>
                        </pic:spPr>
                      </pic:pic>
                    </a:graphicData>
                  </a:graphic>
                </wp:inline>
              </w:drawing>
            </w:r>
          </w:p>
        </w:tc>
      </w:tr>
      <w:tr w:rsidR="003B3559" w:rsidTr="00715877">
        <w:tc>
          <w:tcPr>
            <w:tcW w:w="1702"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bCs/>
              </w:rPr>
              <w:t>19.262</w:t>
            </w:r>
          </w:p>
        </w:tc>
        <w:tc>
          <w:tcPr>
            <w:tcW w:w="992"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rPr>
              <w:t>04.89</w:t>
            </w:r>
          </w:p>
        </w:tc>
        <w:tc>
          <w:tcPr>
            <w:tcW w:w="1985"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C</w:t>
            </w:r>
            <w:r>
              <w:rPr>
                <w:rFonts w:ascii="Times New Roman" w:eastAsia="Calibri" w:hAnsi="Times New Roman" w:cs="Times New Roman"/>
                <w:vertAlign w:val="subscript"/>
              </w:rPr>
              <w:t>19</w:t>
            </w:r>
            <w:r>
              <w:rPr>
                <w:rFonts w:ascii="Times New Roman" w:eastAsia="Calibri" w:hAnsi="Times New Roman" w:cs="Times New Roman"/>
              </w:rPr>
              <w:t>H</w:t>
            </w:r>
            <w:r>
              <w:rPr>
                <w:rFonts w:ascii="Times New Roman" w:eastAsia="Calibri" w:hAnsi="Times New Roman" w:cs="Times New Roman"/>
                <w:vertAlign w:val="subscript"/>
              </w:rPr>
              <w:t>38</w:t>
            </w:r>
            <w:r>
              <w:rPr>
                <w:rFonts w:ascii="Times New Roman" w:eastAsia="Calibri" w:hAnsi="Times New Roman" w:cs="Times New Roman"/>
              </w:rPr>
              <w:t>O</w:t>
            </w:r>
            <w:r>
              <w:rPr>
                <w:rFonts w:ascii="Times New Roman" w:eastAsia="Calibri" w:hAnsi="Times New Roman" w:cs="Times New Roman"/>
                <w:vertAlign w:val="subscript"/>
              </w:rPr>
              <w:t>2</w:t>
            </w:r>
          </w:p>
        </w:tc>
        <w:tc>
          <w:tcPr>
            <w:tcW w:w="3240"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 xml:space="preserve">Methyl stearate  </w:t>
            </w:r>
          </w:p>
        </w:tc>
        <w:tc>
          <w:tcPr>
            <w:tcW w:w="3132"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rPr>
            </w:pPr>
            <w:r>
              <w:rPr>
                <w:noProof/>
              </w:rPr>
              <w:drawing>
                <wp:inline distT="0" distB="0" distL="0" distR="0">
                  <wp:extent cx="1953260" cy="274320"/>
                  <wp:effectExtent l="0" t="0" r="8890" b="0"/>
                  <wp:docPr id="51" name="Picture 51" descr="C:\Users\FRANK\AppData\Local\Temp\ksohtml11152\wps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Users\FRANK\AppData\Local\Temp\ksohtml11152\wps114.jpg"/>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953260" cy="274320"/>
                          </a:xfrm>
                          <a:prstGeom prst="rect">
                            <a:avLst/>
                          </a:prstGeom>
                          <a:noFill/>
                          <a:ln>
                            <a:noFill/>
                          </a:ln>
                        </pic:spPr>
                      </pic:pic>
                    </a:graphicData>
                  </a:graphic>
                </wp:inline>
              </w:drawing>
            </w:r>
          </w:p>
        </w:tc>
      </w:tr>
      <w:tr w:rsidR="003B3559" w:rsidTr="00715877">
        <w:tc>
          <w:tcPr>
            <w:tcW w:w="1702"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bCs/>
              </w:rPr>
              <w:t>20.677</w:t>
            </w:r>
          </w:p>
        </w:tc>
        <w:tc>
          <w:tcPr>
            <w:tcW w:w="992"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rPr>
              <w:t>25.47</w:t>
            </w:r>
          </w:p>
        </w:tc>
        <w:tc>
          <w:tcPr>
            <w:tcW w:w="1985"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C</w:t>
            </w:r>
            <w:r>
              <w:rPr>
                <w:rFonts w:ascii="Times New Roman" w:eastAsia="Calibri" w:hAnsi="Times New Roman" w:cs="Times New Roman"/>
                <w:vertAlign w:val="subscript"/>
              </w:rPr>
              <w:t>27</w:t>
            </w:r>
            <w:r>
              <w:rPr>
                <w:rFonts w:ascii="Times New Roman" w:eastAsia="Calibri" w:hAnsi="Times New Roman" w:cs="Times New Roman"/>
              </w:rPr>
              <w:t>H</w:t>
            </w:r>
            <w:r>
              <w:rPr>
                <w:rFonts w:ascii="Times New Roman" w:eastAsia="Calibri" w:hAnsi="Times New Roman" w:cs="Times New Roman"/>
                <w:vertAlign w:val="subscript"/>
              </w:rPr>
              <w:t>46</w:t>
            </w:r>
            <w:r>
              <w:rPr>
                <w:rFonts w:ascii="Times New Roman" w:eastAsia="Calibri" w:hAnsi="Times New Roman" w:cs="Times New Roman"/>
              </w:rPr>
              <w:t>O</w:t>
            </w:r>
          </w:p>
        </w:tc>
        <w:tc>
          <w:tcPr>
            <w:tcW w:w="3240"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 xml:space="preserve">Cholesterol </w:t>
            </w:r>
          </w:p>
        </w:tc>
        <w:tc>
          <w:tcPr>
            <w:tcW w:w="3132"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rPr>
            </w:pPr>
            <w:r>
              <w:rPr>
                <w:noProof/>
              </w:rPr>
              <w:drawing>
                <wp:inline distT="0" distB="0" distL="0" distR="0">
                  <wp:extent cx="2078355" cy="307340"/>
                  <wp:effectExtent l="0" t="0" r="0" b="0"/>
                  <wp:docPr id="50" name="Picture 50" descr="C:\Users\FRANK\AppData\Local\Temp\ksohtml11152\wps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Users\FRANK\AppData\Local\Temp\ksohtml11152\wps115.jpg"/>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078355" cy="307340"/>
                          </a:xfrm>
                          <a:prstGeom prst="rect">
                            <a:avLst/>
                          </a:prstGeom>
                          <a:noFill/>
                          <a:ln>
                            <a:noFill/>
                          </a:ln>
                        </pic:spPr>
                      </pic:pic>
                    </a:graphicData>
                  </a:graphic>
                </wp:inline>
              </w:drawing>
            </w:r>
          </w:p>
        </w:tc>
      </w:tr>
      <w:tr w:rsidR="003B3559" w:rsidTr="00715877">
        <w:tc>
          <w:tcPr>
            <w:tcW w:w="1702"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bCs/>
              </w:rPr>
              <w:t>21.075</w:t>
            </w:r>
          </w:p>
        </w:tc>
        <w:tc>
          <w:tcPr>
            <w:tcW w:w="992"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rPr>
              <w:t>00.49</w:t>
            </w:r>
          </w:p>
        </w:tc>
        <w:tc>
          <w:tcPr>
            <w:tcW w:w="1985"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C</w:t>
            </w:r>
            <w:r>
              <w:rPr>
                <w:rFonts w:ascii="Times New Roman" w:eastAsia="Calibri" w:hAnsi="Times New Roman" w:cs="Times New Roman"/>
                <w:vertAlign w:val="subscript"/>
              </w:rPr>
              <w:t>32</w:t>
            </w:r>
            <w:r>
              <w:rPr>
                <w:rFonts w:ascii="Times New Roman" w:eastAsia="Calibri" w:hAnsi="Times New Roman" w:cs="Times New Roman"/>
              </w:rPr>
              <w:t>H</w:t>
            </w:r>
            <w:r>
              <w:rPr>
                <w:rFonts w:ascii="Times New Roman" w:eastAsia="Calibri" w:hAnsi="Times New Roman" w:cs="Times New Roman"/>
                <w:vertAlign w:val="subscript"/>
              </w:rPr>
              <w:t>54</w:t>
            </w:r>
            <w:r>
              <w:rPr>
                <w:rFonts w:ascii="Times New Roman" w:eastAsia="Calibri" w:hAnsi="Times New Roman" w:cs="Times New Roman"/>
              </w:rPr>
              <w:t>O</w:t>
            </w:r>
            <w:r>
              <w:rPr>
                <w:rFonts w:ascii="Times New Roman" w:eastAsia="Calibri" w:hAnsi="Times New Roman" w:cs="Times New Roman"/>
                <w:vertAlign w:val="subscript"/>
              </w:rPr>
              <w:t>2</w:t>
            </w:r>
          </w:p>
        </w:tc>
        <w:tc>
          <w:tcPr>
            <w:tcW w:w="3240"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 xml:space="preserve">Ergost-5-en-3-ol, 22,23-dimethyl-, acetate, </w:t>
            </w:r>
          </w:p>
        </w:tc>
        <w:tc>
          <w:tcPr>
            <w:tcW w:w="3132"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rPr>
            </w:pPr>
            <w:r>
              <w:rPr>
                <w:noProof/>
              </w:rPr>
              <w:drawing>
                <wp:inline distT="0" distB="0" distL="0" distR="0">
                  <wp:extent cx="2178050" cy="398780"/>
                  <wp:effectExtent l="0" t="0" r="0" b="1270"/>
                  <wp:docPr id="49" name="Picture 49" descr="C:\Users\FRANK\AppData\Local\Temp\ksohtml11152\wps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Users\FRANK\AppData\Local\Temp\ksohtml11152\wps116.jpg"/>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178050" cy="398780"/>
                          </a:xfrm>
                          <a:prstGeom prst="rect">
                            <a:avLst/>
                          </a:prstGeom>
                          <a:noFill/>
                          <a:ln>
                            <a:noFill/>
                          </a:ln>
                        </pic:spPr>
                      </pic:pic>
                    </a:graphicData>
                  </a:graphic>
                </wp:inline>
              </w:drawing>
            </w:r>
          </w:p>
        </w:tc>
      </w:tr>
      <w:tr w:rsidR="003B3559" w:rsidTr="00715877">
        <w:tc>
          <w:tcPr>
            <w:tcW w:w="1702"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bCs/>
              </w:rPr>
              <w:t>21.557</w:t>
            </w:r>
          </w:p>
        </w:tc>
        <w:tc>
          <w:tcPr>
            <w:tcW w:w="992"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rPr>
              <w:t>00.37</w:t>
            </w:r>
          </w:p>
        </w:tc>
        <w:tc>
          <w:tcPr>
            <w:tcW w:w="1985"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C</w:t>
            </w:r>
            <w:r>
              <w:rPr>
                <w:rFonts w:ascii="Times New Roman" w:eastAsia="Calibri" w:hAnsi="Times New Roman" w:cs="Times New Roman"/>
                <w:vertAlign w:val="subscript"/>
              </w:rPr>
              <w:t>25</w:t>
            </w:r>
            <w:r>
              <w:rPr>
                <w:rFonts w:ascii="Times New Roman" w:eastAsia="Calibri" w:hAnsi="Times New Roman" w:cs="Times New Roman"/>
              </w:rPr>
              <w:t>H</w:t>
            </w:r>
            <w:r>
              <w:rPr>
                <w:rFonts w:ascii="Times New Roman" w:eastAsia="Calibri" w:hAnsi="Times New Roman" w:cs="Times New Roman"/>
                <w:vertAlign w:val="subscript"/>
              </w:rPr>
              <w:t>52</w:t>
            </w:r>
          </w:p>
        </w:tc>
        <w:tc>
          <w:tcPr>
            <w:tcW w:w="3240"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-methyltetracosane</w:t>
            </w:r>
          </w:p>
        </w:tc>
        <w:tc>
          <w:tcPr>
            <w:tcW w:w="3132"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rPr>
            </w:pPr>
            <w:r>
              <w:rPr>
                <w:noProof/>
              </w:rPr>
              <w:drawing>
                <wp:inline distT="0" distB="0" distL="0" distR="0">
                  <wp:extent cx="1961515" cy="374015"/>
                  <wp:effectExtent l="0" t="0" r="635" b="6985"/>
                  <wp:docPr id="48" name="Picture 48" descr="C:\Users\FRANK\AppData\Local\Temp\ksohtml11152\wps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Users\FRANK\AppData\Local\Temp\ksohtml11152\wps117.jpg"/>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961515" cy="374015"/>
                          </a:xfrm>
                          <a:prstGeom prst="rect">
                            <a:avLst/>
                          </a:prstGeom>
                          <a:noFill/>
                          <a:ln>
                            <a:noFill/>
                          </a:ln>
                        </pic:spPr>
                      </pic:pic>
                    </a:graphicData>
                  </a:graphic>
                </wp:inline>
              </w:drawing>
            </w:r>
          </w:p>
        </w:tc>
      </w:tr>
      <w:tr w:rsidR="003B3559" w:rsidTr="00715877">
        <w:tc>
          <w:tcPr>
            <w:tcW w:w="1702"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bCs/>
              </w:rPr>
              <w:t>21.877</w:t>
            </w:r>
          </w:p>
        </w:tc>
        <w:tc>
          <w:tcPr>
            <w:tcW w:w="992"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rPr>
              <w:t>00.17</w:t>
            </w:r>
          </w:p>
        </w:tc>
        <w:tc>
          <w:tcPr>
            <w:tcW w:w="1985"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C</w:t>
            </w:r>
            <w:r>
              <w:rPr>
                <w:rFonts w:ascii="Times New Roman" w:eastAsia="Calibri" w:hAnsi="Times New Roman" w:cs="Times New Roman"/>
                <w:vertAlign w:val="subscript"/>
              </w:rPr>
              <w:t>13</w:t>
            </w:r>
            <w:r>
              <w:rPr>
                <w:rFonts w:ascii="Times New Roman" w:eastAsia="Calibri" w:hAnsi="Times New Roman" w:cs="Times New Roman"/>
              </w:rPr>
              <w:t>H</w:t>
            </w:r>
            <w:r>
              <w:rPr>
                <w:rFonts w:ascii="Times New Roman" w:eastAsia="Calibri" w:hAnsi="Times New Roman" w:cs="Times New Roman"/>
                <w:vertAlign w:val="subscript"/>
              </w:rPr>
              <w:t>26</w:t>
            </w:r>
            <w:r>
              <w:rPr>
                <w:rFonts w:ascii="Times New Roman" w:eastAsia="Calibri" w:hAnsi="Times New Roman" w:cs="Times New Roman"/>
              </w:rPr>
              <w:t>O</w:t>
            </w:r>
            <w:r>
              <w:rPr>
                <w:rFonts w:ascii="Times New Roman" w:eastAsia="Calibri" w:hAnsi="Times New Roman" w:cs="Times New Roman"/>
                <w:vertAlign w:val="subscript"/>
              </w:rPr>
              <w:t>2</w:t>
            </w:r>
          </w:p>
        </w:tc>
        <w:tc>
          <w:tcPr>
            <w:tcW w:w="3240"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 xml:space="preserve">Undecanoic acid, 10-methyl-, methyl ester   </w:t>
            </w:r>
          </w:p>
        </w:tc>
        <w:tc>
          <w:tcPr>
            <w:tcW w:w="3132"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rPr>
            </w:pPr>
            <w:r>
              <w:rPr>
                <w:noProof/>
              </w:rPr>
              <w:drawing>
                <wp:inline distT="0" distB="0" distL="0" distR="0">
                  <wp:extent cx="1911985" cy="440690"/>
                  <wp:effectExtent l="0" t="0" r="0" b="0"/>
                  <wp:docPr id="47" name="Picture 47" descr="C:\Users\FRANK\AppData\Local\Temp\ksohtml11152\wps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Users\FRANK\AppData\Local\Temp\ksohtml11152\wps118.jpg"/>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911985" cy="440690"/>
                          </a:xfrm>
                          <a:prstGeom prst="rect">
                            <a:avLst/>
                          </a:prstGeom>
                          <a:noFill/>
                          <a:ln>
                            <a:noFill/>
                          </a:ln>
                        </pic:spPr>
                      </pic:pic>
                    </a:graphicData>
                  </a:graphic>
                </wp:inline>
              </w:drawing>
            </w:r>
          </w:p>
        </w:tc>
      </w:tr>
      <w:tr w:rsidR="003B3559" w:rsidTr="00715877">
        <w:tc>
          <w:tcPr>
            <w:tcW w:w="1702"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bCs/>
              </w:rPr>
              <w:t>22.859</w:t>
            </w:r>
          </w:p>
        </w:tc>
        <w:tc>
          <w:tcPr>
            <w:tcW w:w="992"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rPr>
              <w:t>00.27</w:t>
            </w:r>
          </w:p>
        </w:tc>
        <w:tc>
          <w:tcPr>
            <w:tcW w:w="1985"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C</w:t>
            </w:r>
            <w:r>
              <w:rPr>
                <w:rFonts w:ascii="Times New Roman" w:eastAsia="Calibri" w:hAnsi="Times New Roman" w:cs="Times New Roman"/>
                <w:vertAlign w:val="subscript"/>
              </w:rPr>
              <w:t>28</w:t>
            </w:r>
            <w:r>
              <w:rPr>
                <w:rFonts w:ascii="Times New Roman" w:eastAsia="Calibri" w:hAnsi="Times New Roman" w:cs="Times New Roman"/>
              </w:rPr>
              <w:t>H</w:t>
            </w:r>
            <w:r>
              <w:rPr>
                <w:rFonts w:ascii="Times New Roman" w:eastAsia="Calibri" w:hAnsi="Times New Roman" w:cs="Times New Roman"/>
                <w:vertAlign w:val="subscript"/>
              </w:rPr>
              <w:t>58</w:t>
            </w:r>
          </w:p>
        </w:tc>
        <w:tc>
          <w:tcPr>
            <w:tcW w:w="3240"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Octacosane</w:t>
            </w:r>
          </w:p>
        </w:tc>
        <w:tc>
          <w:tcPr>
            <w:tcW w:w="3132"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rPr>
            </w:pPr>
            <w:r>
              <w:rPr>
                <w:noProof/>
              </w:rPr>
              <w:drawing>
                <wp:inline distT="0" distB="0" distL="0" distR="0">
                  <wp:extent cx="2011680" cy="266065"/>
                  <wp:effectExtent l="0" t="0" r="7620" b="635"/>
                  <wp:docPr id="46" name="Picture 46" descr="C:\Users\FRANK\AppData\Local\Temp\ksohtml11152\wps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Users\FRANK\AppData\Local\Temp\ksohtml11152\wps119.jpg"/>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011680" cy="266065"/>
                          </a:xfrm>
                          <a:prstGeom prst="rect">
                            <a:avLst/>
                          </a:prstGeom>
                          <a:noFill/>
                          <a:ln>
                            <a:noFill/>
                          </a:ln>
                        </pic:spPr>
                      </pic:pic>
                    </a:graphicData>
                  </a:graphic>
                </wp:inline>
              </w:drawing>
            </w:r>
          </w:p>
        </w:tc>
      </w:tr>
      <w:tr w:rsidR="003B3559" w:rsidTr="00715877">
        <w:tc>
          <w:tcPr>
            <w:tcW w:w="1702" w:type="dxa"/>
            <w:tcBorders>
              <w:top w:val="single" w:sz="4" w:space="0" w:color="7F7F7F"/>
              <w:left w:val="nil"/>
              <w:bottom w:val="single" w:sz="4" w:space="0" w:color="7F7F7F"/>
              <w:right w:val="nil"/>
            </w:tcBorders>
          </w:tcPr>
          <w:p w:rsidR="003B3559" w:rsidRDefault="00727B14" w:rsidP="00715877">
            <w:pPr>
              <w:spacing w:line="360" w:lineRule="auto"/>
              <w:contextualSpacing/>
              <w:jc w:val="both"/>
              <w:rPr>
                <w:rFonts w:ascii="Times New Roman" w:eastAsia="Calibri" w:hAnsi="Times New Roman" w:cs="Times New Roman"/>
                <w:b/>
                <w:bCs/>
              </w:rPr>
            </w:pPr>
            <w:r>
              <w:rPr>
                <w:rFonts w:ascii="Times New Roman" w:eastAsia="Calibri" w:hAnsi="Times New Roman" w:cs="Times New Roman"/>
                <w:b/>
                <w:bCs/>
              </w:rPr>
              <w:lastRenderedPageBreak/>
              <w:t>24.117</w:t>
            </w:r>
          </w:p>
        </w:tc>
        <w:tc>
          <w:tcPr>
            <w:tcW w:w="992" w:type="dxa"/>
            <w:tcBorders>
              <w:top w:val="single" w:sz="4" w:space="0" w:color="7F7F7F"/>
              <w:left w:val="nil"/>
              <w:bottom w:val="single" w:sz="4" w:space="0" w:color="7F7F7F"/>
              <w:right w:val="nil"/>
            </w:tcBorders>
          </w:tcPr>
          <w:p w:rsidR="003B3559" w:rsidRDefault="00727B14" w:rsidP="00715877">
            <w:pPr>
              <w:spacing w:line="360" w:lineRule="auto"/>
              <w:contextualSpacing/>
              <w:jc w:val="both"/>
              <w:rPr>
                <w:rFonts w:ascii="Times New Roman" w:eastAsia="Calibri" w:hAnsi="Times New Roman" w:cs="Times New Roman"/>
                <w:b/>
              </w:rPr>
            </w:pPr>
            <w:r>
              <w:rPr>
                <w:rFonts w:ascii="Times New Roman" w:eastAsia="Calibri" w:hAnsi="Times New Roman" w:cs="Times New Roman"/>
                <w:b/>
              </w:rPr>
              <w:t>00.26</w:t>
            </w:r>
          </w:p>
        </w:tc>
        <w:tc>
          <w:tcPr>
            <w:tcW w:w="1985"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C</w:t>
            </w:r>
            <w:r>
              <w:rPr>
                <w:rFonts w:ascii="Times New Roman" w:eastAsia="Calibri" w:hAnsi="Times New Roman" w:cs="Times New Roman"/>
                <w:vertAlign w:val="subscript"/>
              </w:rPr>
              <w:t>44</w:t>
            </w:r>
            <w:r>
              <w:rPr>
                <w:rFonts w:ascii="Times New Roman" w:eastAsia="Calibri" w:hAnsi="Times New Roman" w:cs="Times New Roman"/>
              </w:rPr>
              <w:t>H</w:t>
            </w:r>
            <w:r>
              <w:rPr>
                <w:rFonts w:ascii="Times New Roman" w:eastAsia="Calibri" w:hAnsi="Times New Roman" w:cs="Times New Roman"/>
                <w:vertAlign w:val="subscript"/>
              </w:rPr>
              <w:t>90</w:t>
            </w:r>
          </w:p>
        </w:tc>
        <w:tc>
          <w:tcPr>
            <w:tcW w:w="3240"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Tetratetracontane</w:t>
            </w:r>
          </w:p>
        </w:tc>
        <w:tc>
          <w:tcPr>
            <w:tcW w:w="3132"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rPr>
            </w:pPr>
            <w:r>
              <w:rPr>
                <w:noProof/>
              </w:rPr>
              <w:drawing>
                <wp:inline distT="0" distB="0" distL="0" distR="0">
                  <wp:extent cx="1978660" cy="241300"/>
                  <wp:effectExtent l="0" t="0" r="2540" b="6350"/>
                  <wp:docPr id="45" name="Picture 45" descr="C:\Users\FRANK\AppData\Local\Temp\ksohtml11152\wps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Users\FRANK\AppData\Local\Temp\ksohtml11152\wps120.jpg"/>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978660" cy="241300"/>
                          </a:xfrm>
                          <a:prstGeom prst="rect">
                            <a:avLst/>
                          </a:prstGeom>
                          <a:noFill/>
                          <a:ln>
                            <a:noFill/>
                          </a:ln>
                        </pic:spPr>
                      </pic:pic>
                    </a:graphicData>
                  </a:graphic>
                </wp:inline>
              </w:drawing>
            </w:r>
          </w:p>
        </w:tc>
      </w:tr>
      <w:tr w:rsidR="003B3559" w:rsidTr="00715877">
        <w:tc>
          <w:tcPr>
            <w:tcW w:w="1702"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bCs/>
              </w:rPr>
              <w:t>27.603</w:t>
            </w:r>
          </w:p>
        </w:tc>
        <w:tc>
          <w:tcPr>
            <w:tcW w:w="992"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rPr>
              <w:t>00.29</w:t>
            </w:r>
          </w:p>
        </w:tc>
        <w:tc>
          <w:tcPr>
            <w:tcW w:w="1985"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C</w:t>
            </w:r>
            <w:r>
              <w:rPr>
                <w:rFonts w:ascii="Times New Roman" w:eastAsia="Calibri" w:hAnsi="Times New Roman" w:cs="Times New Roman"/>
                <w:vertAlign w:val="subscript"/>
              </w:rPr>
              <w:t>24</w:t>
            </w:r>
            <w:r>
              <w:rPr>
                <w:rFonts w:ascii="Times New Roman" w:eastAsia="Calibri" w:hAnsi="Times New Roman" w:cs="Times New Roman"/>
              </w:rPr>
              <w:t>H</w:t>
            </w:r>
            <w:r>
              <w:rPr>
                <w:rFonts w:ascii="Times New Roman" w:eastAsia="Calibri" w:hAnsi="Times New Roman" w:cs="Times New Roman"/>
                <w:vertAlign w:val="subscript"/>
              </w:rPr>
              <w:t>50</w:t>
            </w:r>
          </w:p>
        </w:tc>
        <w:tc>
          <w:tcPr>
            <w:tcW w:w="3240"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 xml:space="preserve">Tricosane, 2-methyl- </w:t>
            </w:r>
          </w:p>
        </w:tc>
        <w:tc>
          <w:tcPr>
            <w:tcW w:w="3132"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rPr>
            </w:pPr>
            <w:r>
              <w:rPr>
                <w:noProof/>
              </w:rPr>
              <w:drawing>
                <wp:inline distT="0" distB="0" distL="0" distR="0">
                  <wp:extent cx="1945005" cy="332740"/>
                  <wp:effectExtent l="0" t="0" r="0" b="0"/>
                  <wp:docPr id="44" name="Picture 44" descr="C:\Users\FRANK\AppData\Local\Temp\ksohtml11152\wps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Users\FRANK\AppData\Local\Temp\ksohtml11152\wps121.jpg"/>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945005" cy="332740"/>
                          </a:xfrm>
                          <a:prstGeom prst="rect">
                            <a:avLst/>
                          </a:prstGeom>
                          <a:noFill/>
                          <a:ln>
                            <a:noFill/>
                          </a:ln>
                        </pic:spPr>
                      </pic:pic>
                    </a:graphicData>
                  </a:graphic>
                </wp:inline>
              </w:drawing>
            </w:r>
          </w:p>
        </w:tc>
      </w:tr>
      <w:tr w:rsidR="003B3559" w:rsidTr="00715877">
        <w:tc>
          <w:tcPr>
            <w:tcW w:w="1702"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bCs/>
              </w:rPr>
              <w:t>27.815</w:t>
            </w:r>
          </w:p>
        </w:tc>
        <w:tc>
          <w:tcPr>
            <w:tcW w:w="992"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rPr>
              <w:t>00.65</w:t>
            </w:r>
          </w:p>
        </w:tc>
        <w:tc>
          <w:tcPr>
            <w:tcW w:w="1985"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C</w:t>
            </w:r>
            <w:r>
              <w:rPr>
                <w:rFonts w:ascii="Times New Roman" w:eastAsia="Calibri" w:hAnsi="Times New Roman" w:cs="Times New Roman"/>
                <w:vertAlign w:val="subscript"/>
              </w:rPr>
              <w:t>30</w:t>
            </w:r>
            <w:r>
              <w:rPr>
                <w:rFonts w:ascii="Times New Roman" w:eastAsia="Calibri" w:hAnsi="Times New Roman" w:cs="Times New Roman"/>
              </w:rPr>
              <w:t>H</w:t>
            </w:r>
            <w:r>
              <w:rPr>
                <w:rFonts w:ascii="Times New Roman" w:eastAsia="Calibri" w:hAnsi="Times New Roman" w:cs="Times New Roman"/>
                <w:vertAlign w:val="subscript"/>
              </w:rPr>
              <w:t>50</w:t>
            </w:r>
          </w:p>
        </w:tc>
        <w:tc>
          <w:tcPr>
            <w:tcW w:w="3240"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 xml:space="preserve">Squalene   </w:t>
            </w:r>
          </w:p>
        </w:tc>
        <w:tc>
          <w:tcPr>
            <w:tcW w:w="3132"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rPr>
            </w:pPr>
            <w:r>
              <w:rPr>
                <w:noProof/>
              </w:rPr>
              <w:drawing>
                <wp:inline distT="0" distB="0" distL="0" distR="0">
                  <wp:extent cx="1945005" cy="415925"/>
                  <wp:effectExtent l="0" t="0" r="0" b="3175"/>
                  <wp:docPr id="43" name="Picture 43" descr="C:\Users\FRANK\AppData\Local\Temp\ksohtml11152\wps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Users\FRANK\AppData\Local\Temp\ksohtml11152\wps122.jpg"/>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945005" cy="415925"/>
                          </a:xfrm>
                          <a:prstGeom prst="rect">
                            <a:avLst/>
                          </a:prstGeom>
                          <a:noFill/>
                          <a:ln>
                            <a:noFill/>
                          </a:ln>
                        </pic:spPr>
                      </pic:pic>
                    </a:graphicData>
                  </a:graphic>
                </wp:inline>
              </w:drawing>
            </w:r>
          </w:p>
        </w:tc>
      </w:tr>
      <w:tr w:rsidR="003B3559" w:rsidTr="00715877">
        <w:tc>
          <w:tcPr>
            <w:tcW w:w="1702" w:type="dxa"/>
            <w:tcBorders>
              <w:top w:val="nil"/>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bCs/>
              </w:rPr>
              <w:t>28.948</w:t>
            </w:r>
          </w:p>
          <w:p w:rsidR="003B3559" w:rsidRDefault="003B3559">
            <w:pPr>
              <w:spacing w:line="360" w:lineRule="auto"/>
              <w:contextualSpacing/>
              <w:jc w:val="both"/>
              <w:rPr>
                <w:rFonts w:ascii="Times New Roman" w:eastAsia="Calibri" w:hAnsi="Times New Roman" w:cs="Times New Roman"/>
                <w:b/>
                <w:bCs/>
              </w:rPr>
            </w:pPr>
          </w:p>
        </w:tc>
        <w:tc>
          <w:tcPr>
            <w:tcW w:w="992" w:type="dxa"/>
            <w:tcBorders>
              <w:top w:val="nil"/>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rPr>
              <w:t>2.59</w:t>
            </w:r>
          </w:p>
        </w:tc>
        <w:tc>
          <w:tcPr>
            <w:tcW w:w="1985" w:type="dxa"/>
            <w:tcBorders>
              <w:top w:val="nil"/>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C</w:t>
            </w:r>
            <w:r>
              <w:rPr>
                <w:rFonts w:ascii="Times New Roman" w:eastAsia="Calibri" w:hAnsi="Times New Roman" w:cs="Times New Roman"/>
                <w:vertAlign w:val="subscript"/>
              </w:rPr>
              <w:t>30</w:t>
            </w:r>
            <w:r>
              <w:rPr>
                <w:rFonts w:ascii="Times New Roman" w:eastAsia="Calibri" w:hAnsi="Times New Roman" w:cs="Times New Roman"/>
              </w:rPr>
              <w:t>H</w:t>
            </w:r>
            <w:r>
              <w:rPr>
                <w:rFonts w:ascii="Times New Roman" w:eastAsia="Calibri" w:hAnsi="Times New Roman" w:cs="Times New Roman"/>
                <w:vertAlign w:val="subscript"/>
              </w:rPr>
              <w:t>50</w:t>
            </w:r>
            <w:r>
              <w:rPr>
                <w:rFonts w:ascii="Times New Roman" w:eastAsia="Calibri" w:hAnsi="Times New Roman" w:cs="Times New Roman"/>
              </w:rPr>
              <w:t>O</w:t>
            </w:r>
            <w:r>
              <w:rPr>
                <w:rFonts w:ascii="Times New Roman" w:eastAsia="Calibri" w:hAnsi="Times New Roman" w:cs="Times New Roman"/>
                <w:vertAlign w:val="subscript"/>
              </w:rPr>
              <w:t>2</w:t>
            </w:r>
          </w:p>
        </w:tc>
        <w:tc>
          <w:tcPr>
            <w:tcW w:w="3240" w:type="dxa"/>
            <w:tcBorders>
              <w:top w:val="nil"/>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Cholest-5-en-3-ol (3.beta.)-, propanoate</w:t>
            </w:r>
          </w:p>
        </w:tc>
        <w:tc>
          <w:tcPr>
            <w:tcW w:w="3132" w:type="dxa"/>
            <w:tcBorders>
              <w:top w:val="nil"/>
              <w:left w:val="nil"/>
              <w:bottom w:val="single" w:sz="4" w:space="0" w:color="7F7F7F"/>
              <w:right w:val="nil"/>
            </w:tcBorders>
          </w:tcPr>
          <w:p w:rsidR="003B3559" w:rsidRDefault="00727B14">
            <w:pPr>
              <w:spacing w:line="360" w:lineRule="auto"/>
              <w:contextualSpacing/>
              <w:jc w:val="both"/>
            </w:pPr>
            <w:r>
              <w:rPr>
                <w:noProof/>
              </w:rPr>
              <w:drawing>
                <wp:inline distT="0" distB="0" distL="0" distR="0">
                  <wp:extent cx="1678940" cy="581660"/>
                  <wp:effectExtent l="0" t="0" r="0" b="8890"/>
                  <wp:docPr id="42" name="Picture 42" descr="C:\Users\FRANK\AppData\Local\Temp\ksohtml11152\wps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Users\FRANK\AppData\Local\Temp\ksohtml11152\wps123.jpg"/>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678940" cy="581660"/>
                          </a:xfrm>
                          <a:prstGeom prst="rect">
                            <a:avLst/>
                          </a:prstGeom>
                          <a:noFill/>
                          <a:ln>
                            <a:noFill/>
                          </a:ln>
                        </pic:spPr>
                      </pic:pic>
                    </a:graphicData>
                  </a:graphic>
                </wp:inline>
              </w:drawing>
            </w:r>
          </w:p>
        </w:tc>
      </w:tr>
    </w:tbl>
    <w:p w:rsidR="003B3559" w:rsidRDefault="00727B14" w:rsidP="00715877">
      <w:pPr>
        <w:spacing w:after="0" w:line="480" w:lineRule="auto"/>
        <w:ind w:hanging="284"/>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Table 4a:</w:t>
      </w:r>
      <w:r w:rsidRPr="00715877">
        <w:rPr>
          <w:rFonts w:ascii="Times New Roman" w:eastAsia="Calibri" w:hAnsi="Times New Roman" w:cs="Times New Roman"/>
          <w:b/>
        </w:rPr>
        <w:t xml:space="preserve"> Identified Compounds from GC-MS Chromatogram of Derivatized Re-used Deep Fried Oil</w:t>
      </w:r>
    </w:p>
    <w:tbl>
      <w:tblPr>
        <w:tblW w:w="0" w:type="auto"/>
        <w:tblInd w:w="-284" w:type="dxa"/>
        <w:tblLayout w:type="fixed"/>
        <w:tblLook w:val="04A0"/>
      </w:tblPr>
      <w:tblGrid>
        <w:gridCol w:w="1277"/>
        <w:gridCol w:w="840"/>
        <w:gridCol w:w="1472"/>
        <w:gridCol w:w="2649"/>
        <w:gridCol w:w="3072"/>
      </w:tblGrid>
      <w:tr w:rsidR="003B3559">
        <w:tc>
          <w:tcPr>
            <w:tcW w:w="1277" w:type="dxa"/>
            <w:tcBorders>
              <w:top w:val="single" w:sz="4" w:space="0" w:color="7F7F7F"/>
              <w:left w:val="nil"/>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Retention Time</w:t>
            </w:r>
          </w:p>
        </w:tc>
        <w:tc>
          <w:tcPr>
            <w:tcW w:w="840" w:type="dxa"/>
            <w:tcBorders>
              <w:top w:val="single" w:sz="4" w:space="0" w:color="7F7F7F"/>
              <w:left w:val="nil"/>
              <w:right w:val="nil"/>
            </w:tcBorders>
          </w:tcPr>
          <w:p w:rsidR="003B3559" w:rsidRDefault="00727B14">
            <w:pPr>
              <w:spacing w:line="36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bCs/>
                <w:sz w:val="24"/>
                <w:szCs w:val="24"/>
              </w:rPr>
              <w:t>% Area</w:t>
            </w:r>
          </w:p>
        </w:tc>
        <w:tc>
          <w:tcPr>
            <w:tcW w:w="1472" w:type="dxa"/>
            <w:tcBorders>
              <w:top w:val="single" w:sz="4" w:space="0" w:color="7F7F7F"/>
              <w:left w:val="nil"/>
              <w:right w:val="nil"/>
            </w:tcBorders>
          </w:tcPr>
          <w:p w:rsidR="003B3559" w:rsidRDefault="00727B14">
            <w:pPr>
              <w:spacing w:line="36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bCs/>
                <w:sz w:val="24"/>
                <w:szCs w:val="24"/>
              </w:rPr>
              <w:t>Molecular</w:t>
            </w:r>
          </w:p>
          <w:p w:rsidR="003B3559" w:rsidRDefault="00727B14">
            <w:pPr>
              <w:spacing w:line="36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bCs/>
                <w:sz w:val="24"/>
                <w:szCs w:val="24"/>
              </w:rPr>
              <w:t>Formula</w:t>
            </w:r>
          </w:p>
        </w:tc>
        <w:tc>
          <w:tcPr>
            <w:tcW w:w="2649" w:type="dxa"/>
            <w:tcBorders>
              <w:top w:val="single" w:sz="4" w:space="0" w:color="7F7F7F"/>
              <w:left w:val="nil"/>
              <w:right w:val="nil"/>
            </w:tcBorders>
          </w:tcPr>
          <w:p w:rsidR="003B3559" w:rsidRDefault="00727B14">
            <w:pPr>
              <w:spacing w:line="36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bCs/>
                <w:sz w:val="24"/>
                <w:szCs w:val="24"/>
              </w:rPr>
              <w:t>Molecular Name</w:t>
            </w:r>
          </w:p>
        </w:tc>
        <w:tc>
          <w:tcPr>
            <w:tcW w:w="3072" w:type="dxa"/>
            <w:tcBorders>
              <w:top w:val="single" w:sz="4" w:space="0" w:color="7F7F7F"/>
              <w:left w:val="nil"/>
              <w:right w:val="nil"/>
            </w:tcBorders>
          </w:tcPr>
          <w:p w:rsidR="003B3559" w:rsidRDefault="00727B14">
            <w:pPr>
              <w:spacing w:line="36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bCs/>
                <w:sz w:val="24"/>
                <w:szCs w:val="24"/>
              </w:rPr>
              <w:t>Molecular Structure</w:t>
            </w:r>
          </w:p>
        </w:tc>
      </w:tr>
      <w:tr w:rsidR="003B3559">
        <w:tc>
          <w:tcPr>
            <w:tcW w:w="1277"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bCs/>
                <w:sz w:val="24"/>
                <w:szCs w:val="24"/>
              </w:rPr>
              <w:t>3.551</w:t>
            </w:r>
          </w:p>
        </w:tc>
        <w:tc>
          <w:tcPr>
            <w:tcW w:w="840"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0.10</w:t>
            </w:r>
          </w:p>
        </w:tc>
        <w:tc>
          <w:tcPr>
            <w:tcW w:w="1472"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10</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18</w:t>
            </w:r>
            <w:r>
              <w:rPr>
                <w:rFonts w:ascii="Times New Roman" w:eastAsia="Calibri" w:hAnsi="Times New Roman" w:cs="Times New Roman"/>
                <w:sz w:val="24"/>
                <w:szCs w:val="24"/>
              </w:rPr>
              <w:t>O</w:t>
            </w:r>
          </w:p>
        </w:tc>
        <w:tc>
          <w:tcPr>
            <w:tcW w:w="2649"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2-Decenal, (E)-</w:t>
            </w:r>
          </w:p>
        </w:tc>
        <w:tc>
          <w:tcPr>
            <w:tcW w:w="3072"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extent cx="1554480" cy="340995"/>
                  <wp:effectExtent l="0" t="0" r="7620" b="1905"/>
                  <wp:docPr id="41" name="Picture 41" descr="C:\Users\FRANK\AppData\Local\Temp\ksohtml11152\wps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Users\FRANK\AppData\Local\Temp\ksohtml11152\wps124.jpg"/>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554480" cy="340995"/>
                          </a:xfrm>
                          <a:prstGeom prst="rect">
                            <a:avLst/>
                          </a:prstGeom>
                          <a:noFill/>
                          <a:ln>
                            <a:noFill/>
                          </a:ln>
                        </pic:spPr>
                      </pic:pic>
                    </a:graphicData>
                  </a:graphic>
                </wp:inline>
              </w:drawing>
            </w:r>
          </w:p>
        </w:tc>
      </w:tr>
      <w:tr w:rsidR="003B3559">
        <w:tc>
          <w:tcPr>
            <w:tcW w:w="1277"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3.619</w:t>
            </w:r>
          </w:p>
        </w:tc>
        <w:tc>
          <w:tcPr>
            <w:tcW w:w="840"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0.04</w:t>
            </w:r>
          </w:p>
        </w:tc>
        <w:tc>
          <w:tcPr>
            <w:tcW w:w="1472"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10</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16</w:t>
            </w:r>
            <w:r>
              <w:rPr>
                <w:rFonts w:ascii="Times New Roman" w:eastAsia="Calibri" w:hAnsi="Times New Roman" w:cs="Times New Roman"/>
                <w:sz w:val="24"/>
                <w:szCs w:val="24"/>
              </w:rPr>
              <w:t>O</w:t>
            </w:r>
          </w:p>
        </w:tc>
        <w:tc>
          <w:tcPr>
            <w:tcW w:w="2649"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2,4-Decadienal</w:t>
            </w:r>
          </w:p>
        </w:tc>
        <w:tc>
          <w:tcPr>
            <w:tcW w:w="3072"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extent cx="1521460" cy="257810"/>
                  <wp:effectExtent l="0" t="0" r="2540" b="8890"/>
                  <wp:docPr id="40" name="Picture 40" descr="C:\Users\FRANK\AppData\Local\Temp\ksohtml11152\wps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Users\FRANK\AppData\Local\Temp\ksohtml11152\wps125.jpg"/>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521460" cy="257810"/>
                          </a:xfrm>
                          <a:prstGeom prst="rect">
                            <a:avLst/>
                          </a:prstGeom>
                          <a:noFill/>
                          <a:ln>
                            <a:noFill/>
                          </a:ln>
                        </pic:spPr>
                      </pic:pic>
                    </a:graphicData>
                  </a:graphic>
                </wp:inline>
              </w:drawing>
            </w:r>
          </w:p>
        </w:tc>
      </w:tr>
      <w:tr w:rsidR="003B3559">
        <w:tc>
          <w:tcPr>
            <w:tcW w:w="1277"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3.767</w:t>
            </w:r>
          </w:p>
        </w:tc>
        <w:tc>
          <w:tcPr>
            <w:tcW w:w="840"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0.05</w:t>
            </w:r>
          </w:p>
        </w:tc>
        <w:tc>
          <w:tcPr>
            <w:tcW w:w="1472"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13</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24</w:t>
            </w:r>
            <w:r>
              <w:rPr>
                <w:rFonts w:ascii="Times New Roman" w:eastAsia="Calibri" w:hAnsi="Times New Roman" w:cs="Times New Roman"/>
                <w:sz w:val="24"/>
                <w:szCs w:val="24"/>
              </w:rPr>
              <w:t>O</w:t>
            </w:r>
          </w:p>
        </w:tc>
        <w:tc>
          <w:tcPr>
            <w:tcW w:w="2649"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2-Tridecenal, (E)-</w:t>
            </w:r>
          </w:p>
        </w:tc>
        <w:tc>
          <w:tcPr>
            <w:tcW w:w="3072"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extent cx="1562735" cy="274320"/>
                  <wp:effectExtent l="0" t="0" r="0" b="0"/>
                  <wp:docPr id="39" name="Picture 39" descr="C:\Users\FRANK\AppData\Local\Temp\ksohtml11152\wps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Users\FRANK\AppData\Local\Temp\ksohtml11152\wps126.jpg"/>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562735" cy="274320"/>
                          </a:xfrm>
                          <a:prstGeom prst="rect">
                            <a:avLst/>
                          </a:prstGeom>
                          <a:noFill/>
                          <a:ln>
                            <a:noFill/>
                          </a:ln>
                        </pic:spPr>
                      </pic:pic>
                    </a:graphicData>
                  </a:graphic>
                </wp:inline>
              </w:drawing>
            </w:r>
          </w:p>
        </w:tc>
      </w:tr>
      <w:tr w:rsidR="003B3559">
        <w:tc>
          <w:tcPr>
            <w:tcW w:w="1277"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4.122</w:t>
            </w:r>
          </w:p>
        </w:tc>
        <w:tc>
          <w:tcPr>
            <w:tcW w:w="840"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0.04</w:t>
            </w:r>
          </w:p>
        </w:tc>
        <w:tc>
          <w:tcPr>
            <w:tcW w:w="1472"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10</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20</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n-Decanoic acid</w:t>
            </w:r>
          </w:p>
        </w:tc>
        <w:tc>
          <w:tcPr>
            <w:tcW w:w="3072"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extent cx="1546225" cy="324485"/>
                  <wp:effectExtent l="0" t="0" r="0" b="0"/>
                  <wp:docPr id="38" name="Picture 38" descr="C:\Users\FRANK\AppData\Local\Temp\ksohtml11152\wps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FRANK\AppData\Local\Temp\ksohtml11152\wps127.jpg"/>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546225" cy="324485"/>
                          </a:xfrm>
                          <a:prstGeom prst="rect">
                            <a:avLst/>
                          </a:prstGeom>
                          <a:noFill/>
                          <a:ln>
                            <a:noFill/>
                          </a:ln>
                        </pic:spPr>
                      </pic:pic>
                    </a:graphicData>
                  </a:graphic>
                </wp:inline>
              </w:drawing>
            </w:r>
          </w:p>
        </w:tc>
      </w:tr>
      <w:tr w:rsidR="003B3559">
        <w:tc>
          <w:tcPr>
            <w:tcW w:w="1277"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4.258</w:t>
            </w:r>
          </w:p>
        </w:tc>
        <w:tc>
          <w:tcPr>
            <w:tcW w:w="840"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0.10</w:t>
            </w:r>
          </w:p>
        </w:tc>
        <w:tc>
          <w:tcPr>
            <w:tcW w:w="1472"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12</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24</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Dodecanoic acid</w:t>
            </w:r>
          </w:p>
        </w:tc>
        <w:tc>
          <w:tcPr>
            <w:tcW w:w="3072"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extent cx="1504315" cy="257810"/>
                  <wp:effectExtent l="0" t="0" r="635" b="8890"/>
                  <wp:docPr id="37" name="Picture 37" descr="C:\Users\FRANK\AppData\Local\Temp\ksohtml11152\wps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Users\FRANK\AppData\Local\Temp\ksohtml11152\wps128.jpg"/>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504315" cy="257810"/>
                          </a:xfrm>
                          <a:prstGeom prst="rect">
                            <a:avLst/>
                          </a:prstGeom>
                          <a:noFill/>
                          <a:ln>
                            <a:noFill/>
                          </a:ln>
                        </pic:spPr>
                      </pic:pic>
                    </a:graphicData>
                  </a:graphic>
                </wp:inline>
              </w:drawing>
            </w:r>
          </w:p>
        </w:tc>
      </w:tr>
      <w:tr w:rsidR="003B3559">
        <w:tc>
          <w:tcPr>
            <w:tcW w:w="1277"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4.953</w:t>
            </w:r>
          </w:p>
        </w:tc>
        <w:tc>
          <w:tcPr>
            <w:tcW w:w="840"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0.58</w:t>
            </w:r>
          </w:p>
        </w:tc>
        <w:tc>
          <w:tcPr>
            <w:tcW w:w="1472"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19</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40</w:t>
            </w:r>
          </w:p>
        </w:tc>
        <w:tc>
          <w:tcPr>
            <w:tcW w:w="2649"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Pentadecane, 2,6,10,14-tetramethyl-</w:t>
            </w:r>
          </w:p>
        </w:tc>
        <w:tc>
          <w:tcPr>
            <w:tcW w:w="3072"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extent cx="1446530" cy="382270"/>
                  <wp:effectExtent l="0" t="0" r="1270" b="0"/>
                  <wp:docPr id="36" name="Picture 36" descr="C:\Users\FRANK\AppData\Local\Temp\ksohtml11152\wps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Users\FRANK\AppData\Local\Temp\ksohtml11152\wps129.jpg"/>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446530" cy="382270"/>
                          </a:xfrm>
                          <a:prstGeom prst="rect">
                            <a:avLst/>
                          </a:prstGeom>
                          <a:noFill/>
                          <a:ln>
                            <a:noFill/>
                          </a:ln>
                        </pic:spPr>
                      </pic:pic>
                    </a:graphicData>
                  </a:graphic>
                </wp:inline>
              </w:drawing>
            </w:r>
          </w:p>
        </w:tc>
      </w:tr>
      <w:tr w:rsidR="003B3559">
        <w:tc>
          <w:tcPr>
            <w:tcW w:w="1277"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5.064</w:t>
            </w:r>
          </w:p>
          <w:p w:rsidR="003B3559" w:rsidRDefault="003B3559">
            <w:pPr>
              <w:spacing w:line="360" w:lineRule="auto"/>
              <w:contextualSpacing/>
              <w:jc w:val="both"/>
              <w:rPr>
                <w:rFonts w:ascii="Times New Roman" w:eastAsia="Calibri" w:hAnsi="Times New Roman" w:cs="Times New Roman"/>
                <w:b/>
                <w:bCs/>
                <w:sz w:val="24"/>
                <w:szCs w:val="24"/>
              </w:rPr>
            </w:pPr>
          </w:p>
        </w:tc>
        <w:tc>
          <w:tcPr>
            <w:tcW w:w="840"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2.09</w:t>
            </w:r>
          </w:p>
        </w:tc>
        <w:tc>
          <w:tcPr>
            <w:tcW w:w="1472"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14</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28</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Tetradecanoic acid</w:t>
            </w:r>
          </w:p>
        </w:tc>
        <w:tc>
          <w:tcPr>
            <w:tcW w:w="3072"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extent cx="1554480" cy="307340"/>
                  <wp:effectExtent l="0" t="0" r="7620" b="0"/>
                  <wp:docPr id="35" name="Picture 35" descr="C:\Users\FRANK\AppData\Local\Temp\ksohtml11152\wps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Users\FRANK\AppData\Local\Temp\ksohtml11152\wps130.jpg"/>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554480" cy="307340"/>
                          </a:xfrm>
                          <a:prstGeom prst="rect">
                            <a:avLst/>
                          </a:prstGeom>
                          <a:noFill/>
                          <a:ln>
                            <a:noFill/>
                          </a:ln>
                        </pic:spPr>
                      </pic:pic>
                    </a:graphicData>
                  </a:graphic>
                </wp:inline>
              </w:drawing>
            </w:r>
          </w:p>
        </w:tc>
      </w:tr>
      <w:tr w:rsidR="003B3559">
        <w:tc>
          <w:tcPr>
            <w:tcW w:w="1277"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5.405</w:t>
            </w:r>
          </w:p>
        </w:tc>
        <w:tc>
          <w:tcPr>
            <w:tcW w:w="840"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0.25</w:t>
            </w:r>
          </w:p>
        </w:tc>
        <w:tc>
          <w:tcPr>
            <w:tcW w:w="1472"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26</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44</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5</w:t>
            </w:r>
          </w:p>
        </w:tc>
        <w:tc>
          <w:tcPr>
            <w:tcW w:w="2649"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Ethyl iso-allocholate</w:t>
            </w:r>
          </w:p>
        </w:tc>
        <w:tc>
          <w:tcPr>
            <w:tcW w:w="3072"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extent cx="1737360" cy="437322"/>
                  <wp:effectExtent l="0" t="0" r="0" b="1270"/>
                  <wp:docPr id="34" name="Picture 34" descr="C:\Users\FRANK\AppData\Local\Temp\ksohtml11152\wps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Users\FRANK\AppData\Local\Temp\ksohtml11152\wps131.jpg"/>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765802" cy="444481"/>
                          </a:xfrm>
                          <a:prstGeom prst="rect">
                            <a:avLst/>
                          </a:prstGeom>
                          <a:noFill/>
                          <a:ln>
                            <a:noFill/>
                          </a:ln>
                        </pic:spPr>
                      </pic:pic>
                    </a:graphicData>
                  </a:graphic>
                </wp:inline>
              </w:drawing>
            </w:r>
          </w:p>
        </w:tc>
      </w:tr>
      <w:tr w:rsidR="003B3559">
        <w:tc>
          <w:tcPr>
            <w:tcW w:w="1277"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5.635</w:t>
            </w:r>
          </w:p>
        </w:tc>
        <w:tc>
          <w:tcPr>
            <w:tcW w:w="840"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0.27</w:t>
            </w:r>
          </w:p>
        </w:tc>
        <w:tc>
          <w:tcPr>
            <w:tcW w:w="1472"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15</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30</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Pentadecanoic acid</w:t>
            </w:r>
          </w:p>
        </w:tc>
        <w:tc>
          <w:tcPr>
            <w:tcW w:w="3072"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extent cx="1753870" cy="315595"/>
                  <wp:effectExtent l="0" t="0" r="0" b="8255"/>
                  <wp:docPr id="33" name="Picture 33" descr="C:\Users\FRANK\AppData\Local\Temp\ksohtml11152\wps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Users\FRANK\AppData\Local\Temp\ksohtml11152\wps132.jpg"/>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753870" cy="315595"/>
                          </a:xfrm>
                          <a:prstGeom prst="rect">
                            <a:avLst/>
                          </a:prstGeom>
                          <a:noFill/>
                          <a:ln>
                            <a:noFill/>
                          </a:ln>
                        </pic:spPr>
                      </pic:pic>
                    </a:graphicData>
                  </a:graphic>
                </wp:inline>
              </w:drawing>
            </w:r>
          </w:p>
        </w:tc>
      </w:tr>
      <w:tr w:rsidR="003B3559">
        <w:tc>
          <w:tcPr>
            <w:tcW w:w="1277"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5.834</w:t>
            </w:r>
          </w:p>
        </w:tc>
        <w:tc>
          <w:tcPr>
            <w:tcW w:w="840"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0.11</w:t>
            </w:r>
          </w:p>
        </w:tc>
        <w:tc>
          <w:tcPr>
            <w:tcW w:w="1472"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18</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35</w:t>
            </w:r>
            <w:r>
              <w:rPr>
                <w:rFonts w:ascii="Times New Roman" w:eastAsia="Calibri" w:hAnsi="Times New Roman" w:cs="Times New Roman"/>
                <w:sz w:val="24"/>
                <w:szCs w:val="24"/>
              </w:rPr>
              <w:t>Cl</w:t>
            </w:r>
          </w:p>
        </w:tc>
        <w:tc>
          <w:tcPr>
            <w:tcW w:w="2649"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cis-1-Chloro-9-octadecene</w:t>
            </w:r>
          </w:p>
        </w:tc>
        <w:tc>
          <w:tcPr>
            <w:tcW w:w="3072"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extent cx="1546225" cy="249555"/>
                  <wp:effectExtent l="0" t="0" r="0" b="0"/>
                  <wp:docPr id="32" name="Picture 32" descr="C:\Users\FRANK\AppData\Local\Temp\ksohtml11152\wps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Users\FRANK\AppData\Local\Temp\ksohtml11152\wps133.jpg"/>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546225" cy="249555"/>
                          </a:xfrm>
                          <a:prstGeom prst="rect">
                            <a:avLst/>
                          </a:prstGeom>
                          <a:noFill/>
                          <a:ln>
                            <a:noFill/>
                          </a:ln>
                        </pic:spPr>
                      </pic:pic>
                    </a:graphicData>
                  </a:graphic>
                </wp:inline>
              </w:drawing>
            </w:r>
          </w:p>
        </w:tc>
      </w:tr>
      <w:tr w:rsidR="003B3559">
        <w:tc>
          <w:tcPr>
            <w:tcW w:w="1277"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6.055</w:t>
            </w:r>
          </w:p>
        </w:tc>
        <w:tc>
          <w:tcPr>
            <w:tcW w:w="840"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1.06</w:t>
            </w:r>
          </w:p>
        </w:tc>
        <w:tc>
          <w:tcPr>
            <w:tcW w:w="1472"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16</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32</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n-Hexadecanoic acid</w:t>
            </w:r>
          </w:p>
        </w:tc>
        <w:tc>
          <w:tcPr>
            <w:tcW w:w="3072"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extent cx="1579245" cy="315595"/>
                  <wp:effectExtent l="0" t="0" r="1905" b="8255"/>
                  <wp:docPr id="31" name="Picture 31" descr="C:\Users\FRANK\AppData\Local\Temp\ksohtml11152\wps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Users\FRANK\AppData\Local\Temp\ksohtml11152\wps134.jpg"/>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579245" cy="315595"/>
                          </a:xfrm>
                          <a:prstGeom prst="rect">
                            <a:avLst/>
                          </a:prstGeom>
                          <a:noFill/>
                          <a:ln>
                            <a:noFill/>
                          </a:ln>
                        </pic:spPr>
                      </pic:pic>
                    </a:graphicData>
                  </a:graphic>
                </wp:inline>
              </w:drawing>
            </w:r>
          </w:p>
        </w:tc>
      </w:tr>
      <w:tr w:rsidR="003B3559">
        <w:tc>
          <w:tcPr>
            <w:tcW w:w="1277"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lastRenderedPageBreak/>
              <w:t>6.231</w:t>
            </w:r>
          </w:p>
        </w:tc>
        <w:tc>
          <w:tcPr>
            <w:tcW w:w="840"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3.91</w:t>
            </w:r>
          </w:p>
        </w:tc>
        <w:tc>
          <w:tcPr>
            <w:tcW w:w="1472"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16</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30</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Palmitoleic acid</w:t>
            </w:r>
          </w:p>
        </w:tc>
        <w:tc>
          <w:tcPr>
            <w:tcW w:w="3072"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extent cx="1513205" cy="324485"/>
                  <wp:effectExtent l="0" t="0" r="0" b="0"/>
                  <wp:docPr id="30" name="Picture 30" descr="C:\Users\FRANK\AppData\Local\Temp\ksohtml11152\wps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Users\FRANK\AppData\Local\Temp\ksohtml11152\wps135.jpg"/>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513205" cy="324485"/>
                          </a:xfrm>
                          <a:prstGeom prst="rect">
                            <a:avLst/>
                          </a:prstGeom>
                          <a:noFill/>
                          <a:ln>
                            <a:noFill/>
                          </a:ln>
                        </pic:spPr>
                      </pic:pic>
                    </a:graphicData>
                  </a:graphic>
                </wp:inline>
              </w:drawing>
            </w:r>
          </w:p>
        </w:tc>
      </w:tr>
      <w:tr w:rsidR="003B3559">
        <w:tc>
          <w:tcPr>
            <w:tcW w:w="1277"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6.295</w:t>
            </w:r>
          </w:p>
        </w:tc>
        <w:tc>
          <w:tcPr>
            <w:tcW w:w="840"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0.53</w:t>
            </w:r>
          </w:p>
        </w:tc>
        <w:tc>
          <w:tcPr>
            <w:tcW w:w="1472"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16</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30</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9-Hexadecenoic acid</w:t>
            </w:r>
          </w:p>
        </w:tc>
        <w:tc>
          <w:tcPr>
            <w:tcW w:w="3072"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extent cx="1554480" cy="299085"/>
                  <wp:effectExtent l="0" t="0" r="7620" b="5715"/>
                  <wp:docPr id="29" name="Picture 29" descr="C:\Users\FRANK\AppData\Local\Temp\ksohtml11152\wps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Users\FRANK\AppData\Local\Temp\ksohtml11152\wps136.jpg"/>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554480" cy="299085"/>
                          </a:xfrm>
                          <a:prstGeom prst="rect">
                            <a:avLst/>
                          </a:prstGeom>
                          <a:noFill/>
                          <a:ln>
                            <a:noFill/>
                          </a:ln>
                        </pic:spPr>
                      </pic:pic>
                    </a:graphicData>
                  </a:graphic>
                </wp:inline>
              </w:drawing>
            </w:r>
          </w:p>
        </w:tc>
      </w:tr>
      <w:tr w:rsidR="003B3559">
        <w:tc>
          <w:tcPr>
            <w:tcW w:w="1277"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6.388</w:t>
            </w:r>
          </w:p>
        </w:tc>
        <w:tc>
          <w:tcPr>
            <w:tcW w:w="840"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11.61</w:t>
            </w:r>
          </w:p>
        </w:tc>
        <w:tc>
          <w:tcPr>
            <w:tcW w:w="1472"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16</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32</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n-Hexadecanoic acid</w:t>
            </w:r>
          </w:p>
        </w:tc>
        <w:tc>
          <w:tcPr>
            <w:tcW w:w="3072"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extent cx="1554480" cy="282575"/>
                  <wp:effectExtent l="0" t="0" r="7620" b="3175"/>
                  <wp:docPr id="28" name="Picture 28" descr="C:\Users\FRANK\AppData\Local\Temp\ksohtml11152\wps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Users\FRANK\AppData\Local\Temp\ksohtml11152\wps137.jpg"/>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554480" cy="282575"/>
                          </a:xfrm>
                          <a:prstGeom prst="rect">
                            <a:avLst/>
                          </a:prstGeom>
                          <a:noFill/>
                          <a:ln>
                            <a:noFill/>
                          </a:ln>
                        </pic:spPr>
                      </pic:pic>
                    </a:graphicData>
                  </a:graphic>
                </wp:inline>
              </w:drawing>
            </w:r>
          </w:p>
        </w:tc>
      </w:tr>
      <w:tr w:rsidR="003B3559">
        <w:tc>
          <w:tcPr>
            <w:tcW w:w="1277"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6.799</w:t>
            </w:r>
          </w:p>
        </w:tc>
        <w:tc>
          <w:tcPr>
            <w:tcW w:w="840"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0.07</w:t>
            </w:r>
          </w:p>
        </w:tc>
        <w:tc>
          <w:tcPr>
            <w:tcW w:w="1472"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16</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30</w:t>
            </w:r>
            <w:r>
              <w:rPr>
                <w:rFonts w:ascii="Times New Roman" w:eastAsia="Calibri" w:hAnsi="Times New Roman" w:cs="Times New Roman"/>
                <w:sz w:val="24"/>
                <w:szCs w:val="24"/>
              </w:rPr>
              <w:t>O</w:t>
            </w:r>
          </w:p>
        </w:tc>
        <w:tc>
          <w:tcPr>
            <w:tcW w:w="2649"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cis-9-Hexadecenal</w:t>
            </w:r>
          </w:p>
        </w:tc>
        <w:tc>
          <w:tcPr>
            <w:tcW w:w="3072"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extent cx="1570990" cy="644055"/>
                  <wp:effectExtent l="0" t="0" r="0" b="3810"/>
                  <wp:docPr id="27" name="Picture 27" descr="C:\Users\FRANK\AppData\Local\Temp\ksohtml11152\wps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Users\FRANK\AppData\Local\Temp\ksohtml11152\wps138.jpg"/>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583352" cy="649123"/>
                          </a:xfrm>
                          <a:prstGeom prst="rect">
                            <a:avLst/>
                          </a:prstGeom>
                          <a:noFill/>
                          <a:ln>
                            <a:noFill/>
                          </a:ln>
                        </pic:spPr>
                      </pic:pic>
                    </a:graphicData>
                  </a:graphic>
                </wp:inline>
              </w:drawing>
            </w:r>
          </w:p>
          <w:p w:rsidR="003B3559" w:rsidRDefault="003B3559">
            <w:pPr>
              <w:spacing w:line="360" w:lineRule="auto"/>
              <w:contextualSpacing/>
              <w:jc w:val="both"/>
              <w:rPr>
                <w:rFonts w:ascii="Times New Roman" w:eastAsia="Calibri" w:hAnsi="Times New Roman" w:cs="Times New Roman"/>
                <w:b/>
                <w:sz w:val="24"/>
                <w:szCs w:val="24"/>
              </w:rPr>
            </w:pPr>
          </w:p>
        </w:tc>
      </w:tr>
      <w:tr w:rsidR="003B3559">
        <w:tc>
          <w:tcPr>
            <w:tcW w:w="9310" w:type="dxa"/>
            <w:gridSpan w:val="5"/>
            <w:tcBorders>
              <w:top w:val="nil"/>
              <w:left w:val="nil"/>
              <w:bottom w:val="nil"/>
              <w:right w:val="nil"/>
            </w:tcBorders>
          </w:tcPr>
          <w:p w:rsidR="003B3559" w:rsidRDefault="0031207A">
            <w:pPr>
              <w:spacing w:line="360" w:lineRule="auto"/>
              <w:contextualSpacing/>
              <w:jc w:val="both"/>
              <w:rPr>
                <w:b/>
              </w:rPr>
            </w:pPr>
            <w:r>
              <w:rPr>
                <w:rFonts w:ascii="Times New Roman" w:eastAsia="Calibri" w:hAnsi="Times New Roman" w:cs="Times New Roman"/>
                <w:b/>
                <w:bCs/>
                <w:sz w:val="24"/>
                <w:szCs w:val="24"/>
              </w:rPr>
              <w:t xml:space="preserve">Table </w:t>
            </w:r>
            <w:r w:rsidR="00727B14">
              <w:rPr>
                <w:rFonts w:ascii="Times New Roman" w:eastAsia="Calibri" w:hAnsi="Times New Roman" w:cs="Times New Roman"/>
                <w:b/>
                <w:bCs/>
                <w:sz w:val="24"/>
                <w:szCs w:val="24"/>
              </w:rPr>
              <w:t xml:space="preserve"> 4b: Total ionized compounds found in derivatized Re-used deep fried oil</w:t>
            </w:r>
          </w:p>
        </w:tc>
      </w:tr>
      <w:tr w:rsidR="003B3559">
        <w:tc>
          <w:tcPr>
            <w:tcW w:w="1277"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bCs/>
                <w:sz w:val="24"/>
                <w:szCs w:val="24"/>
              </w:rPr>
              <w:t>6.917</w:t>
            </w:r>
          </w:p>
        </w:tc>
        <w:tc>
          <w:tcPr>
            <w:tcW w:w="840"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0.14</w:t>
            </w:r>
          </w:p>
        </w:tc>
        <w:tc>
          <w:tcPr>
            <w:tcW w:w="1472"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20</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35</w:t>
            </w:r>
            <w:r>
              <w:rPr>
                <w:rFonts w:ascii="Times New Roman" w:eastAsia="Calibri" w:hAnsi="Times New Roman" w:cs="Times New Roman"/>
                <w:sz w:val="24"/>
                <w:szCs w:val="24"/>
              </w:rPr>
              <w:t>F</w:t>
            </w:r>
            <w:r>
              <w:rPr>
                <w:rFonts w:ascii="Times New Roman" w:eastAsia="Calibri" w:hAnsi="Times New Roman" w:cs="Times New Roman"/>
                <w:sz w:val="24"/>
                <w:szCs w:val="24"/>
                <w:vertAlign w:val="subscript"/>
              </w:rPr>
              <w:t>3</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Oleyl alcohol, trifluoroacetate</w:t>
            </w:r>
          </w:p>
        </w:tc>
        <w:tc>
          <w:tcPr>
            <w:tcW w:w="3072"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extent cx="1612900" cy="681355"/>
                  <wp:effectExtent l="0" t="0" r="6350" b="4445"/>
                  <wp:docPr id="26" name="Picture 26" descr="C:\Users\FRANK\AppData\Local\Temp\ksohtml11152\wps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Users\FRANK\AppData\Local\Temp\ksohtml11152\wps139.jpg"/>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612900" cy="681355"/>
                          </a:xfrm>
                          <a:prstGeom prst="rect">
                            <a:avLst/>
                          </a:prstGeom>
                          <a:noFill/>
                          <a:ln>
                            <a:noFill/>
                          </a:ln>
                        </pic:spPr>
                      </pic:pic>
                    </a:graphicData>
                  </a:graphic>
                </wp:inline>
              </w:drawing>
            </w:r>
          </w:p>
        </w:tc>
      </w:tr>
      <w:tr w:rsidR="003B3559">
        <w:tc>
          <w:tcPr>
            <w:tcW w:w="1277"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7.126</w:t>
            </w:r>
          </w:p>
        </w:tc>
        <w:tc>
          <w:tcPr>
            <w:tcW w:w="840"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0.09</w:t>
            </w:r>
          </w:p>
        </w:tc>
        <w:tc>
          <w:tcPr>
            <w:tcW w:w="1472"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16</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30</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9-Hexadecenoic acid</w:t>
            </w:r>
          </w:p>
        </w:tc>
        <w:tc>
          <w:tcPr>
            <w:tcW w:w="3072"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extent cx="1570990" cy="374015"/>
                  <wp:effectExtent l="0" t="0" r="0" b="6985"/>
                  <wp:docPr id="25" name="Picture 25" descr="C:\Users\FRANK\AppData\Local\Temp\ksohtml11152\wps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Users\FRANK\AppData\Local\Temp\ksohtml11152\wps140.jpg"/>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570990" cy="374015"/>
                          </a:xfrm>
                          <a:prstGeom prst="rect">
                            <a:avLst/>
                          </a:prstGeom>
                          <a:noFill/>
                          <a:ln>
                            <a:noFill/>
                          </a:ln>
                        </pic:spPr>
                      </pic:pic>
                    </a:graphicData>
                  </a:graphic>
                </wp:inline>
              </w:drawing>
            </w:r>
          </w:p>
        </w:tc>
      </w:tr>
      <w:tr w:rsidR="003B3559">
        <w:tc>
          <w:tcPr>
            <w:tcW w:w="1277"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7.351</w:t>
            </w:r>
          </w:p>
        </w:tc>
        <w:tc>
          <w:tcPr>
            <w:tcW w:w="840"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0.09</w:t>
            </w:r>
          </w:p>
        </w:tc>
        <w:tc>
          <w:tcPr>
            <w:tcW w:w="1472"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20</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40</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Eicosanoic acid</w:t>
            </w:r>
          </w:p>
        </w:tc>
        <w:tc>
          <w:tcPr>
            <w:tcW w:w="3072"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extent cx="1529715" cy="324485"/>
                  <wp:effectExtent l="0" t="0" r="0" b="0"/>
                  <wp:docPr id="24" name="Picture 24" descr="C:\Users\FRANK\AppData\Local\Temp\ksohtml11152\wps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Users\FRANK\AppData\Local\Temp\ksohtml11152\wps141.jpg"/>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529715" cy="324485"/>
                          </a:xfrm>
                          <a:prstGeom prst="rect">
                            <a:avLst/>
                          </a:prstGeom>
                          <a:noFill/>
                          <a:ln>
                            <a:noFill/>
                          </a:ln>
                        </pic:spPr>
                      </pic:pic>
                    </a:graphicData>
                  </a:graphic>
                </wp:inline>
              </w:drawing>
            </w:r>
          </w:p>
        </w:tc>
      </w:tr>
      <w:tr w:rsidR="003B3559">
        <w:tc>
          <w:tcPr>
            <w:tcW w:w="1277"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8.044</w:t>
            </w:r>
          </w:p>
        </w:tc>
        <w:tc>
          <w:tcPr>
            <w:tcW w:w="840"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0.56</w:t>
            </w:r>
          </w:p>
        </w:tc>
        <w:tc>
          <w:tcPr>
            <w:tcW w:w="1472"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18</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32</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9,12-Octadecadienoic acid (</w:t>
            </w:r>
            <w:r w:rsidR="00EF7F12">
              <w:rPr>
                <w:rFonts w:ascii="Times New Roman" w:eastAsia="Calibri" w:hAnsi="Times New Roman" w:cs="Times New Roman"/>
                <w:sz w:val="24"/>
                <w:szCs w:val="24"/>
              </w:rPr>
              <w:t>Z, Z</w:t>
            </w:r>
            <w:r>
              <w:rPr>
                <w:rFonts w:ascii="Times New Roman" w:eastAsia="Calibri" w:hAnsi="Times New Roman" w:cs="Times New Roman"/>
                <w:sz w:val="24"/>
                <w:szCs w:val="24"/>
              </w:rPr>
              <w:t>)-</w:t>
            </w:r>
          </w:p>
        </w:tc>
        <w:tc>
          <w:tcPr>
            <w:tcW w:w="3072"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extent cx="1346835" cy="652007"/>
                  <wp:effectExtent l="0" t="0" r="5715" b="0"/>
                  <wp:docPr id="23" name="Picture 23" descr="C:\Users\FRANK\AppData\Local\Temp\ksohtml11152\wps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Users\FRANK\AppData\Local\Temp\ksohtml11152\wps142.jpg"/>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372252" cy="664311"/>
                          </a:xfrm>
                          <a:prstGeom prst="rect">
                            <a:avLst/>
                          </a:prstGeom>
                          <a:noFill/>
                          <a:ln>
                            <a:noFill/>
                          </a:ln>
                        </pic:spPr>
                      </pic:pic>
                    </a:graphicData>
                  </a:graphic>
                </wp:inline>
              </w:drawing>
            </w:r>
          </w:p>
        </w:tc>
      </w:tr>
      <w:tr w:rsidR="003B3559">
        <w:tc>
          <w:tcPr>
            <w:tcW w:w="1277"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8.091</w:t>
            </w:r>
          </w:p>
        </w:tc>
        <w:tc>
          <w:tcPr>
            <w:tcW w:w="840"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0.88</w:t>
            </w:r>
          </w:p>
        </w:tc>
        <w:tc>
          <w:tcPr>
            <w:tcW w:w="1472"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24</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36</w:t>
            </w:r>
            <w:r>
              <w:rPr>
                <w:rFonts w:ascii="Times New Roman" w:eastAsia="Calibri" w:hAnsi="Times New Roman" w:cs="Times New Roman"/>
                <w:sz w:val="24"/>
                <w:szCs w:val="24"/>
              </w:rPr>
              <w:t>Cl</w:t>
            </w:r>
            <w:r>
              <w:rPr>
                <w:rFonts w:ascii="Times New Roman" w:eastAsia="Calibri" w:hAnsi="Times New Roman" w:cs="Times New Roman"/>
                <w:sz w:val="24"/>
                <w:szCs w:val="24"/>
                <w:vertAlign w:val="subscript"/>
              </w:rPr>
              <w:t>2</w:t>
            </w:r>
            <w:r>
              <w:rPr>
                <w:rFonts w:ascii="Times New Roman" w:eastAsia="Calibri" w:hAnsi="Times New Roman" w:cs="Times New Roman"/>
                <w:sz w:val="24"/>
                <w:szCs w:val="24"/>
              </w:rPr>
              <w:t>Rh</w:t>
            </w:r>
            <w:r>
              <w:rPr>
                <w:rFonts w:ascii="Times New Roman" w:eastAsia="Calibri" w:hAnsi="Times New Roman" w:cs="Times New Roman"/>
                <w:sz w:val="24"/>
                <w:szCs w:val="24"/>
                <w:vertAlign w:val="subscript"/>
              </w:rPr>
              <w:t>2</w:t>
            </w:r>
          </w:p>
        </w:tc>
        <w:tc>
          <w:tcPr>
            <w:tcW w:w="2649"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Rhodium, bis[5,6-bis(eta.2-ethenyl)cyclooctene</w:t>
            </w:r>
          </w:p>
        </w:tc>
        <w:tc>
          <w:tcPr>
            <w:tcW w:w="3072"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extent cx="1529715" cy="588396"/>
                  <wp:effectExtent l="0" t="0" r="0" b="2540"/>
                  <wp:docPr id="22" name="Picture 22" descr="C:\Users\FRANK\AppData\Local\Temp\ksohtml11152\wps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Users\FRANK\AppData\Local\Temp\ksohtml11152\wps143.jpg"/>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537150" cy="591256"/>
                          </a:xfrm>
                          <a:prstGeom prst="rect">
                            <a:avLst/>
                          </a:prstGeom>
                          <a:noFill/>
                          <a:ln>
                            <a:noFill/>
                          </a:ln>
                        </pic:spPr>
                      </pic:pic>
                    </a:graphicData>
                  </a:graphic>
                </wp:inline>
              </w:drawing>
            </w:r>
          </w:p>
        </w:tc>
      </w:tr>
      <w:tr w:rsidR="003B3559">
        <w:tc>
          <w:tcPr>
            <w:tcW w:w="1277"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8.150</w:t>
            </w:r>
          </w:p>
        </w:tc>
        <w:tc>
          <w:tcPr>
            <w:tcW w:w="840"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0.67</w:t>
            </w:r>
          </w:p>
        </w:tc>
        <w:tc>
          <w:tcPr>
            <w:tcW w:w="1472"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18</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34</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9-Octadecenoic acid, (E)-</w:t>
            </w:r>
          </w:p>
        </w:tc>
        <w:tc>
          <w:tcPr>
            <w:tcW w:w="3072"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extent cx="1654175" cy="307340"/>
                  <wp:effectExtent l="0" t="0" r="3175" b="0"/>
                  <wp:docPr id="21" name="Picture 21" descr="C:\Users\FRANK\AppData\Local\Temp\ksohtml11152\wps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Users\FRANK\AppData\Local\Temp\ksohtml11152\wps144.jpg"/>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654175" cy="307340"/>
                          </a:xfrm>
                          <a:prstGeom prst="rect">
                            <a:avLst/>
                          </a:prstGeom>
                          <a:noFill/>
                          <a:ln>
                            <a:noFill/>
                          </a:ln>
                        </pic:spPr>
                      </pic:pic>
                    </a:graphicData>
                  </a:graphic>
                </wp:inline>
              </w:drawing>
            </w:r>
          </w:p>
        </w:tc>
      </w:tr>
      <w:tr w:rsidR="003B3559">
        <w:tc>
          <w:tcPr>
            <w:tcW w:w="1277"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8.214</w:t>
            </w:r>
          </w:p>
        </w:tc>
        <w:tc>
          <w:tcPr>
            <w:tcW w:w="840"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1.61</w:t>
            </w:r>
          </w:p>
        </w:tc>
        <w:tc>
          <w:tcPr>
            <w:tcW w:w="1472"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18</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32</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9,12-Octadecadienoic acid (Z,Z)-</w:t>
            </w:r>
          </w:p>
        </w:tc>
        <w:tc>
          <w:tcPr>
            <w:tcW w:w="3072"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extent cx="1479550" cy="508884"/>
                  <wp:effectExtent l="0" t="0" r="6350" b="5715"/>
                  <wp:docPr id="20" name="Picture 20" descr="C:\Users\FRANK\AppData\Local\Temp\ksohtml11152\wps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Users\FRANK\AppData\Local\Temp\ksohtml11152\wps145.jpg"/>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479550" cy="508884"/>
                          </a:xfrm>
                          <a:prstGeom prst="rect">
                            <a:avLst/>
                          </a:prstGeom>
                          <a:noFill/>
                          <a:ln>
                            <a:noFill/>
                          </a:ln>
                        </pic:spPr>
                      </pic:pic>
                    </a:graphicData>
                  </a:graphic>
                </wp:inline>
              </w:drawing>
            </w:r>
          </w:p>
        </w:tc>
      </w:tr>
      <w:tr w:rsidR="003B3559">
        <w:tc>
          <w:tcPr>
            <w:tcW w:w="1277"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8.321</w:t>
            </w:r>
          </w:p>
        </w:tc>
        <w:tc>
          <w:tcPr>
            <w:tcW w:w="840"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5.76</w:t>
            </w:r>
          </w:p>
        </w:tc>
        <w:tc>
          <w:tcPr>
            <w:tcW w:w="1472"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18</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34</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9-Octadecenoic acid, (E)-</w:t>
            </w:r>
          </w:p>
        </w:tc>
        <w:tc>
          <w:tcPr>
            <w:tcW w:w="3072"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extent cx="1587500" cy="340995"/>
                  <wp:effectExtent l="0" t="0" r="0" b="1905"/>
                  <wp:docPr id="19" name="Picture 19" descr="C:\Users\FRANK\AppData\Local\Temp\ksohtml11152\wps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Users\FRANK\AppData\Local\Temp\ksohtml11152\wps146.jpg"/>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587500" cy="340995"/>
                          </a:xfrm>
                          <a:prstGeom prst="rect">
                            <a:avLst/>
                          </a:prstGeom>
                          <a:noFill/>
                          <a:ln>
                            <a:noFill/>
                          </a:ln>
                        </pic:spPr>
                      </pic:pic>
                    </a:graphicData>
                  </a:graphic>
                </wp:inline>
              </w:drawing>
            </w:r>
          </w:p>
        </w:tc>
      </w:tr>
      <w:tr w:rsidR="003B3559">
        <w:tc>
          <w:tcPr>
            <w:tcW w:w="1277"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8.370</w:t>
            </w:r>
          </w:p>
        </w:tc>
        <w:tc>
          <w:tcPr>
            <w:tcW w:w="840"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1.00</w:t>
            </w:r>
          </w:p>
        </w:tc>
        <w:tc>
          <w:tcPr>
            <w:tcW w:w="1472"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18</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34</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cis-Vaccenic acid</w:t>
            </w:r>
          </w:p>
        </w:tc>
        <w:tc>
          <w:tcPr>
            <w:tcW w:w="3072"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extent cx="1595755" cy="481965"/>
                  <wp:effectExtent l="0" t="0" r="4445" b="0"/>
                  <wp:docPr id="18" name="Picture 18" descr="C:\Users\FRANK\AppData\Local\Temp\ksohtml11152\wps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Users\FRANK\AppData\Local\Temp\ksohtml11152\wps147.jpg"/>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595755" cy="481965"/>
                          </a:xfrm>
                          <a:prstGeom prst="rect">
                            <a:avLst/>
                          </a:prstGeom>
                          <a:noFill/>
                          <a:ln>
                            <a:noFill/>
                          </a:ln>
                        </pic:spPr>
                      </pic:pic>
                    </a:graphicData>
                  </a:graphic>
                </wp:inline>
              </w:drawing>
            </w:r>
          </w:p>
        </w:tc>
      </w:tr>
      <w:tr w:rsidR="003B3559">
        <w:tc>
          <w:tcPr>
            <w:tcW w:w="1277"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lastRenderedPageBreak/>
              <w:t>8.501</w:t>
            </w:r>
          </w:p>
        </w:tc>
        <w:tc>
          <w:tcPr>
            <w:tcW w:w="840"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0.22</w:t>
            </w:r>
          </w:p>
        </w:tc>
        <w:tc>
          <w:tcPr>
            <w:tcW w:w="1472"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18</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34</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Oleic Acid</w:t>
            </w:r>
          </w:p>
        </w:tc>
        <w:tc>
          <w:tcPr>
            <w:tcW w:w="3072"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extent cx="1812290" cy="515620"/>
                  <wp:effectExtent l="0" t="0" r="0" b="0"/>
                  <wp:docPr id="17" name="Picture 17" descr="C:\Users\FRANK\AppData\Local\Temp\ksohtml11152\wps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Users\FRANK\AppData\Local\Temp\ksohtml11152\wps148.jpg"/>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812290" cy="515620"/>
                          </a:xfrm>
                          <a:prstGeom prst="rect">
                            <a:avLst/>
                          </a:prstGeom>
                          <a:noFill/>
                          <a:ln>
                            <a:noFill/>
                          </a:ln>
                        </pic:spPr>
                      </pic:pic>
                    </a:graphicData>
                  </a:graphic>
                </wp:inline>
              </w:drawing>
            </w:r>
          </w:p>
        </w:tc>
      </w:tr>
      <w:tr w:rsidR="003B3559">
        <w:tc>
          <w:tcPr>
            <w:tcW w:w="1277"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8.646</w:t>
            </w:r>
          </w:p>
        </w:tc>
        <w:tc>
          <w:tcPr>
            <w:tcW w:w="840"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0.44</w:t>
            </w:r>
          </w:p>
        </w:tc>
        <w:tc>
          <w:tcPr>
            <w:tcW w:w="1472"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18</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36</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Octadecanoic acid</w:t>
            </w:r>
          </w:p>
        </w:tc>
        <w:tc>
          <w:tcPr>
            <w:tcW w:w="3072"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extent cx="1770380" cy="664845"/>
                  <wp:effectExtent l="0" t="0" r="1270" b="1905"/>
                  <wp:docPr id="16" name="Picture 16" descr="C:\Users\FRANK\AppData\Local\Temp\ksohtml11152\wps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FRANK\AppData\Local\Temp\ksohtml11152\wps149.jpg"/>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770380" cy="664845"/>
                          </a:xfrm>
                          <a:prstGeom prst="rect">
                            <a:avLst/>
                          </a:prstGeom>
                          <a:noFill/>
                          <a:ln>
                            <a:noFill/>
                          </a:ln>
                        </pic:spPr>
                      </pic:pic>
                    </a:graphicData>
                  </a:graphic>
                </wp:inline>
              </w:drawing>
            </w:r>
          </w:p>
        </w:tc>
      </w:tr>
      <w:tr w:rsidR="003B3559">
        <w:tc>
          <w:tcPr>
            <w:tcW w:w="1277"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9.943</w:t>
            </w:r>
          </w:p>
        </w:tc>
        <w:tc>
          <w:tcPr>
            <w:tcW w:w="840"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0.37</w:t>
            </w:r>
          </w:p>
        </w:tc>
        <w:tc>
          <w:tcPr>
            <w:tcW w:w="1472"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14</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29</w:t>
            </w:r>
            <w:r>
              <w:rPr>
                <w:rFonts w:ascii="Times New Roman" w:eastAsia="Calibri" w:hAnsi="Times New Roman" w:cs="Times New Roman"/>
                <w:sz w:val="24"/>
                <w:szCs w:val="24"/>
              </w:rPr>
              <w:t>NO</w:t>
            </w:r>
          </w:p>
        </w:tc>
        <w:tc>
          <w:tcPr>
            <w:tcW w:w="2649"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N,N-Dimethyldodecanamide</w:t>
            </w:r>
          </w:p>
        </w:tc>
        <w:tc>
          <w:tcPr>
            <w:tcW w:w="3072"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extent cx="1496060" cy="390525"/>
                  <wp:effectExtent l="0" t="0" r="8890" b="9525"/>
                  <wp:docPr id="15" name="Picture 15" descr="C:\Users\FRANK\AppData\Local\Temp\ksohtml11152\wps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Users\FRANK\AppData\Local\Temp\ksohtml11152\wps150.jpg"/>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496060" cy="390525"/>
                          </a:xfrm>
                          <a:prstGeom prst="rect">
                            <a:avLst/>
                          </a:prstGeom>
                          <a:noFill/>
                          <a:ln>
                            <a:noFill/>
                          </a:ln>
                        </pic:spPr>
                      </pic:pic>
                    </a:graphicData>
                  </a:graphic>
                </wp:inline>
              </w:drawing>
            </w:r>
          </w:p>
        </w:tc>
      </w:tr>
      <w:tr w:rsidR="003B3559">
        <w:tc>
          <w:tcPr>
            <w:tcW w:w="9310" w:type="dxa"/>
            <w:gridSpan w:val="5"/>
            <w:tcBorders>
              <w:top w:val="nil"/>
              <w:left w:val="nil"/>
              <w:bottom w:val="single" w:sz="4" w:space="0" w:color="7F7F7F"/>
              <w:right w:val="nil"/>
            </w:tcBorders>
          </w:tcPr>
          <w:p w:rsidR="005D6B32" w:rsidRDefault="005D6B32">
            <w:pPr>
              <w:spacing w:line="360" w:lineRule="auto"/>
              <w:contextualSpacing/>
              <w:jc w:val="both"/>
              <w:rPr>
                <w:rFonts w:ascii="Times New Roman" w:eastAsia="Calibri" w:hAnsi="Times New Roman" w:cs="Times New Roman"/>
                <w:b/>
                <w:bCs/>
                <w:sz w:val="24"/>
                <w:szCs w:val="24"/>
              </w:rPr>
            </w:pPr>
          </w:p>
          <w:p w:rsidR="005D6B32" w:rsidRDefault="005D6B32">
            <w:pPr>
              <w:spacing w:line="360" w:lineRule="auto"/>
              <w:contextualSpacing/>
              <w:jc w:val="both"/>
              <w:rPr>
                <w:rFonts w:ascii="Times New Roman" w:eastAsia="Calibri" w:hAnsi="Times New Roman" w:cs="Times New Roman"/>
                <w:b/>
                <w:bCs/>
                <w:sz w:val="24"/>
                <w:szCs w:val="24"/>
              </w:rPr>
            </w:pPr>
          </w:p>
          <w:p w:rsidR="003B3559" w:rsidRDefault="0031207A">
            <w:pPr>
              <w:spacing w:line="360" w:lineRule="auto"/>
              <w:contextualSpacing/>
              <w:jc w:val="both"/>
              <w:rPr>
                <w:b/>
                <w:bCs/>
              </w:rPr>
            </w:pPr>
            <w:r>
              <w:rPr>
                <w:rFonts w:ascii="Times New Roman" w:eastAsia="Calibri" w:hAnsi="Times New Roman" w:cs="Times New Roman"/>
                <w:b/>
                <w:bCs/>
                <w:sz w:val="24"/>
                <w:szCs w:val="24"/>
              </w:rPr>
              <w:t xml:space="preserve">Table </w:t>
            </w:r>
            <w:r w:rsidR="00727B14">
              <w:rPr>
                <w:rFonts w:ascii="Times New Roman" w:eastAsia="Calibri" w:hAnsi="Times New Roman" w:cs="Times New Roman"/>
                <w:b/>
                <w:bCs/>
                <w:sz w:val="24"/>
                <w:szCs w:val="24"/>
              </w:rPr>
              <w:t xml:space="preserve"> 4c: Total ionized compounds found in derivatized Re-used deep fried oil</w:t>
            </w:r>
          </w:p>
        </w:tc>
      </w:tr>
      <w:tr w:rsidR="003B3559">
        <w:tc>
          <w:tcPr>
            <w:tcW w:w="1277"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bCs/>
                <w:sz w:val="24"/>
                <w:szCs w:val="24"/>
              </w:rPr>
              <w:t>10.492</w:t>
            </w:r>
          </w:p>
        </w:tc>
        <w:tc>
          <w:tcPr>
            <w:tcW w:w="840"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0.24</w:t>
            </w:r>
          </w:p>
        </w:tc>
        <w:tc>
          <w:tcPr>
            <w:tcW w:w="1472"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21</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32</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5,8,11,14,17-Eicosapentaenoic acid, methyl ester</w:t>
            </w:r>
          </w:p>
        </w:tc>
        <w:tc>
          <w:tcPr>
            <w:tcW w:w="3072"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extent cx="1554480" cy="507365"/>
                  <wp:effectExtent l="0" t="0" r="7620" b="6985"/>
                  <wp:docPr id="14" name="Picture 14" descr="C:\Users\FRANK\AppData\Local\Temp\ksohtml11152\wps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FRANK\AppData\Local\Temp\ksohtml11152\wps151.jpg"/>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554480" cy="507365"/>
                          </a:xfrm>
                          <a:prstGeom prst="rect">
                            <a:avLst/>
                          </a:prstGeom>
                          <a:noFill/>
                          <a:ln>
                            <a:noFill/>
                          </a:ln>
                        </pic:spPr>
                      </pic:pic>
                    </a:graphicData>
                  </a:graphic>
                </wp:inline>
              </w:drawing>
            </w:r>
          </w:p>
        </w:tc>
      </w:tr>
      <w:tr w:rsidR="003B3559">
        <w:tc>
          <w:tcPr>
            <w:tcW w:w="1277"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10.889</w:t>
            </w:r>
          </w:p>
        </w:tc>
        <w:tc>
          <w:tcPr>
            <w:tcW w:w="840"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0.28</w:t>
            </w:r>
          </w:p>
        </w:tc>
        <w:tc>
          <w:tcPr>
            <w:tcW w:w="1472"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18</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35</w:t>
            </w:r>
            <w:r>
              <w:rPr>
                <w:rFonts w:ascii="Times New Roman" w:eastAsia="Calibri" w:hAnsi="Times New Roman" w:cs="Times New Roman"/>
                <w:sz w:val="24"/>
                <w:szCs w:val="24"/>
              </w:rPr>
              <w:t>NO</w:t>
            </w:r>
          </w:p>
        </w:tc>
        <w:tc>
          <w:tcPr>
            <w:tcW w:w="2649"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9-Octadecenamide, (Z)-</w:t>
            </w:r>
          </w:p>
        </w:tc>
        <w:tc>
          <w:tcPr>
            <w:tcW w:w="3072"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extent cx="1554480" cy="664845"/>
                  <wp:effectExtent l="0" t="0" r="7620" b="1905"/>
                  <wp:docPr id="13" name="Picture 13" descr="C:\Users\FRANK\AppData\Local\Temp\ksohtml11152\wps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FRANK\AppData\Local\Temp\ksohtml11152\wps152.jpg"/>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554480" cy="664845"/>
                          </a:xfrm>
                          <a:prstGeom prst="rect">
                            <a:avLst/>
                          </a:prstGeom>
                          <a:noFill/>
                          <a:ln>
                            <a:noFill/>
                          </a:ln>
                        </pic:spPr>
                      </pic:pic>
                    </a:graphicData>
                  </a:graphic>
                </wp:inline>
              </w:drawing>
            </w:r>
          </w:p>
        </w:tc>
      </w:tr>
      <w:tr w:rsidR="003B3559">
        <w:tc>
          <w:tcPr>
            <w:tcW w:w="1277"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11.116</w:t>
            </w:r>
          </w:p>
        </w:tc>
        <w:tc>
          <w:tcPr>
            <w:tcW w:w="840"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2.66</w:t>
            </w:r>
          </w:p>
        </w:tc>
        <w:tc>
          <w:tcPr>
            <w:tcW w:w="1472"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27</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46</w:t>
            </w:r>
            <w:r>
              <w:rPr>
                <w:rFonts w:ascii="Times New Roman" w:eastAsia="Calibri" w:hAnsi="Times New Roman" w:cs="Times New Roman"/>
                <w:sz w:val="24"/>
                <w:szCs w:val="24"/>
              </w:rPr>
              <w:t>O</w:t>
            </w:r>
          </w:p>
        </w:tc>
        <w:tc>
          <w:tcPr>
            <w:tcW w:w="2649"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Cholesterol</w:t>
            </w:r>
          </w:p>
        </w:tc>
        <w:tc>
          <w:tcPr>
            <w:tcW w:w="3072"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extent cx="2078355" cy="307340"/>
                  <wp:effectExtent l="0" t="0" r="0" b="0"/>
                  <wp:docPr id="12" name="Picture 12" descr="C:\Users\FRANK\AppData\Local\Temp\ksohtml11152\wps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FRANK\AppData\Local\Temp\ksohtml11152\wps153.jpg"/>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078355" cy="307340"/>
                          </a:xfrm>
                          <a:prstGeom prst="rect">
                            <a:avLst/>
                          </a:prstGeom>
                          <a:noFill/>
                          <a:ln>
                            <a:noFill/>
                          </a:ln>
                        </pic:spPr>
                      </pic:pic>
                    </a:graphicData>
                  </a:graphic>
                </wp:inline>
              </w:drawing>
            </w:r>
          </w:p>
        </w:tc>
      </w:tr>
      <w:tr w:rsidR="003B3559">
        <w:tc>
          <w:tcPr>
            <w:tcW w:w="1277"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11.364</w:t>
            </w:r>
          </w:p>
        </w:tc>
        <w:tc>
          <w:tcPr>
            <w:tcW w:w="840"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0.97</w:t>
            </w:r>
          </w:p>
        </w:tc>
        <w:tc>
          <w:tcPr>
            <w:tcW w:w="1472"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30</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50</w:t>
            </w:r>
          </w:p>
        </w:tc>
        <w:tc>
          <w:tcPr>
            <w:tcW w:w="2649"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Olean-18-en</w:t>
            </w:r>
          </w:p>
        </w:tc>
        <w:tc>
          <w:tcPr>
            <w:tcW w:w="3072"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extent cx="1595755" cy="683812"/>
                  <wp:effectExtent l="0" t="0" r="4445" b="2540"/>
                  <wp:docPr id="11" name="Picture 11" descr="C:\Users\FRANK\AppData\Local\Temp\ksohtml11152\wps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FRANK\AppData\Local\Temp\ksohtml11152\wps154.jpg"/>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615478" cy="692264"/>
                          </a:xfrm>
                          <a:prstGeom prst="rect">
                            <a:avLst/>
                          </a:prstGeom>
                          <a:noFill/>
                          <a:ln>
                            <a:noFill/>
                          </a:ln>
                        </pic:spPr>
                      </pic:pic>
                    </a:graphicData>
                  </a:graphic>
                </wp:inline>
              </w:drawing>
            </w:r>
          </w:p>
        </w:tc>
      </w:tr>
      <w:tr w:rsidR="003B3559">
        <w:tc>
          <w:tcPr>
            <w:tcW w:w="1277"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11.575</w:t>
            </w:r>
          </w:p>
        </w:tc>
        <w:tc>
          <w:tcPr>
            <w:tcW w:w="840"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0.56</w:t>
            </w:r>
          </w:p>
        </w:tc>
        <w:tc>
          <w:tcPr>
            <w:tcW w:w="1472"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18</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34</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9-Octadecenoic acid, (E)-</w:t>
            </w:r>
          </w:p>
        </w:tc>
        <w:tc>
          <w:tcPr>
            <w:tcW w:w="3072"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extent cx="1612900" cy="340995"/>
                  <wp:effectExtent l="0" t="0" r="6350" b="1905"/>
                  <wp:docPr id="10" name="Picture 10" descr="C:\Users\FRANK\AppData\Local\Temp\ksohtml11152\wps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FRANK\AppData\Local\Temp\ksohtml11152\wps155.jpg"/>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612900" cy="340995"/>
                          </a:xfrm>
                          <a:prstGeom prst="rect">
                            <a:avLst/>
                          </a:prstGeom>
                          <a:noFill/>
                          <a:ln>
                            <a:noFill/>
                          </a:ln>
                        </pic:spPr>
                      </pic:pic>
                    </a:graphicData>
                  </a:graphic>
                </wp:inline>
              </w:drawing>
            </w:r>
          </w:p>
        </w:tc>
      </w:tr>
      <w:tr w:rsidR="003B3559">
        <w:tc>
          <w:tcPr>
            <w:tcW w:w="1277"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11.650</w:t>
            </w:r>
          </w:p>
        </w:tc>
        <w:tc>
          <w:tcPr>
            <w:tcW w:w="840"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0.51</w:t>
            </w:r>
          </w:p>
        </w:tc>
        <w:tc>
          <w:tcPr>
            <w:tcW w:w="1472"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20</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39</w:t>
            </w:r>
            <w:r>
              <w:rPr>
                <w:rFonts w:ascii="Times New Roman" w:eastAsia="Calibri" w:hAnsi="Times New Roman" w:cs="Times New Roman"/>
                <w:sz w:val="24"/>
                <w:szCs w:val="24"/>
              </w:rPr>
              <w:t>NO</w:t>
            </w:r>
          </w:p>
        </w:tc>
        <w:tc>
          <w:tcPr>
            <w:tcW w:w="2649"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9-Octadecenamide, N,N-dimethyl-</w:t>
            </w:r>
          </w:p>
        </w:tc>
        <w:tc>
          <w:tcPr>
            <w:tcW w:w="3072"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extent cx="1587500" cy="340995"/>
                  <wp:effectExtent l="0" t="0" r="0" b="1905"/>
                  <wp:docPr id="9" name="Picture 9" descr="C:\Users\FRANK\AppData\Local\Temp\ksohtml11152\wps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FRANK\AppData\Local\Temp\ksohtml11152\wps156.jpg"/>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587500" cy="340995"/>
                          </a:xfrm>
                          <a:prstGeom prst="rect">
                            <a:avLst/>
                          </a:prstGeom>
                          <a:noFill/>
                          <a:ln>
                            <a:noFill/>
                          </a:ln>
                        </pic:spPr>
                      </pic:pic>
                    </a:graphicData>
                  </a:graphic>
                </wp:inline>
              </w:drawing>
            </w:r>
          </w:p>
        </w:tc>
      </w:tr>
      <w:tr w:rsidR="003B3559">
        <w:tc>
          <w:tcPr>
            <w:tcW w:w="1277"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12.307</w:t>
            </w:r>
          </w:p>
        </w:tc>
        <w:tc>
          <w:tcPr>
            <w:tcW w:w="840"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4.68</w:t>
            </w:r>
          </w:p>
        </w:tc>
        <w:tc>
          <w:tcPr>
            <w:tcW w:w="1472"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19</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38</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4</w:t>
            </w:r>
          </w:p>
        </w:tc>
        <w:tc>
          <w:tcPr>
            <w:tcW w:w="2649"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Hexadecanoic acid, 2-hydroxy-1-(hydroxymeth</w:t>
            </w:r>
          </w:p>
        </w:tc>
        <w:tc>
          <w:tcPr>
            <w:tcW w:w="3072" w:type="dxa"/>
            <w:tcBorders>
              <w:top w:val="nil"/>
              <w:left w:val="nil"/>
              <w:bottom w:val="nil"/>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extent cx="1587500" cy="440690"/>
                  <wp:effectExtent l="0" t="0" r="0" b="0"/>
                  <wp:docPr id="8" name="Picture 8" descr="C:\Users\FRANK\AppData\Local\Temp\ksohtml11152\wps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FRANK\AppData\Local\Temp\ksohtml11152\wps157.jpg"/>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587500" cy="440690"/>
                          </a:xfrm>
                          <a:prstGeom prst="rect">
                            <a:avLst/>
                          </a:prstGeom>
                          <a:noFill/>
                          <a:ln>
                            <a:noFill/>
                          </a:ln>
                        </pic:spPr>
                      </pic:pic>
                    </a:graphicData>
                  </a:graphic>
                </wp:inline>
              </w:drawing>
            </w:r>
          </w:p>
        </w:tc>
      </w:tr>
      <w:tr w:rsidR="003B3559">
        <w:tc>
          <w:tcPr>
            <w:tcW w:w="1277"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13.236</w:t>
            </w:r>
          </w:p>
        </w:tc>
        <w:tc>
          <w:tcPr>
            <w:tcW w:w="840"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0.74</w:t>
            </w:r>
          </w:p>
        </w:tc>
        <w:tc>
          <w:tcPr>
            <w:tcW w:w="1472"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19</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26</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single" w:sz="4" w:space="0" w:color="7F7F7F"/>
              <w:left w:val="nil"/>
              <w:bottom w:val="single" w:sz="4" w:space="0" w:color="7F7F7F"/>
              <w:right w:val="nil"/>
            </w:tcBorders>
          </w:tcPr>
          <w:p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Androstenedione</w:t>
            </w:r>
          </w:p>
        </w:tc>
        <w:tc>
          <w:tcPr>
            <w:tcW w:w="3072" w:type="dxa"/>
            <w:tcBorders>
              <w:top w:val="single" w:sz="4" w:space="0" w:color="7F7F7F"/>
              <w:left w:val="nil"/>
              <w:bottom w:val="single" w:sz="4" w:space="0" w:color="7F7F7F"/>
              <w:right w:val="nil"/>
            </w:tcBorders>
          </w:tcPr>
          <w:p w:rsidR="003B3559" w:rsidRDefault="00727B14">
            <w:pPr>
              <w:spacing w:line="360" w:lineRule="auto"/>
              <w:contextualSpacing/>
              <w:jc w:val="both"/>
            </w:pPr>
            <w:r>
              <w:rPr>
                <w:noProof/>
              </w:rPr>
              <w:drawing>
                <wp:inline distT="0" distB="0" distL="0" distR="0">
                  <wp:extent cx="1446530" cy="683812"/>
                  <wp:effectExtent l="0" t="0" r="1270" b="2540"/>
                  <wp:docPr id="7" name="Picture 7" descr="C:\Users\FRANK\AppData\Local\Temp\ksohtml11152\wps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FRANK\AppData\Local\Temp\ksohtml11152\wps158.jpg"/>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446530" cy="683812"/>
                          </a:xfrm>
                          <a:prstGeom prst="rect">
                            <a:avLst/>
                          </a:prstGeom>
                          <a:noFill/>
                          <a:ln>
                            <a:noFill/>
                          </a:ln>
                        </pic:spPr>
                      </pic:pic>
                    </a:graphicData>
                  </a:graphic>
                </wp:inline>
              </w:drawing>
            </w:r>
          </w:p>
        </w:tc>
      </w:tr>
    </w:tbl>
    <w:p w:rsidR="003B3559" w:rsidRDefault="003B3559">
      <w:pPr>
        <w:spacing w:after="0" w:line="480" w:lineRule="auto"/>
        <w:contextualSpacing/>
        <w:jc w:val="both"/>
        <w:rPr>
          <w:rFonts w:ascii="Times New Roman" w:eastAsia="Calibri" w:hAnsi="Times New Roman" w:cs="Times New Roman"/>
          <w:b/>
          <w:sz w:val="24"/>
          <w:szCs w:val="24"/>
        </w:rPr>
      </w:pPr>
    </w:p>
    <w:p w:rsidR="003B3559" w:rsidRDefault="003B3559">
      <w:pPr>
        <w:spacing w:after="0" w:line="480" w:lineRule="auto"/>
        <w:contextualSpacing/>
        <w:jc w:val="both"/>
        <w:rPr>
          <w:rFonts w:ascii="Times New Roman" w:eastAsia="Calibri" w:hAnsi="Times New Roman" w:cs="Times New Roman"/>
          <w:b/>
          <w:sz w:val="24"/>
          <w:szCs w:val="24"/>
        </w:rPr>
      </w:pPr>
    </w:p>
    <w:p w:rsidR="003B3559" w:rsidRDefault="003B3559">
      <w:pPr>
        <w:spacing w:after="0" w:line="480" w:lineRule="auto"/>
        <w:contextualSpacing/>
        <w:jc w:val="both"/>
        <w:rPr>
          <w:rFonts w:ascii="Times New Roman" w:eastAsia="Calibri" w:hAnsi="Times New Roman" w:cs="Times New Roman"/>
          <w:b/>
          <w:sz w:val="24"/>
          <w:szCs w:val="24"/>
        </w:rPr>
      </w:pPr>
    </w:p>
    <w:p w:rsidR="003B3559" w:rsidRDefault="003B3559">
      <w:pPr>
        <w:spacing w:after="0" w:line="480" w:lineRule="auto"/>
        <w:contextualSpacing/>
        <w:jc w:val="both"/>
        <w:rPr>
          <w:rFonts w:ascii="Times New Roman" w:eastAsia="Calibri" w:hAnsi="Times New Roman" w:cs="Times New Roman"/>
          <w:b/>
          <w:sz w:val="24"/>
          <w:szCs w:val="24"/>
        </w:rPr>
      </w:pPr>
    </w:p>
    <w:p w:rsidR="003B3559" w:rsidRDefault="003B3559">
      <w:pPr>
        <w:spacing w:after="0" w:line="480" w:lineRule="auto"/>
        <w:contextualSpacing/>
        <w:jc w:val="both"/>
        <w:rPr>
          <w:rFonts w:ascii="Times New Roman" w:eastAsia="Calibri" w:hAnsi="Times New Roman" w:cs="Times New Roman"/>
          <w:b/>
          <w:sz w:val="24"/>
          <w:szCs w:val="24"/>
        </w:rPr>
      </w:pPr>
    </w:p>
    <w:p w:rsidR="003B3559" w:rsidRDefault="003B3559">
      <w:pPr>
        <w:spacing w:after="0" w:line="480" w:lineRule="auto"/>
        <w:contextualSpacing/>
        <w:jc w:val="both"/>
        <w:rPr>
          <w:rFonts w:ascii="Times New Roman" w:eastAsia="Calibri" w:hAnsi="Times New Roman" w:cs="Times New Roman"/>
          <w:b/>
          <w:sz w:val="24"/>
          <w:szCs w:val="24"/>
        </w:rPr>
      </w:pPr>
    </w:p>
    <w:p w:rsidR="005D6B32" w:rsidRDefault="005D6B32">
      <w:pPr>
        <w:spacing w:after="0" w:line="480" w:lineRule="auto"/>
        <w:contextualSpacing/>
        <w:jc w:val="both"/>
        <w:rPr>
          <w:rFonts w:ascii="Times New Roman" w:eastAsia="Calibri" w:hAnsi="Times New Roman" w:cs="Times New Roman"/>
          <w:b/>
          <w:sz w:val="24"/>
          <w:szCs w:val="24"/>
        </w:rPr>
      </w:pPr>
    </w:p>
    <w:p w:rsidR="003B3559" w:rsidRDefault="00727B14" w:rsidP="00E36F3B">
      <w:pPr>
        <w:spacing w:before="0" w:beforeAutospacing="0"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4.0 </w:t>
      </w:r>
      <w:r>
        <w:rPr>
          <w:rFonts w:ascii="Times New Roman" w:eastAsia="Calibri" w:hAnsi="Times New Roman" w:cs="Times New Roman"/>
          <w:b/>
          <w:sz w:val="24"/>
          <w:szCs w:val="24"/>
        </w:rPr>
        <w:tab/>
        <w:t>Discussion</w:t>
      </w:r>
    </w:p>
    <w:p w:rsidR="003B3559" w:rsidRDefault="00727B14" w:rsidP="00E36F3B">
      <w:pPr>
        <w:spacing w:before="0" w:beforeAutospacing="0" w:after="0" w:line="480" w:lineRule="auto"/>
        <w:jc w:val="both"/>
        <w:rPr>
          <w:rFonts w:ascii="Times New Roman" w:hAnsi="Times New Roman" w:cs="Times New Roman"/>
          <w:b/>
          <w:sz w:val="24"/>
          <w:szCs w:val="24"/>
        </w:rPr>
      </w:pPr>
      <w:r>
        <w:rPr>
          <w:rFonts w:ascii="Times New Roman" w:eastAsia="Calibri" w:hAnsi="Times New Roman" w:cs="Times New Roman"/>
          <w:sz w:val="24"/>
          <w:szCs w:val="24"/>
        </w:rPr>
        <w:t>The</w:t>
      </w:r>
      <w:r w:rsidR="002D196A">
        <w:rPr>
          <w:rFonts w:ascii="Times New Roman" w:eastAsia="Calibri" w:hAnsi="Times New Roman" w:cs="Times New Roman"/>
          <w:sz w:val="24"/>
          <w:szCs w:val="24"/>
        </w:rPr>
        <w:t xml:space="preserve">se data </w:t>
      </w:r>
      <w:r>
        <w:rPr>
          <w:rFonts w:ascii="Times New Roman" w:eastAsia="Calibri" w:hAnsi="Times New Roman" w:cs="Times New Roman"/>
          <w:sz w:val="24"/>
          <w:szCs w:val="24"/>
        </w:rPr>
        <w:t>were obtained from re-used deep fried oil from fast food vendors collected via Food Inspection Services procedures, a realistic experimental condition for sampling of used fried oil.</w:t>
      </w:r>
      <w:r>
        <w:rPr>
          <w:rFonts w:ascii="Times New Roman" w:hAnsi="Times New Roman" w:cs="Times New Roman"/>
          <w:sz w:val="24"/>
          <w:szCs w:val="24"/>
        </w:rPr>
        <w:t xml:space="preserve"> The results in figure 1 depict the observed physical states of various oil (</w:t>
      </w:r>
      <w:r>
        <w:rPr>
          <w:rFonts w:ascii="Times New Roman" w:eastAsia="Calibri" w:hAnsi="Times New Roman" w:cs="Times New Roman"/>
          <w:sz w:val="24"/>
          <w:szCs w:val="24"/>
        </w:rPr>
        <w:t xml:space="preserve">refined vegetable oil, used refined vegetable oil, re-used deep-fried crude vegetable oil and un-used/unrefined crude vegetable oil) </w:t>
      </w:r>
      <w:r>
        <w:rPr>
          <w:rFonts w:ascii="Times New Roman" w:hAnsi="Times New Roman" w:cs="Times New Roman"/>
          <w:sz w:val="24"/>
          <w:szCs w:val="24"/>
        </w:rPr>
        <w:t>sampled in the course of this analysis</w:t>
      </w:r>
      <w:r>
        <w:rPr>
          <w:rFonts w:ascii="Times New Roman" w:eastAsia="Calibri" w:hAnsi="Times New Roman" w:cs="Times New Roman"/>
          <w:sz w:val="24"/>
          <w:szCs w:val="24"/>
        </w:rPr>
        <w:t xml:space="preserve">. Both re-used refined vegetable oil and re-used deep-fried crude vegetable oil exhibited varied colour changes from pale yellow to amber and tan colours respectively. The observed variation in colours of </w:t>
      </w:r>
      <w:r w:rsidR="002D196A">
        <w:rPr>
          <w:rFonts w:ascii="Times New Roman" w:eastAsia="Calibri" w:hAnsi="Times New Roman" w:cs="Times New Roman"/>
          <w:sz w:val="24"/>
          <w:szCs w:val="24"/>
        </w:rPr>
        <w:t>these oils</w:t>
      </w:r>
      <w:r>
        <w:rPr>
          <w:rFonts w:ascii="Times New Roman" w:eastAsia="Calibri" w:hAnsi="Times New Roman" w:cs="Times New Roman"/>
          <w:sz w:val="24"/>
          <w:szCs w:val="24"/>
        </w:rPr>
        <w:t xml:space="preserve"> especially the unique tan colour of re-used deep-fried crude vegetable oil should be attributed to oxidation of the oil due to extreme high temperature and increased duration of heating. The observed solidification of both re-used deep-fried crude vegetable oil and un-used/unrefined crude vegetable oil</w:t>
      </w:r>
      <w:r>
        <w:rPr>
          <w:rFonts w:ascii="Times New Roman" w:hAnsi="Times New Roman" w:cs="Times New Roman"/>
          <w:sz w:val="24"/>
          <w:szCs w:val="24"/>
        </w:rPr>
        <w:t xml:space="preserve"> at room temperature in comparison with </w:t>
      </w:r>
      <w:r>
        <w:rPr>
          <w:rFonts w:ascii="Times New Roman" w:eastAsia="Calibri" w:hAnsi="Times New Roman" w:cs="Times New Roman"/>
          <w:sz w:val="24"/>
          <w:szCs w:val="24"/>
        </w:rPr>
        <w:t xml:space="preserve">refined vegetable oil </w:t>
      </w:r>
      <w:r>
        <w:rPr>
          <w:rFonts w:ascii="Times New Roman" w:hAnsi="Times New Roman" w:cs="Times New Roman"/>
          <w:sz w:val="24"/>
          <w:szCs w:val="24"/>
        </w:rPr>
        <w:t xml:space="preserve">that </w:t>
      </w:r>
      <w:r w:rsidR="007C12E1">
        <w:rPr>
          <w:rFonts w:ascii="Times New Roman" w:hAnsi="Times New Roman" w:cs="Times New Roman"/>
          <w:sz w:val="24"/>
          <w:szCs w:val="24"/>
        </w:rPr>
        <w:t>is</w:t>
      </w:r>
      <w:r>
        <w:rPr>
          <w:rFonts w:ascii="Times New Roman" w:hAnsi="Times New Roman" w:cs="Times New Roman"/>
          <w:sz w:val="24"/>
          <w:szCs w:val="24"/>
        </w:rPr>
        <w:t xml:space="preserve"> in liquid state, could be attributed to </w:t>
      </w:r>
      <w:r w:rsidR="002D196A">
        <w:rPr>
          <w:rFonts w:ascii="Times New Roman" w:hAnsi="Times New Roman" w:cs="Times New Roman"/>
          <w:sz w:val="24"/>
          <w:szCs w:val="24"/>
        </w:rPr>
        <w:t>(</w:t>
      </w:r>
      <w:r>
        <w:rPr>
          <w:rFonts w:ascii="Times New Roman" w:hAnsi="Times New Roman" w:cs="Times New Roman"/>
          <w:sz w:val="24"/>
          <w:szCs w:val="24"/>
        </w:rPr>
        <w:t>high concentrations/amounts of both saturated fatty acids and lipid peroxidation products</w:t>
      </w:r>
      <w:r w:rsidR="002D196A">
        <w:rPr>
          <w:rFonts w:ascii="Times New Roman" w:hAnsi="Times New Roman" w:cs="Times New Roman"/>
          <w:sz w:val="24"/>
          <w:szCs w:val="24"/>
        </w:rPr>
        <w:t>)</w:t>
      </w:r>
      <w:r>
        <w:rPr>
          <w:rFonts w:ascii="Times New Roman" w:hAnsi="Times New Roman" w:cs="Times New Roman"/>
          <w:sz w:val="24"/>
          <w:szCs w:val="24"/>
        </w:rPr>
        <w:t xml:space="preserve"> and </w:t>
      </w:r>
      <w:r w:rsidR="007C12E1">
        <w:rPr>
          <w:rFonts w:ascii="Times New Roman" w:hAnsi="Times New Roman" w:cs="Times New Roman"/>
          <w:sz w:val="24"/>
          <w:szCs w:val="24"/>
        </w:rPr>
        <w:t xml:space="preserve">(high concentrations of both </w:t>
      </w:r>
      <w:r>
        <w:rPr>
          <w:rFonts w:ascii="Times New Roman" w:hAnsi="Times New Roman" w:cs="Times New Roman"/>
          <w:sz w:val="24"/>
          <w:szCs w:val="24"/>
        </w:rPr>
        <w:t>saturated fatty acids</w:t>
      </w:r>
      <w:r w:rsidR="007C12E1">
        <w:rPr>
          <w:rFonts w:ascii="Times New Roman" w:hAnsi="Times New Roman" w:cs="Times New Roman"/>
          <w:sz w:val="24"/>
          <w:szCs w:val="24"/>
        </w:rPr>
        <w:t xml:space="preserve"> and impurities)</w:t>
      </w:r>
      <w:r>
        <w:rPr>
          <w:rFonts w:ascii="Times New Roman" w:eastAsia="Calibri" w:hAnsi="Times New Roman" w:cs="Times New Roman"/>
          <w:sz w:val="24"/>
          <w:szCs w:val="24"/>
        </w:rPr>
        <w:t>respectively</w:t>
      </w:r>
      <w:r>
        <w:rPr>
          <w:rFonts w:ascii="Times New Roman" w:hAnsi="Times New Roman" w:cs="Times New Roman"/>
          <w:sz w:val="24"/>
          <w:szCs w:val="24"/>
        </w:rPr>
        <w:t xml:space="preserve">. </w:t>
      </w:r>
      <w:r w:rsidR="00232C4C">
        <w:rPr>
          <w:rFonts w:ascii="Times New Roman" w:eastAsia="Calibri" w:hAnsi="Times New Roman"/>
          <w:sz w:val="24"/>
          <w:szCs w:val="24"/>
        </w:rPr>
        <w:t xml:space="preserve">The relatively straight hydrocarbon chains of short-chain saturated fatty acids allow for efficient packing and crystallization, leading to a solid state, with a relatively high melting point </w:t>
      </w:r>
      <w:r w:rsidR="00232C4C">
        <w:rPr>
          <w:rFonts w:ascii="Times New Roman" w:hAnsi="Times New Roman"/>
          <w:color w:val="222222"/>
          <w:sz w:val="24"/>
          <w:szCs w:val="24"/>
          <w:shd w:val="clear" w:color="auto" w:fill="FFFFFF"/>
        </w:rPr>
        <w:t xml:space="preserve">(Ghotra, Dyal, </w:t>
      </w:r>
      <w:r w:rsidR="00232C4C">
        <w:rPr>
          <w:rFonts w:ascii="Times New Roman" w:hAnsi="Times New Roman"/>
          <w:color w:val="222222"/>
          <w:sz w:val="24"/>
          <w:szCs w:val="24"/>
          <w:shd w:val="clear" w:color="auto" w:fill="FFFFFF"/>
        </w:rPr>
        <w:lastRenderedPageBreak/>
        <w:t xml:space="preserve">&amp;Narine, 2002). </w:t>
      </w:r>
      <w:r>
        <w:rPr>
          <w:rFonts w:ascii="Times New Roman" w:hAnsi="Times New Roman" w:cs="Times New Roman"/>
          <w:sz w:val="24"/>
          <w:szCs w:val="24"/>
        </w:rPr>
        <w:t>Most Nigerian deep-fried fast food vendors operate mainly from 6.00 to 11.00 am in the morning (phase</w:t>
      </w:r>
      <w:r w:rsidR="007C12E1">
        <w:rPr>
          <w:rFonts w:ascii="Times New Roman" w:hAnsi="Times New Roman" w:cs="Times New Roman"/>
          <w:sz w:val="24"/>
          <w:szCs w:val="24"/>
        </w:rPr>
        <w:t>-I</w:t>
      </w:r>
      <w:r>
        <w:rPr>
          <w:rFonts w:ascii="Times New Roman" w:hAnsi="Times New Roman" w:cs="Times New Roman"/>
          <w:sz w:val="24"/>
          <w:szCs w:val="24"/>
        </w:rPr>
        <w:t>) and from 4.00 to 10.00 pm in the evening time (phase</w:t>
      </w:r>
      <w:r w:rsidR="007C12E1">
        <w:rPr>
          <w:rFonts w:ascii="Times New Roman" w:hAnsi="Times New Roman" w:cs="Times New Roman"/>
          <w:sz w:val="24"/>
          <w:szCs w:val="24"/>
        </w:rPr>
        <w:t>-II</w:t>
      </w:r>
      <w:r>
        <w:rPr>
          <w:rFonts w:ascii="Times New Roman" w:hAnsi="Times New Roman" w:cs="Times New Roman"/>
          <w:sz w:val="24"/>
          <w:szCs w:val="24"/>
        </w:rPr>
        <w:t>). Within these time frames, once the oil is set on fire for frying, a constant temperature is applied continually till the end of each phase. This is to enable consistent frying of different batches (sets) of deep-fried fast food</w:t>
      </w:r>
      <w:r w:rsidR="007C12E1">
        <w:rPr>
          <w:rFonts w:ascii="Times New Roman" w:hAnsi="Times New Roman" w:cs="Times New Roman"/>
          <w:sz w:val="24"/>
          <w:szCs w:val="24"/>
        </w:rPr>
        <w:t>s</w:t>
      </w:r>
      <w:r>
        <w:rPr>
          <w:rFonts w:ascii="Times New Roman" w:hAnsi="Times New Roman" w:cs="Times New Roman"/>
          <w:sz w:val="24"/>
          <w:szCs w:val="24"/>
        </w:rPr>
        <w:t xml:space="preserve">. This indicates that on an average, a given volume of frying oil is subjected to a constant and high temperature of approximately 300 ⁰C for 10h per day. In re-used oil, </w:t>
      </w:r>
      <w:r>
        <w:rPr>
          <w:rFonts w:ascii="Times New Roman" w:eastAsia="Calibri" w:hAnsi="Times New Roman" w:cs="Times New Roman"/>
          <w:color w:val="000000"/>
          <w:sz w:val="24"/>
          <w:szCs w:val="24"/>
        </w:rPr>
        <w:t>fa</w:t>
      </w:r>
      <w:r w:rsidR="007C12E1">
        <w:rPr>
          <w:rFonts w:ascii="Times New Roman" w:eastAsia="Calibri" w:hAnsi="Times New Roman" w:cs="Times New Roman"/>
          <w:color w:val="000000"/>
          <w:sz w:val="24"/>
          <w:szCs w:val="24"/>
        </w:rPr>
        <w:t xml:space="preserve">tty acids </w:t>
      </w:r>
      <w:r>
        <w:rPr>
          <w:rFonts w:ascii="Times New Roman" w:eastAsia="Calibri" w:hAnsi="Times New Roman" w:cs="Times New Roman"/>
          <w:color w:val="000000"/>
          <w:sz w:val="24"/>
          <w:szCs w:val="24"/>
        </w:rPr>
        <w:t>constituents</w:t>
      </w:r>
      <w:r w:rsidR="007C12E1">
        <w:rPr>
          <w:rFonts w:ascii="Times New Roman" w:eastAsia="Calibri" w:hAnsi="Times New Roman" w:cs="Times New Roman"/>
          <w:color w:val="000000"/>
          <w:sz w:val="24"/>
          <w:szCs w:val="24"/>
        </w:rPr>
        <w:t xml:space="preserve"> of the triacylglycerols</w:t>
      </w:r>
      <w:r>
        <w:rPr>
          <w:rFonts w:ascii="Times New Roman" w:eastAsia="Calibri" w:hAnsi="Times New Roman" w:cs="Times New Roman"/>
          <w:color w:val="000000"/>
          <w:sz w:val="24"/>
          <w:szCs w:val="24"/>
        </w:rPr>
        <w:t xml:space="preserve"> are modified via oxidative, hydrolytic, polymerization and isomerization reactions which eventually results in lipid peroxidation (</w:t>
      </w:r>
      <w:r>
        <w:rPr>
          <w:rStyle w:val="17"/>
          <w:rFonts w:ascii="Times New Roman" w:eastAsia="Calibri" w:hAnsi="Times New Roman" w:cs="Times New Roman"/>
          <w:sz w:val="24"/>
          <w:szCs w:val="24"/>
        </w:rPr>
        <w:t>Choe &amp; Min, 2007</w:t>
      </w:r>
      <w:r>
        <w:rPr>
          <w:rFonts w:ascii="Times New Roman" w:eastAsia="Calibri" w:hAnsi="Times New Roman" w:cs="Times New Roman"/>
          <w:color w:val="000000"/>
          <w:sz w:val="24"/>
          <w:szCs w:val="24"/>
        </w:rPr>
        <w:t xml:space="preserve">) and generation of wide spectrum of volatile or non-volatile compounds, including free fatty acids, alcohols, aldehydes, ketones, hydrocarbons, </w:t>
      </w:r>
      <w:r>
        <w:rPr>
          <w:rFonts w:ascii="Times New Roman" w:eastAsia="Calibri" w:hAnsi="Times New Roman" w:cs="Times New Roman"/>
          <w:i/>
          <w:iCs/>
          <w:color w:val="000000"/>
          <w:sz w:val="24"/>
          <w:szCs w:val="24"/>
        </w:rPr>
        <w:t xml:space="preserve">trans </w:t>
      </w:r>
      <w:r>
        <w:rPr>
          <w:rFonts w:ascii="Times New Roman" w:eastAsia="Calibri" w:hAnsi="Times New Roman" w:cs="Times New Roman"/>
          <w:color w:val="000000"/>
          <w:sz w:val="24"/>
          <w:szCs w:val="24"/>
        </w:rPr>
        <w:t>isomers, cyclic and epoxy compounds (</w:t>
      </w:r>
      <w:r>
        <w:rPr>
          <w:rStyle w:val="17"/>
          <w:rFonts w:ascii="Times New Roman" w:eastAsia="Calibri" w:hAnsi="Times New Roman" w:cs="Times New Roman"/>
          <w:sz w:val="24"/>
          <w:szCs w:val="24"/>
        </w:rPr>
        <w:t xml:space="preserve">Kaviyan </w:t>
      </w:r>
      <w:r w:rsidRPr="00EE004C">
        <w:rPr>
          <w:rStyle w:val="17"/>
          <w:rFonts w:ascii="Times New Roman" w:eastAsia="Calibri" w:hAnsi="Times New Roman" w:cs="Times New Roman"/>
          <w:iCs/>
          <w:sz w:val="24"/>
          <w:szCs w:val="24"/>
          <w:highlight w:val="yellow"/>
        </w:rPr>
        <w:t>et al</w:t>
      </w:r>
      <w:r w:rsidRPr="00EE004C">
        <w:rPr>
          <w:rStyle w:val="17"/>
          <w:rFonts w:ascii="Times New Roman" w:eastAsia="Calibri" w:hAnsi="Times New Roman" w:cs="Times New Roman"/>
          <w:sz w:val="24"/>
          <w:szCs w:val="24"/>
          <w:highlight w:val="yellow"/>
        </w:rPr>
        <w:t>.,</w:t>
      </w:r>
      <w:r>
        <w:rPr>
          <w:rStyle w:val="17"/>
          <w:rFonts w:ascii="Times New Roman" w:eastAsia="Calibri" w:hAnsi="Times New Roman" w:cs="Times New Roman"/>
          <w:sz w:val="24"/>
          <w:szCs w:val="24"/>
        </w:rPr>
        <w:t xml:space="preserve"> 2014; Zhang </w:t>
      </w:r>
      <w:r w:rsidRPr="00EE004C">
        <w:rPr>
          <w:rStyle w:val="17"/>
          <w:rFonts w:ascii="Times New Roman" w:eastAsia="Calibri" w:hAnsi="Times New Roman" w:cs="Times New Roman"/>
          <w:iCs/>
          <w:sz w:val="24"/>
          <w:szCs w:val="24"/>
          <w:highlight w:val="yellow"/>
        </w:rPr>
        <w:t>et al</w:t>
      </w:r>
      <w:r w:rsidRPr="00EE004C">
        <w:rPr>
          <w:rStyle w:val="17"/>
          <w:rFonts w:ascii="Times New Roman" w:eastAsia="Calibri" w:hAnsi="Times New Roman" w:cs="Times New Roman"/>
          <w:sz w:val="24"/>
          <w:szCs w:val="24"/>
          <w:highlight w:val="yellow"/>
        </w:rPr>
        <w:t>.,</w:t>
      </w:r>
      <w:r>
        <w:rPr>
          <w:rStyle w:val="17"/>
          <w:rFonts w:ascii="Times New Roman" w:eastAsia="Calibri" w:hAnsi="Times New Roman" w:cs="Times New Roman"/>
          <w:sz w:val="24"/>
          <w:szCs w:val="24"/>
        </w:rPr>
        <w:t xml:space="preserve"> 2012)</w:t>
      </w:r>
      <w:r>
        <w:t xml:space="preserve">.  </w:t>
      </w:r>
      <w:r>
        <w:rPr>
          <w:rFonts w:ascii="Times New Roman" w:eastAsia="Calibri" w:hAnsi="Times New Roman" w:cs="Times New Roman"/>
          <w:color w:val="000000"/>
          <w:sz w:val="24"/>
          <w:szCs w:val="24"/>
        </w:rPr>
        <w:t xml:space="preserve">The observed </w:t>
      </w:r>
      <w:r>
        <w:rPr>
          <w:rFonts w:ascii="Times New Roman" w:eastAsia="Calibri" w:hAnsi="Times New Roman" w:cs="Times New Roman"/>
          <w:sz w:val="24"/>
          <w:szCs w:val="24"/>
        </w:rPr>
        <w:t xml:space="preserve">colour changes from pale yellow to amber and tan colours, increased viscosity, off-flavour, enhanced foaming observed in samples in figure 1 above could be attributed to end products of lipid peroxidation reactions. </w:t>
      </w:r>
      <w:r>
        <w:rPr>
          <w:rFonts w:ascii="Minion Pro" w:eastAsia="Calibri" w:hAnsi="Minion Pro"/>
          <w:color w:val="000000"/>
          <w:sz w:val="18"/>
          <w:szCs w:val="18"/>
        </w:rPr>
        <w:t>.</w:t>
      </w:r>
      <w:r>
        <w:rPr>
          <w:rFonts w:ascii="Times New Roman" w:hAnsi="Times New Roman" w:cs="Times New Roman"/>
          <w:sz w:val="24"/>
          <w:szCs w:val="24"/>
        </w:rPr>
        <w:t xml:space="preserve">Our observed results from re-used deep fried oil characterization showed significant (p&lt;0.05) increase in saponification values, peroxide values, percentage free fatty acid values, aldehyde groups, TBARS levels,  lipid hydroperoxide concentrations, and significant (p&lt;0.05) reduction in iodine values in comparison with fresh refined vegetable oil, with exception of  areas {(1, 19 and 20)},  {(19 and 20)} and {(5, 9 and 19)} that exhibited non-significant increase in  percentage free fatty acid values, peroxide values and saponification values respectively and area 20 that exhibited non-significant increase in  iodine value. These observed changes </w:t>
      </w:r>
      <w:r w:rsidR="00637D58">
        <w:rPr>
          <w:rFonts w:ascii="Times New Roman" w:hAnsi="Times New Roman" w:cs="Times New Roman"/>
          <w:sz w:val="24"/>
          <w:szCs w:val="24"/>
        </w:rPr>
        <w:t>could</w:t>
      </w:r>
      <w:r>
        <w:rPr>
          <w:rFonts w:ascii="Times New Roman" w:hAnsi="Times New Roman" w:cs="Times New Roman"/>
          <w:sz w:val="24"/>
          <w:szCs w:val="24"/>
        </w:rPr>
        <w:t xml:space="preserve"> be attributed to increase</w:t>
      </w:r>
      <w:r w:rsidR="00E36F3B">
        <w:rPr>
          <w:rFonts w:ascii="Times New Roman" w:hAnsi="Times New Roman" w:cs="Times New Roman"/>
          <w:sz w:val="24"/>
          <w:szCs w:val="24"/>
        </w:rPr>
        <w:t>d</w:t>
      </w:r>
      <w:r>
        <w:rPr>
          <w:rFonts w:ascii="Times New Roman" w:hAnsi="Times New Roman" w:cs="Times New Roman"/>
          <w:sz w:val="24"/>
          <w:szCs w:val="24"/>
        </w:rPr>
        <w:t xml:space="preserve"> lipid peroxidation level/free radical attack during frying</w:t>
      </w:r>
      <w:r w:rsidR="00637D58">
        <w:rPr>
          <w:rFonts w:ascii="Times New Roman" w:hAnsi="Times New Roman" w:cs="Times New Roman"/>
          <w:sz w:val="24"/>
          <w:szCs w:val="24"/>
        </w:rPr>
        <w:t xml:space="preserve">, while the observed discrepancies in some of the oil from different areas could be due to variations in </w:t>
      </w:r>
      <w:r w:rsidR="00EB6810">
        <w:rPr>
          <w:rFonts w:ascii="Times New Roman" w:hAnsi="Times New Roman" w:cs="Times New Roman"/>
          <w:sz w:val="24"/>
          <w:szCs w:val="24"/>
        </w:rPr>
        <w:t xml:space="preserve">duration of </w:t>
      </w:r>
      <w:r w:rsidR="00637D58">
        <w:rPr>
          <w:rFonts w:ascii="Times New Roman" w:hAnsi="Times New Roman" w:cs="Times New Roman"/>
          <w:sz w:val="24"/>
          <w:szCs w:val="24"/>
        </w:rPr>
        <w:t xml:space="preserve">heating, topping uptime and whether the oil </w:t>
      </w:r>
      <w:r w:rsidR="00637D58" w:rsidRPr="00E36F3B">
        <w:rPr>
          <w:rFonts w:ascii="Times New Roman" w:hAnsi="Times New Roman" w:cs="Times New Roman"/>
          <w:sz w:val="24"/>
          <w:szCs w:val="24"/>
        </w:rPr>
        <w:t>being use</w:t>
      </w:r>
      <w:r w:rsidR="00EB6810" w:rsidRPr="00E36F3B">
        <w:rPr>
          <w:rFonts w:ascii="Times New Roman" w:hAnsi="Times New Roman" w:cs="Times New Roman"/>
          <w:sz w:val="24"/>
          <w:szCs w:val="24"/>
        </w:rPr>
        <w:t>d</w:t>
      </w:r>
      <w:r w:rsidR="00637D58" w:rsidRPr="00E36F3B">
        <w:rPr>
          <w:rFonts w:ascii="Times New Roman" w:hAnsi="Times New Roman" w:cs="Times New Roman"/>
          <w:sz w:val="24"/>
          <w:szCs w:val="24"/>
        </w:rPr>
        <w:t xml:space="preserve"> was</w:t>
      </w:r>
      <w:r w:rsidR="00637D58">
        <w:rPr>
          <w:rFonts w:ascii="Times New Roman" w:hAnsi="Times New Roman" w:cs="Times New Roman"/>
          <w:sz w:val="24"/>
          <w:szCs w:val="24"/>
        </w:rPr>
        <w:t xml:space="preserve"> the continuation of </w:t>
      </w:r>
      <w:r w:rsidR="00E36F3B">
        <w:rPr>
          <w:rFonts w:ascii="Times New Roman" w:hAnsi="Times New Roman" w:cs="Times New Roman"/>
          <w:sz w:val="24"/>
          <w:szCs w:val="24"/>
        </w:rPr>
        <w:t xml:space="preserve">the previous </w:t>
      </w:r>
      <w:r w:rsidR="00E36F3B">
        <w:rPr>
          <w:rFonts w:ascii="Times New Roman" w:hAnsi="Times New Roman" w:cs="Times New Roman"/>
          <w:sz w:val="24"/>
          <w:szCs w:val="24"/>
        </w:rPr>
        <w:lastRenderedPageBreak/>
        <w:t>day’s</w:t>
      </w:r>
      <w:r w:rsidR="00637D58">
        <w:rPr>
          <w:rFonts w:ascii="Times New Roman" w:hAnsi="Times New Roman" w:cs="Times New Roman"/>
          <w:sz w:val="24"/>
          <w:szCs w:val="24"/>
        </w:rPr>
        <w:t xml:space="preserve"> oil sample. </w:t>
      </w:r>
      <w:r w:rsidR="00EB6810">
        <w:rPr>
          <w:rFonts w:ascii="Times New Roman" w:hAnsi="Times New Roman" w:cs="Times New Roman"/>
          <w:sz w:val="24"/>
          <w:szCs w:val="24"/>
        </w:rPr>
        <w:t xml:space="preserve"> However, t</w:t>
      </w:r>
      <w:r>
        <w:rPr>
          <w:rFonts w:ascii="Times New Roman" w:hAnsi="Times New Roman" w:cs="Times New Roman"/>
          <w:sz w:val="24"/>
          <w:szCs w:val="24"/>
        </w:rPr>
        <w:t xml:space="preserve">hese </w:t>
      </w:r>
      <w:r w:rsidR="00EB6810">
        <w:rPr>
          <w:rFonts w:ascii="Times New Roman" w:hAnsi="Times New Roman" w:cs="Times New Roman"/>
          <w:sz w:val="24"/>
          <w:szCs w:val="24"/>
        </w:rPr>
        <w:t>deep-fried</w:t>
      </w:r>
      <w:r>
        <w:rPr>
          <w:rFonts w:ascii="Times New Roman" w:hAnsi="Times New Roman" w:cs="Times New Roman"/>
          <w:sz w:val="24"/>
          <w:szCs w:val="24"/>
        </w:rPr>
        <w:t xml:space="preserve"> fast foods are either washed in water and salted or dissolved with little volume of water to make paste coupled with addition of salt for taste before frying. When these water and salt coupled with metal ions which may be an </w:t>
      </w:r>
      <w:r w:rsidR="00EB6810">
        <w:rPr>
          <w:rFonts w:ascii="Times New Roman" w:hAnsi="Times New Roman" w:cs="Times New Roman"/>
          <w:sz w:val="24"/>
          <w:szCs w:val="24"/>
        </w:rPr>
        <w:t>intrinsic constituent of the food sample</w:t>
      </w:r>
      <w:r>
        <w:rPr>
          <w:rFonts w:ascii="Times New Roman" w:hAnsi="Times New Roman" w:cs="Times New Roman"/>
          <w:sz w:val="24"/>
          <w:szCs w:val="24"/>
        </w:rPr>
        <w:t xml:space="preserve"> or contaminates from wears and tears of the milling machine comes in contact </w:t>
      </w:r>
      <w:r w:rsidR="00EB6810">
        <w:rPr>
          <w:rFonts w:ascii="Times New Roman" w:hAnsi="Times New Roman" w:cs="Times New Roman"/>
          <w:sz w:val="24"/>
          <w:szCs w:val="24"/>
        </w:rPr>
        <w:t xml:space="preserve">withthe </w:t>
      </w:r>
      <w:r>
        <w:rPr>
          <w:rFonts w:ascii="Times New Roman" w:hAnsi="Times New Roman" w:cs="Times New Roman"/>
          <w:sz w:val="24"/>
          <w:szCs w:val="24"/>
        </w:rPr>
        <w:t>extreme hot oil, generation of free radicals is initiate</w:t>
      </w:r>
      <w:r w:rsidR="00EB6810">
        <w:rPr>
          <w:rFonts w:ascii="Times New Roman" w:hAnsi="Times New Roman" w:cs="Times New Roman"/>
          <w:sz w:val="24"/>
          <w:szCs w:val="24"/>
        </w:rPr>
        <w:t>d</w:t>
      </w:r>
      <w:r>
        <w:rPr>
          <w:rFonts w:ascii="Times New Roman" w:hAnsi="Times New Roman" w:cs="Times New Roman"/>
          <w:sz w:val="24"/>
          <w:szCs w:val="24"/>
        </w:rPr>
        <w:t>. U</w:t>
      </w:r>
      <w:r>
        <w:rPr>
          <w:rFonts w:ascii="Times New Roman" w:eastAsia="Calibri" w:hAnsi="Times New Roman"/>
          <w:sz w:val="24"/>
          <w:szCs w:val="24"/>
        </w:rPr>
        <w:t>nsaturated fatty acids (omega-9, -6 and -3 series) serve as good substrates for free radical attacks because of the presence of carbon-hydrogen bonds on the active bis-allylic methylene groups (</w:t>
      </w:r>
      <w:r>
        <w:rPr>
          <w:rFonts w:ascii="Times New Roman" w:eastAsia="Calibri" w:hAnsi="Times New Roman"/>
        </w:rPr>
        <w:t xml:space="preserve">Brash, 2000). They possess </w:t>
      </w:r>
      <w:r>
        <w:rPr>
          <w:rFonts w:ascii="Times New Roman" w:eastAsia="Calibri" w:hAnsi="Times New Roman"/>
          <w:sz w:val="24"/>
          <w:szCs w:val="24"/>
        </w:rPr>
        <w:t xml:space="preserve">lower enthalpy change, making these hydrogen atoms very easy to abstract during free radical attack, leading to fragmentation of the long hydrocarbon chain into fragments. </w:t>
      </w:r>
      <w:r w:rsidR="003E6051">
        <w:rPr>
          <w:rFonts w:ascii="Times New Roman" w:eastAsia="Calibri" w:hAnsi="Times New Roman"/>
          <w:sz w:val="24"/>
          <w:szCs w:val="24"/>
        </w:rPr>
        <w:t xml:space="preserve">High number of </w:t>
      </w:r>
      <w:r>
        <w:rPr>
          <w:rFonts w:ascii="Times New Roman" w:eastAsia="Calibri" w:hAnsi="Times New Roman"/>
          <w:sz w:val="24"/>
          <w:szCs w:val="24"/>
        </w:rPr>
        <w:t xml:space="preserve">double bonds </w:t>
      </w:r>
      <w:r w:rsidR="003E6051">
        <w:rPr>
          <w:rFonts w:ascii="Times New Roman" w:eastAsia="Calibri" w:hAnsi="Times New Roman"/>
          <w:sz w:val="24"/>
          <w:szCs w:val="24"/>
        </w:rPr>
        <w:t xml:space="preserve">result in increased </w:t>
      </w:r>
      <w:r>
        <w:rPr>
          <w:rFonts w:ascii="Times New Roman" w:eastAsia="Calibri" w:hAnsi="Times New Roman"/>
          <w:sz w:val="24"/>
          <w:szCs w:val="24"/>
        </w:rPr>
        <w:t xml:space="preserve">free radical attack, whichdecreases the iodine value, but invariably increases the degree of saturation and fragmentation leading to significant increase in </w:t>
      </w:r>
      <w:r>
        <w:rPr>
          <w:rFonts w:ascii="Times New Roman" w:hAnsi="Times New Roman" w:cs="Times New Roman"/>
          <w:sz w:val="24"/>
          <w:szCs w:val="24"/>
        </w:rPr>
        <w:t>saponification value, peroxide value, percentage free fatty acid, acid value and aldehyde groups</w:t>
      </w:r>
      <w:r>
        <w:rPr>
          <w:rFonts w:ascii="Times New Roman" w:eastAsia="Calibri" w:hAnsi="Times New Roman"/>
          <w:sz w:val="24"/>
          <w:szCs w:val="24"/>
        </w:rPr>
        <w:t xml:space="preserve">.The above assertion is in total agreement with our findings.  </w:t>
      </w:r>
    </w:p>
    <w:p w:rsidR="00E26A50" w:rsidRDefault="00727B1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Our result from GC-MS analysis of methylated </w:t>
      </w:r>
      <w:r w:rsidR="003E6051">
        <w:rPr>
          <w:rFonts w:ascii="Times New Roman" w:hAnsi="Times New Roman" w:cs="Times New Roman"/>
          <w:sz w:val="24"/>
          <w:szCs w:val="24"/>
        </w:rPr>
        <w:t xml:space="preserve">re-used deep fried </w:t>
      </w:r>
      <w:r>
        <w:rPr>
          <w:rFonts w:ascii="Times New Roman" w:hAnsi="Times New Roman" w:cs="Times New Roman"/>
          <w:sz w:val="24"/>
          <w:szCs w:val="24"/>
        </w:rPr>
        <w:t xml:space="preserve">oil shows the presence of 16 compounds representing 100% of the total oil. The chemical names, molecular structures, retention time (RT) and relative percentage areas of compounds detected by Gas chromatography-mass spectrophotometry are presented in Table 3. One of the </w:t>
      </w:r>
      <w:r w:rsidR="003E6051">
        <w:rPr>
          <w:rFonts w:ascii="Times New Roman" w:hAnsi="Times New Roman" w:cs="Times New Roman"/>
          <w:sz w:val="24"/>
          <w:szCs w:val="24"/>
        </w:rPr>
        <w:t xml:space="preserve">already established </w:t>
      </w:r>
      <w:r>
        <w:rPr>
          <w:rFonts w:ascii="Times New Roman" w:hAnsi="Times New Roman" w:cs="Times New Roman"/>
          <w:sz w:val="24"/>
          <w:szCs w:val="24"/>
        </w:rPr>
        <w:t xml:space="preserve">cytotoxic compounds detected in methylated re-used deep fried oil </w:t>
      </w:r>
      <w:r w:rsidR="00FB3278">
        <w:rPr>
          <w:rFonts w:ascii="Times New Roman" w:hAnsi="Times New Roman" w:cs="Times New Roman"/>
          <w:sz w:val="24"/>
          <w:szCs w:val="24"/>
        </w:rPr>
        <w:t>was</w:t>
      </w:r>
      <w:r>
        <w:rPr>
          <w:rFonts w:ascii="Times New Roman" w:hAnsi="Times New Roman" w:cs="Times New Roman"/>
          <w:sz w:val="24"/>
          <w:szCs w:val="24"/>
        </w:rPr>
        <w:t xml:space="preserve"> Cholest-5-en-3-ol (3β) (2.59%), a known </w:t>
      </w:r>
      <w:r>
        <w:rPr>
          <w:rFonts w:ascii="Times New Roman" w:eastAsia="Calibri" w:hAnsi="Times New Roman" w:cs="Times New Roman"/>
          <w:sz w:val="24"/>
          <w:szCs w:val="24"/>
        </w:rPr>
        <w:t>inducer of echinocytic transformation of human erythrocytes that further causes decrease in osmotic fragility of red blood</w:t>
      </w:r>
      <w:r w:rsidR="003E6051">
        <w:rPr>
          <w:rFonts w:ascii="Times New Roman" w:eastAsia="Calibri" w:hAnsi="Times New Roman" w:cs="Times New Roman"/>
          <w:sz w:val="24"/>
          <w:szCs w:val="24"/>
        </w:rPr>
        <w:t xml:space="preserve"> cells</w:t>
      </w:r>
      <w:r>
        <w:rPr>
          <w:rFonts w:ascii="Times New Roman" w:hAnsi="Times New Roman" w:cs="Times New Roman"/>
          <w:sz w:val="24"/>
          <w:szCs w:val="24"/>
        </w:rPr>
        <w:t>. However, the failure of methylation process to capture very</w:t>
      </w:r>
      <w:r w:rsidR="003E6051">
        <w:rPr>
          <w:rFonts w:ascii="Times New Roman" w:hAnsi="Times New Roman" w:cs="Times New Roman"/>
          <w:sz w:val="24"/>
          <w:szCs w:val="24"/>
        </w:rPr>
        <w:t xml:space="preserve"> low</w:t>
      </w:r>
      <w:r>
        <w:rPr>
          <w:rFonts w:ascii="Times New Roman" w:hAnsi="Times New Roman" w:cs="Times New Roman"/>
          <w:sz w:val="24"/>
          <w:szCs w:val="24"/>
        </w:rPr>
        <w:t xml:space="preserve"> short chain hydrocarbons further necessitates the derivatization method that was able to detected hazardous compounds</w:t>
      </w:r>
      <w:r w:rsidR="00425E02">
        <w:rPr>
          <w:rFonts w:ascii="Times New Roman" w:hAnsi="Times New Roman" w:cs="Times New Roman"/>
          <w:sz w:val="24"/>
          <w:szCs w:val="24"/>
        </w:rPr>
        <w:t>. An</w:t>
      </w:r>
      <w:r>
        <w:rPr>
          <w:rFonts w:ascii="Times New Roman" w:hAnsi="Times New Roman" w:cs="Times New Roman"/>
          <w:sz w:val="24"/>
          <w:szCs w:val="24"/>
        </w:rPr>
        <w:t xml:space="preserve"> already established cytotoxic product among </w:t>
      </w:r>
      <w:r w:rsidR="00425E02">
        <w:rPr>
          <w:rFonts w:ascii="Times New Roman" w:hAnsi="Times New Roman" w:cs="Times New Roman"/>
          <w:sz w:val="24"/>
          <w:szCs w:val="24"/>
        </w:rPr>
        <w:t>these compounds</w:t>
      </w:r>
      <w:r>
        <w:rPr>
          <w:rFonts w:ascii="Times New Roman" w:hAnsi="Times New Roman" w:cs="Times New Roman"/>
          <w:sz w:val="24"/>
          <w:szCs w:val="24"/>
        </w:rPr>
        <w:t xml:space="preserve"> is </w:t>
      </w:r>
      <w:r>
        <w:rPr>
          <w:rFonts w:ascii="Times New Roman" w:eastAsia="Calibri" w:hAnsi="Times New Roman" w:cs="Times New Roman"/>
          <w:sz w:val="24"/>
          <w:szCs w:val="24"/>
        </w:rPr>
        <w:t xml:space="preserve">trans-2-trans-4-decadienal, apro-apoptotic and </w:t>
      </w:r>
      <w:r>
        <w:rPr>
          <w:rFonts w:ascii="Times New Roman" w:eastAsia="Calibri" w:hAnsi="Times New Roman" w:cs="Times New Roman"/>
          <w:sz w:val="24"/>
          <w:szCs w:val="24"/>
        </w:rPr>
        <w:lastRenderedPageBreak/>
        <w:t xml:space="preserve">highly reactive α,β-unsaturated aldehyde capable of inducing nitrative/oxidative stress. </w:t>
      </w:r>
      <w:r w:rsidRPr="00425E02">
        <w:rPr>
          <w:rFonts w:ascii="Times New Roman" w:hAnsi="Times New Roman" w:cs="Times New Roman"/>
          <w:sz w:val="24"/>
          <w:szCs w:val="24"/>
        </w:rPr>
        <w:t>(2E)-dec-2-enal, with molecular formula (C</w:t>
      </w:r>
      <w:r w:rsidRPr="00425E02">
        <w:rPr>
          <w:rFonts w:ascii="Times New Roman" w:hAnsi="Times New Roman" w:cs="Times New Roman"/>
          <w:sz w:val="24"/>
          <w:szCs w:val="24"/>
          <w:vertAlign w:val="subscript"/>
        </w:rPr>
        <w:t>10</w:t>
      </w:r>
      <w:r w:rsidRPr="00425E02">
        <w:rPr>
          <w:rFonts w:ascii="Times New Roman" w:hAnsi="Times New Roman" w:cs="Times New Roman"/>
          <w:sz w:val="24"/>
          <w:szCs w:val="24"/>
        </w:rPr>
        <w:t>H</w:t>
      </w:r>
      <w:r w:rsidRPr="00425E02">
        <w:rPr>
          <w:rFonts w:ascii="Times New Roman" w:hAnsi="Times New Roman" w:cs="Times New Roman"/>
          <w:sz w:val="24"/>
          <w:szCs w:val="24"/>
          <w:vertAlign w:val="subscript"/>
        </w:rPr>
        <w:t>18</w:t>
      </w:r>
      <w:r w:rsidRPr="00425E02">
        <w:rPr>
          <w:rFonts w:ascii="Times New Roman" w:hAnsi="Times New Roman" w:cs="Times New Roman"/>
          <w:sz w:val="24"/>
          <w:szCs w:val="24"/>
        </w:rPr>
        <w:t xml:space="preserve">O) and net charge of zero has been considered hazardous by the 2012 OSHA Hazard Communication Standard </w:t>
      </w:r>
      <w:r>
        <w:rPr>
          <w:rFonts w:ascii="Times New Roman" w:eastAsia="SimSun" w:hAnsi="Times New Roman" w:cs="Times New Roman"/>
          <w:color w:val="222222"/>
          <w:sz w:val="24"/>
          <w:szCs w:val="24"/>
          <w:shd w:val="clear" w:color="auto" w:fill="FFFFFF"/>
        </w:rPr>
        <w:t>(CQA, 2012)</w:t>
      </w:r>
      <w:r>
        <w:rPr>
          <w:rFonts w:ascii="Times New Roman" w:hAnsi="Times New Roman" w:cs="Times New Roman"/>
          <w:color w:val="5B9BD5" w:themeColor="accent1"/>
          <w:sz w:val="24"/>
          <w:szCs w:val="24"/>
        </w:rPr>
        <w:t>.</w:t>
      </w:r>
      <w:r>
        <w:rPr>
          <w:rFonts w:ascii="Times New Roman" w:hAnsi="Times New Roman" w:cs="Times New Roman"/>
          <w:sz w:val="24"/>
          <w:szCs w:val="24"/>
        </w:rPr>
        <w:t xml:space="preserve"> It causes serious eye and skin irritation</w:t>
      </w:r>
      <w:r w:rsidR="00EB6810">
        <w:rPr>
          <w:rFonts w:ascii="Times New Roman" w:hAnsi="Times New Roman" w:cs="Times New Roman"/>
          <w:sz w:val="24"/>
          <w:szCs w:val="24"/>
        </w:rPr>
        <w:t>.</w:t>
      </w:r>
      <w:r>
        <w:rPr>
          <w:rFonts w:ascii="Times New Roman" w:hAnsi="Times New Roman" w:cs="Times New Roman"/>
          <w:sz w:val="24"/>
          <w:szCs w:val="24"/>
        </w:rPr>
        <w:t xml:space="preserve"> Information on Eco toxicity revealed that (2E)-dec-2-enal, is very toxic to aquatic organism. Beta-sitosterol (β-sitosterol), a saturated phytosterol similar to cholesterol, is widely distributed among plant kingdom (vegetable oil, nuts and avocados). It helps to reduce cholesterol level by inhibiting </w:t>
      </w:r>
      <w:r w:rsidR="00425E02">
        <w:rPr>
          <w:rFonts w:ascii="Times New Roman" w:hAnsi="Times New Roman" w:cs="Times New Roman"/>
          <w:sz w:val="24"/>
          <w:szCs w:val="24"/>
        </w:rPr>
        <w:t>its</w:t>
      </w:r>
      <w:r>
        <w:rPr>
          <w:rFonts w:ascii="Times New Roman" w:hAnsi="Times New Roman" w:cs="Times New Roman"/>
          <w:sz w:val="24"/>
          <w:szCs w:val="24"/>
        </w:rPr>
        <w:t xml:space="preserve"> absorption and </w:t>
      </w:r>
      <w:r w:rsidR="00425E02">
        <w:rPr>
          <w:rFonts w:ascii="Times New Roman" w:hAnsi="Times New Roman" w:cs="Times New Roman"/>
          <w:sz w:val="24"/>
          <w:szCs w:val="24"/>
        </w:rPr>
        <w:t xml:space="preserve">causes </w:t>
      </w:r>
      <w:r>
        <w:rPr>
          <w:rFonts w:ascii="Times New Roman" w:hAnsi="Times New Roman" w:cs="Times New Roman"/>
          <w:sz w:val="24"/>
          <w:szCs w:val="24"/>
        </w:rPr>
        <w:t>reduc</w:t>
      </w:r>
      <w:r w:rsidR="00425E02">
        <w:rPr>
          <w:rFonts w:ascii="Times New Roman" w:hAnsi="Times New Roman" w:cs="Times New Roman"/>
          <w:sz w:val="24"/>
          <w:szCs w:val="24"/>
        </w:rPr>
        <w:t>tion in</w:t>
      </w:r>
      <w:r>
        <w:rPr>
          <w:rFonts w:ascii="Times New Roman" w:hAnsi="Times New Roman" w:cs="Times New Roman"/>
          <w:sz w:val="24"/>
          <w:szCs w:val="24"/>
        </w:rPr>
        <w:t xml:space="preserve"> swelling </w:t>
      </w:r>
      <w:r w:rsidR="002E78CB">
        <w:rPr>
          <w:rFonts w:ascii="Times New Roman" w:hAnsi="Times New Roman" w:cs="Times New Roman"/>
          <w:sz w:val="24"/>
          <w:szCs w:val="24"/>
        </w:rPr>
        <w:t>of</w:t>
      </w:r>
      <w:r>
        <w:rPr>
          <w:rFonts w:ascii="Times New Roman" w:hAnsi="Times New Roman" w:cs="Times New Roman"/>
          <w:sz w:val="24"/>
          <w:szCs w:val="24"/>
        </w:rPr>
        <w:t xml:space="preserve"> enlarged prostate (Benign prostatic hyperplasia)</w:t>
      </w:r>
      <w:r w:rsidR="002E78CB">
        <w:rPr>
          <w:rFonts w:ascii="Times New Roman" w:hAnsi="Times New Roman" w:cs="Times New Roman"/>
          <w:sz w:val="24"/>
          <w:szCs w:val="24"/>
        </w:rPr>
        <w:t xml:space="preserve">, and further possess </w:t>
      </w:r>
      <w:r w:rsidR="00EB6810">
        <w:rPr>
          <w:rFonts w:ascii="Times New Roman" w:hAnsi="Times New Roman" w:cs="Times New Roman"/>
          <w:sz w:val="24"/>
          <w:szCs w:val="24"/>
        </w:rPr>
        <w:t>strong inhibitor</w:t>
      </w:r>
      <w:r w:rsidR="002E78CB">
        <w:rPr>
          <w:rFonts w:ascii="Times New Roman" w:hAnsi="Times New Roman" w:cs="Times New Roman"/>
          <w:sz w:val="24"/>
          <w:szCs w:val="24"/>
        </w:rPr>
        <w:t xml:space="preserve">y activities against </w:t>
      </w:r>
      <w:r>
        <w:rPr>
          <w:rFonts w:ascii="Times New Roman" w:hAnsi="Times New Roman" w:cs="Times New Roman"/>
          <w:sz w:val="24"/>
          <w:szCs w:val="24"/>
        </w:rPr>
        <w:t xml:space="preserve">both aromatase and 5-alpha-reductase enzymes (David, 2018). Intake of β-sitosterol is one of the many reasons eating vegetables is good for human health. </w:t>
      </w:r>
      <w:r w:rsidRPr="00554853">
        <w:rPr>
          <w:rFonts w:ascii="Times New Roman" w:hAnsi="Times New Roman" w:cs="Times New Roman"/>
          <w:sz w:val="24"/>
          <w:szCs w:val="24"/>
        </w:rPr>
        <w:t>However, another important compound isolated in the course of this analysis is erucic acid, a monounsaturated omega-9 fatty acid denoted as 22:1 n-9</w:t>
      </w:r>
      <w:r w:rsidR="00725CC5" w:rsidRPr="00554853">
        <w:rPr>
          <w:rFonts w:ascii="Times New Roman" w:hAnsi="Times New Roman" w:cs="Times New Roman"/>
          <w:sz w:val="24"/>
          <w:szCs w:val="24"/>
        </w:rPr>
        <w:t xml:space="preserve">, </w:t>
      </w:r>
      <w:r w:rsidR="00725CC5" w:rsidRPr="00554853">
        <w:rPr>
          <w:rStyle w:val="16"/>
          <w:rFonts w:ascii="Times New Roman" w:eastAsia="Calibri" w:hAnsi="Times New Roman" w:cs="Times New Roman"/>
          <w:bCs/>
          <w:color w:val="1F1F1F"/>
          <w:sz w:val="24"/>
          <w:szCs w:val="24"/>
        </w:rPr>
        <w:t xml:space="preserve">mainly found in rape seeds oil and in repeatedly used </w:t>
      </w:r>
      <w:r w:rsidR="00725CC5" w:rsidRPr="00240E4C">
        <w:rPr>
          <w:rStyle w:val="16"/>
          <w:rFonts w:ascii="Times New Roman" w:eastAsia="Calibri" w:hAnsi="Times New Roman" w:cs="Times New Roman"/>
          <w:bCs/>
          <w:color w:val="1F1F1F"/>
          <w:sz w:val="24"/>
          <w:szCs w:val="24"/>
        </w:rPr>
        <w:t>oil, inhibits NF-κB and p38 MAPK (</w:t>
      </w:r>
      <w:r w:rsidR="00725CC5" w:rsidRPr="00240E4C">
        <w:rPr>
          <w:rFonts w:ascii="Times New Roman" w:eastAsia="SimSun" w:hAnsi="Times New Roman" w:cs="Times New Roman"/>
          <w:color w:val="222222"/>
          <w:sz w:val="24"/>
          <w:szCs w:val="24"/>
          <w:shd w:val="clear" w:color="auto" w:fill="FFFFFF"/>
        </w:rPr>
        <w:t xml:space="preserve">Kazmi, </w:t>
      </w:r>
      <w:r w:rsidR="00725CC5" w:rsidRPr="00EE004C">
        <w:rPr>
          <w:rFonts w:ascii="Times New Roman" w:eastAsia="SimSun" w:hAnsi="Times New Roman" w:cs="Times New Roman"/>
          <w:iCs/>
          <w:color w:val="222222"/>
          <w:sz w:val="24"/>
          <w:szCs w:val="24"/>
          <w:highlight w:val="yellow"/>
          <w:shd w:val="clear" w:color="auto" w:fill="FFFFFF"/>
        </w:rPr>
        <w:t>eta</w:t>
      </w:r>
      <w:r w:rsidR="00725CC5" w:rsidRPr="00EE004C">
        <w:rPr>
          <w:rFonts w:ascii="Times New Roman" w:eastAsia="SimSun" w:hAnsi="Times New Roman" w:cs="Times New Roman"/>
          <w:color w:val="222222"/>
          <w:sz w:val="24"/>
          <w:szCs w:val="24"/>
          <w:highlight w:val="yellow"/>
          <w:shd w:val="clear" w:color="auto" w:fill="FFFFFF"/>
        </w:rPr>
        <w:t>l.,</w:t>
      </w:r>
      <w:r w:rsidR="00725CC5" w:rsidRPr="00240E4C">
        <w:rPr>
          <w:rFonts w:ascii="Times New Roman" w:eastAsia="SimSun" w:hAnsi="Times New Roman" w:cs="Times New Roman"/>
          <w:color w:val="222222"/>
          <w:sz w:val="24"/>
          <w:szCs w:val="24"/>
          <w:shd w:val="clear" w:color="auto" w:fill="FFFFFF"/>
        </w:rPr>
        <w:t xml:space="preserve"> 2024; </w:t>
      </w:r>
      <w:r w:rsidR="00725CC5" w:rsidRPr="00240E4C">
        <w:rPr>
          <w:rStyle w:val="16"/>
          <w:rFonts w:ascii="Times New Roman" w:eastAsia="Calibri" w:hAnsi="Times New Roman" w:cs="Times New Roman"/>
          <w:bCs/>
          <w:color w:val="1F1F1F"/>
          <w:sz w:val="24"/>
          <w:szCs w:val="24"/>
        </w:rPr>
        <w:t xml:space="preserve">Liang, </w:t>
      </w:r>
      <w:r w:rsidR="00725CC5" w:rsidRPr="00EE004C">
        <w:rPr>
          <w:rStyle w:val="16"/>
          <w:rFonts w:ascii="Times New Roman" w:eastAsia="Calibri" w:hAnsi="Times New Roman" w:cs="Times New Roman"/>
          <w:bCs/>
          <w:color w:val="1F1F1F"/>
          <w:sz w:val="24"/>
          <w:szCs w:val="24"/>
          <w:highlight w:val="yellow"/>
        </w:rPr>
        <w:t>et al.,</w:t>
      </w:r>
      <w:r w:rsidR="00725CC5" w:rsidRPr="00240E4C">
        <w:rPr>
          <w:rStyle w:val="16"/>
          <w:rFonts w:ascii="Times New Roman" w:eastAsia="Calibri" w:hAnsi="Times New Roman" w:cs="Times New Roman"/>
          <w:bCs/>
          <w:color w:val="1F1F1F"/>
          <w:sz w:val="24"/>
          <w:szCs w:val="24"/>
        </w:rPr>
        <w:t xml:space="preserve"> 2020), </w:t>
      </w:r>
      <w:r w:rsidRPr="00240E4C">
        <w:rPr>
          <w:rFonts w:ascii="Times New Roman" w:hAnsi="Times New Roman" w:cs="Times New Roman"/>
          <w:sz w:val="24"/>
          <w:szCs w:val="24"/>
        </w:rPr>
        <w:t>causes lipidosis, raises blood cholesterol and impairs myocardial conductance (cardiac injury) at high concentration (Burrows &amp;Tyrl, 2013).</w:t>
      </w:r>
      <w:r>
        <w:rPr>
          <w:rFonts w:ascii="Times New Roman" w:hAnsi="Times New Roman" w:cs="Times New Roman"/>
          <w:sz w:val="24"/>
          <w:szCs w:val="24"/>
        </w:rPr>
        <w:t xml:space="preserve"> Our result from </w:t>
      </w:r>
      <w:r>
        <w:rPr>
          <w:rFonts w:ascii="Times New Roman" w:eastAsia="Calibri" w:hAnsi="Times New Roman" w:cs="Times New Roman"/>
          <w:sz w:val="24"/>
          <w:szCs w:val="24"/>
        </w:rPr>
        <w:t xml:space="preserve">total ionized compounds in raw </w:t>
      </w:r>
      <w:r w:rsidR="006A2BFF">
        <w:rPr>
          <w:rFonts w:ascii="Times New Roman" w:eastAsia="Calibri" w:hAnsi="Times New Roman" w:cs="Times New Roman"/>
          <w:sz w:val="24"/>
          <w:szCs w:val="24"/>
        </w:rPr>
        <w:t xml:space="preserve">untreated </w:t>
      </w:r>
      <w:r>
        <w:rPr>
          <w:rFonts w:ascii="Times New Roman" w:eastAsia="Calibri" w:hAnsi="Times New Roman" w:cs="Times New Roman"/>
          <w:sz w:val="24"/>
          <w:szCs w:val="24"/>
        </w:rPr>
        <w:t>re-used deep fried oil indicates the presence of 2-butenedioic acid (E)-; bis(z-ethylhexyl)ester a by-product of condensation reactions between C</w:t>
      </w:r>
      <w:r>
        <w:rPr>
          <w:rFonts w:ascii="Times New Roman" w:eastAsia="Calibri" w:hAnsi="Times New Roman" w:cs="Times New Roman"/>
          <w:sz w:val="24"/>
          <w:szCs w:val="24"/>
          <w:vertAlign w:val="subscript"/>
        </w:rPr>
        <w:t>4</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4</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4</w:t>
      </w:r>
      <w:r>
        <w:rPr>
          <w:rFonts w:ascii="Times New Roman" w:eastAsia="Calibri" w:hAnsi="Times New Roman" w:cs="Times New Roman"/>
          <w:sz w:val="24"/>
          <w:szCs w:val="24"/>
        </w:rPr>
        <w:t xml:space="preserve">butenedioic acid and two z-ethylhexyl ester, which justified the fact that condensation reaction is one of the predominant reactions during deep frying of vegetable oil. </w:t>
      </w:r>
      <w:r>
        <w:rPr>
          <w:rFonts w:ascii="Times New Roman" w:hAnsi="Times New Roman" w:cs="Times New Roman"/>
          <w:sz w:val="24"/>
          <w:szCs w:val="24"/>
        </w:rPr>
        <w:t xml:space="preserve">The observed partial hydrolysis </w:t>
      </w:r>
      <w:r w:rsidR="000C187B">
        <w:rPr>
          <w:rFonts w:ascii="Times New Roman" w:hAnsi="Times New Roman" w:cs="Times New Roman"/>
          <w:sz w:val="24"/>
          <w:szCs w:val="24"/>
        </w:rPr>
        <w:t>of fatty</w:t>
      </w:r>
      <w:r>
        <w:rPr>
          <w:rFonts w:ascii="Times New Roman" w:hAnsi="Times New Roman" w:cs="Times New Roman"/>
          <w:sz w:val="24"/>
          <w:szCs w:val="24"/>
        </w:rPr>
        <w:t xml:space="preserve"> acids esterified to glycerol in Dodecanoic acid, 1-(hydroxymethyl)-1,2-ethanediyl and Glycerol tricaprylate may have justify the fact that fresh oil</w:t>
      </w:r>
      <w:r w:rsidR="00EB6810">
        <w:rPr>
          <w:rFonts w:ascii="Times New Roman" w:hAnsi="Times New Roman" w:cs="Times New Roman"/>
          <w:sz w:val="24"/>
          <w:szCs w:val="24"/>
        </w:rPr>
        <w:t xml:space="preserve"> samples</w:t>
      </w:r>
      <w:r>
        <w:rPr>
          <w:rFonts w:ascii="Times New Roman" w:hAnsi="Times New Roman" w:cs="Times New Roman"/>
          <w:sz w:val="24"/>
          <w:szCs w:val="24"/>
        </w:rPr>
        <w:t xml:space="preserve"> were added to re-used oil by the vendor</w:t>
      </w:r>
      <w:r w:rsidR="00EB6810">
        <w:rPr>
          <w:rFonts w:ascii="Times New Roman" w:hAnsi="Times New Roman" w:cs="Times New Roman"/>
          <w:sz w:val="24"/>
          <w:szCs w:val="24"/>
        </w:rPr>
        <w:t>s in the course of frying</w:t>
      </w:r>
      <w:r>
        <w:rPr>
          <w:rFonts w:ascii="Times New Roman" w:hAnsi="Times New Roman" w:cs="Times New Roman"/>
          <w:sz w:val="24"/>
          <w:szCs w:val="24"/>
        </w:rPr>
        <w:t>. (2E)-dec-2-enal, a dec-2-enal in which the olefinic double bond has E configuration, with molecular formular (C</w:t>
      </w:r>
      <w:r>
        <w:rPr>
          <w:rFonts w:ascii="Times New Roman" w:hAnsi="Times New Roman" w:cs="Times New Roman"/>
          <w:sz w:val="24"/>
          <w:szCs w:val="24"/>
          <w:vertAlign w:val="subscript"/>
        </w:rPr>
        <w:t>10</w:t>
      </w:r>
      <w:r>
        <w:rPr>
          <w:rFonts w:ascii="Times New Roman" w:hAnsi="Times New Roman" w:cs="Times New Roman"/>
          <w:sz w:val="24"/>
          <w:szCs w:val="24"/>
        </w:rPr>
        <w:t>H</w:t>
      </w:r>
      <w:r>
        <w:rPr>
          <w:rFonts w:ascii="Times New Roman" w:hAnsi="Times New Roman" w:cs="Times New Roman"/>
          <w:sz w:val="24"/>
          <w:szCs w:val="24"/>
          <w:vertAlign w:val="subscript"/>
        </w:rPr>
        <w:t>18</w:t>
      </w:r>
      <w:r>
        <w:rPr>
          <w:rFonts w:ascii="Times New Roman" w:hAnsi="Times New Roman" w:cs="Times New Roman"/>
          <w:sz w:val="24"/>
          <w:szCs w:val="24"/>
        </w:rPr>
        <w:t>O)</w:t>
      </w:r>
      <w:r w:rsidR="0001573D">
        <w:rPr>
          <w:rFonts w:ascii="Times New Roman" w:hAnsi="Times New Roman" w:cs="Times New Roman"/>
          <w:sz w:val="24"/>
          <w:szCs w:val="24"/>
        </w:rPr>
        <w:t xml:space="preserve"> and </w:t>
      </w:r>
      <w:r>
        <w:rPr>
          <w:rFonts w:ascii="Times New Roman" w:hAnsi="Times New Roman" w:cs="Times New Roman"/>
          <w:sz w:val="24"/>
          <w:szCs w:val="24"/>
        </w:rPr>
        <w:t>net charge of zero</w:t>
      </w:r>
      <w:r w:rsidR="0001573D">
        <w:rPr>
          <w:rFonts w:ascii="Times New Roman" w:hAnsi="Times New Roman" w:cs="Times New Roman"/>
          <w:sz w:val="24"/>
          <w:szCs w:val="24"/>
        </w:rPr>
        <w:t xml:space="preserve"> was also detected</w:t>
      </w:r>
      <w:r>
        <w:rPr>
          <w:rFonts w:ascii="Times New Roman" w:hAnsi="Times New Roman" w:cs="Times New Roman"/>
          <w:sz w:val="24"/>
          <w:szCs w:val="24"/>
        </w:rPr>
        <w:t>. Th</w:t>
      </w:r>
      <w:r w:rsidR="000C187B">
        <w:rPr>
          <w:rFonts w:ascii="Times New Roman" w:hAnsi="Times New Roman" w:cs="Times New Roman"/>
          <w:sz w:val="24"/>
          <w:szCs w:val="24"/>
        </w:rPr>
        <w:t>is</w:t>
      </w:r>
      <w:r>
        <w:rPr>
          <w:rFonts w:ascii="Times New Roman" w:hAnsi="Times New Roman" w:cs="Times New Roman"/>
          <w:sz w:val="24"/>
          <w:szCs w:val="24"/>
        </w:rPr>
        <w:t xml:space="preserve"> compound </w:t>
      </w:r>
      <w:r w:rsidR="000C187B">
        <w:rPr>
          <w:rFonts w:ascii="Times New Roman" w:hAnsi="Times New Roman" w:cs="Times New Roman"/>
          <w:sz w:val="24"/>
          <w:szCs w:val="24"/>
        </w:rPr>
        <w:t>when</w:t>
      </w:r>
      <w:r>
        <w:rPr>
          <w:rFonts w:ascii="Times New Roman" w:hAnsi="Times New Roman" w:cs="Times New Roman"/>
          <w:sz w:val="24"/>
          <w:szCs w:val="24"/>
        </w:rPr>
        <w:t xml:space="preserve"> </w:t>
      </w:r>
      <w:r>
        <w:rPr>
          <w:rFonts w:ascii="Times New Roman" w:hAnsi="Times New Roman" w:cs="Times New Roman"/>
          <w:sz w:val="24"/>
          <w:szCs w:val="24"/>
        </w:rPr>
        <w:lastRenderedPageBreak/>
        <w:t>released by an</w:t>
      </w:r>
      <w:r w:rsidR="000C187B">
        <w:rPr>
          <w:rFonts w:ascii="Times New Roman" w:hAnsi="Times New Roman" w:cs="Times New Roman"/>
          <w:sz w:val="24"/>
          <w:szCs w:val="24"/>
        </w:rPr>
        <w:t xml:space="preserve"> injured </w:t>
      </w:r>
      <w:r>
        <w:rPr>
          <w:rFonts w:ascii="Times New Roman" w:hAnsi="Times New Roman" w:cs="Times New Roman"/>
          <w:sz w:val="24"/>
          <w:szCs w:val="24"/>
        </w:rPr>
        <w:t>organism signals the presence of danger to other organisms.Cetene, the most highly reactive hexadecane isomers with chemical formula of C</w:t>
      </w:r>
      <w:r>
        <w:rPr>
          <w:rFonts w:ascii="Times New Roman" w:hAnsi="Times New Roman" w:cs="Times New Roman"/>
          <w:sz w:val="24"/>
          <w:szCs w:val="24"/>
          <w:vertAlign w:val="subscript"/>
        </w:rPr>
        <w:t>16</w:t>
      </w:r>
      <w:r>
        <w:rPr>
          <w:rFonts w:ascii="Times New Roman" w:hAnsi="Times New Roman" w:cs="Times New Roman"/>
          <w:sz w:val="24"/>
          <w:szCs w:val="24"/>
        </w:rPr>
        <w:t>H</w:t>
      </w:r>
      <w:r>
        <w:rPr>
          <w:rFonts w:ascii="Times New Roman" w:hAnsi="Times New Roman" w:cs="Times New Roman"/>
          <w:sz w:val="24"/>
          <w:szCs w:val="24"/>
          <w:vertAlign w:val="subscript"/>
        </w:rPr>
        <w:t>32</w:t>
      </w:r>
      <w:r>
        <w:rPr>
          <w:rFonts w:ascii="Times New Roman" w:hAnsi="Times New Roman" w:cs="Times New Roman"/>
          <w:sz w:val="24"/>
          <w:szCs w:val="24"/>
        </w:rPr>
        <w:t>,belongs to the class of organic compounds known as unsaturated aliphatic hydrocarbons</w:t>
      </w:r>
      <w:r w:rsidR="0001573D">
        <w:rPr>
          <w:rFonts w:ascii="Times New Roman" w:hAnsi="Times New Roman" w:cs="Times New Roman"/>
          <w:sz w:val="24"/>
          <w:szCs w:val="24"/>
        </w:rPr>
        <w:t xml:space="preserve">, </w:t>
      </w:r>
      <w:r>
        <w:rPr>
          <w:rFonts w:ascii="Times New Roman" w:hAnsi="Times New Roman" w:cs="Times New Roman"/>
          <w:sz w:val="24"/>
          <w:szCs w:val="24"/>
        </w:rPr>
        <w:t>widely used as a surfactant in lubricating fluid and drilling industry</w:t>
      </w:r>
      <w:r w:rsidR="0001573D">
        <w:rPr>
          <w:rFonts w:ascii="Times New Roman" w:hAnsi="Times New Roman" w:cs="Times New Roman"/>
          <w:sz w:val="24"/>
          <w:szCs w:val="24"/>
        </w:rPr>
        <w:t xml:space="preserve"> was also detected</w:t>
      </w:r>
      <w:r>
        <w:rPr>
          <w:rFonts w:ascii="Times New Roman" w:hAnsi="Times New Roman" w:cs="Times New Roman"/>
          <w:sz w:val="24"/>
          <w:szCs w:val="24"/>
        </w:rPr>
        <w:t xml:space="preserve">. </w:t>
      </w:r>
    </w:p>
    <w:p w:rsidR="003B3559" w:rsidRDefault="00E26A50">
      <w:pPr>
        <w:spacing w:line="480" w:lineRule="auto"/>
        <w:jc w:val="both"/>
        <w:rPr>
          <w:rFonts w:ascii="Times New Roman" w:eastAsia="Calibri" w:hAnsi="Times New Roman" w:cs="Times New Roman"/>
          <w:sz w:val="24"/>
          <w:szCs w:val="24"/>
        </w:rPr>
      </w:pPr>
      <w:r>
        <w:rPr>
          <w:rFonts w:ascii="Times New Roman" w:hAnsi="Times New Roman"/>
          <w:sz w:val="24"/>
          <w:szCs w:val="24"/>
        </w:rPr>
        <w:t xml:space="preserve">However, current literature indicates no available information on its biological bioactivities and interactions, and no available information on its organoleptic roles in food.  Although, cetene has been identified as one of the major constituents of ethyl acetate fraction of </w:t>
      </w:r>
      <w:r>
        <w:rPr>
          <w:rFonts w:ascii="Times New Roman" w:hAnsi="Times New Roman"/>
          <w:i/>
          <w:sz w:val="24"/>
          <w:szCs w:val="24"/>
        </w:rPr>
        <w:t>Loxostylisalata</w:t>
      </w:r>
      <w:r>
        <w:rPr>
          <w:rFonts w:ascii="Times New Roman" w:hAnsi="Times New Roman"/>
          <w:sz w:val="24"/>
          <w:szCs w:val="24"/>
        </w:rPr>
        <w:t xml:space="preserve"> extract that exhibited an </w:t>
      </w:r>
      <w:r>
        <w:rPr>
          <w:rFonts w:ascii="Times New Roman" w:hAnsi="Times New Roman"/>
          <w:i/>
          <w:sz w:val="24"/>
          <w:szCs w:val="24"/>
        </w:rPr>
        <w:t>in-vitro</w:t>
      </w:r>
      <w:r>
        <w:rPr>
          <w:rFonts w:ascii="Times New Roman" w:hAnsi="Times New Roman"/>
          <w:sz w:val="24"/>
          <w:szCs w:val="24"/>
        </w:rPr>
        <w:t xml:space="preserve"> antibacterial activity against </w:t>
      </w:r>
      <w:r>
        <w:rPr>
          <w:rFonts w:ascii="Times New Roman" w:hAnsi="Times New Roman"/>
          <w:i/>
          <w:sz w:val="24"/>
          <w:szCs w:val="24"/>
        </w:rPr>
        <w:t>salmonella species</w:t>
      </w:r>
      <w:r>
        <w:rPr>
          <w:rFonts w:ascii="Times New Roman" w:hAnsi="Times New Roman"/>
          <w:sz w:val="24"/>
          <w:szCs w:val="24"/>
        </w:rPr>
        <w:t xml:space="preserve"> (Gado, </w:t>
      </w:r>
      <w:r w:rsidRPr="00EE004C">
        <w:rPr>
          <w:rFonts w:ascii="Times New Roman" w:hAnsi="Times New Roman"/>
          <w:iCs/>
          <w:sz w:val="24"/>
          <w:szCs w:val="24"/>
          <w:highlight w:val="yellow"/>
        </w:rPr>
        <w:t>et al</w:t>
      </w:r>
      <w:r w:rsidRPr="00EE004C">
        <w:rPr>
          <w:rFonts w:ascii="Times New Roman" w:hAnsi="Times New Roman"/>
          <w:sz w:val="24"/>
          <w:szCs w:val="24"/>
          <w:highlight w:val="yellow"/>
        </w:rPr>
        <w:t>.,</w:t>
      </w:r>
      <w:r>
        <w:rPr>
          <w:rFonts w:ascii="Times New Roman" w:hAnsi="Times New Roman"/>
          <w:sz w:val="24"/>
          <w:szCs w:val="24"/>
        </w:rPr>
        <w:t xml:space="preserve"> 2021).  </w:t>
      </w:r>
      <w:r w:rsidRPr="00E26A50">
        <w:rPr>
          <w:rFonts w:ascii="Times New Roman" w:eastAsia="Calibri" w:hAnsi="Times New Roman" w:cs="Times New Roman"/>
          <w:color w:val="000000"/>
          <w:sz w:val="24"/>
          <w:szCs w:val="24"/>
        </w:rPr>
        <w:t xml:space="preserve">Arafa </w:t>
      </w:r>
      <w:r w:rsidRPr="00EE004C">
        <w:rPr>
          <w:rFonts w:ascii="Times New Roman" w:eastAsia="Calibri" w:hAnsi="Times New Roman" w:cs="Times New Roman"/>
          <w:iCs/>
          <w:color w:val="000000"/>
          <w:sz w:val="24"/>
          <w:szCs w:val="24"/>
          <w:highlight w:val="yellow"/>
        </w:rPr>
        <w:t>et al</w:t>
      </w:r>
      <w:r w:rsidRPr="00E26A50">
        <w:rPr>
          <w:rFonts w:ascii="Times New Roman" w:eastAsia="Calibri" w:hAnsi="Times New Roman" w:cs="Times New Roman"/>
          <w:sz w:val="24"/>
          <w:szCs w:val="24"/>
        </w:rPr>
        <w:t>.(2022)</w:t>
      </w:r>
      <w:r w:rsidRPr="00E26A50">
        <w:rPr>
          <w:rFonts w:ascii="Times New Roman" w:eastAsia="Calibri" w:hAnsi="Times New Roman" w:cs="Times New Roman"/>
          <w:color w:val="000000"/>
          <w:sz w:val="24"/>
          <w:szCs w:val="24"/>
        </w:rPr>
        <w:t xml:space="preserve"> identified Cetene,</w:t>
      </w:r>
      <w:r>
        <w:rPr>
          <w:rFonts w:ascii="Times New Roman" w:eastAsia="Calibri" w:hAnsi="Times New Roman" w:cs="Times New Roman"/>
          <w:sz w:val="24"/>
          <w:szCs w:val="24"/>
        </w:rPr>
        <w:t xml:space="preserve">Heneicosane and Hexadecane,2,6,11,15-tetramethyl in </w:t>
      </w:r>
      <w:r>
        <w:rPr>
          <w:rFonts w:ascii="Times New Roman" w:eastAsia="Calibri" w:hAnsi="Times New Roman" w:cs="Times New Roman"/>
          <w:bCs/>
          <w:i/>
          <w:iCs/>
          <w:color w:val="000000"/>
          <w:sz w:val="24"/>
          <w:szCs w:val="24"/>
        </w:rPr>
        <w:t>Pimpinella anisum</w:t>
      </w:r>
      <w:r>
        <w:rPr>
          <w:rFonts w:ascii="Times New Roman" w:eastAsia="Calibri" w:hAnsi="Times New Roman" w:cs="Times New Roman"/>
          <w:bCs/>
          <w:color w:val="000000"/>
          <w:sz w:val="24"/>
          <w:szCs w:val="24"/>
        </w:rPr>
        <w:t>L. Callus Cultures as affected by yeast and phenylalanine application (</w:t>
      </w:r>
      <w:r>
        <w:rPr>
          <w:rFonts w:ascii="Times New Roman" w:eastAsia="Calibri" w:hAnsi="Times New Roman" w:cs="Times New Roman"/>
          <w:color w:val="000000"/>
          <w:sz w:val="24"/>
          <w:szCs w:val="24"/>
        </w:rPr>
        <w:t xml:space="preserve">Arafa </w:t>
      </w:r>
      <w:r w:rsidRPr="00EE004C">
        <w:rPr>
          <w:rFonts w:ascii="Times New Roman" w:eastAsia="Calibri" w:hAnsi="Times New Roman" w:cs="Times New Roman"/>
          <w:iCs/>
          <w:color w:val="000000"/>
          <w:sz w:val="24"/>
          <w:szCs w:val="24"/>
          <w:highlight w:val="yellow"/>
        </w:rPr>
        <w:t>et al</w:t>
      </w:r>
      <w:r w:rsidRPr="00EE004C">
        <w:rPr>
          <w:rFonts w:ascii="Times New Roman" w:eastAsia="Calibri" w:hAnsi="Times New Roman" w:cs="Times New Roman"/>
          <w:color w:val="000000"/>
          <w:sz w:val="24"/>
          <w:szCs w:val="24"/>
          <w:highlight w:val="yellow"/>
        </w:rPr>
        <w:t>.,</w:t>
      </w:r>
      <w:r>
        <w:rPr>
          <w:rFonts w:ascii="Times New Roman" w:eastAsia="Calibri" w:hAnsi="Times New Roman" w:cs="Times New Roman"/>
          <w:color w:val="000000"/>
          <w:sz w:val="24"/>
          <w:szCs w:val="24"/>
        </w:rPr>
        <w:t xml:space="preserve"> 2022),</w:t>
      </w:r>
      <w:r>
        <w:rPr>
          <w:rFonts w:ascii="Times New Roman" w:eastAsia="Calibri" w:hAnsi="Times New Roman" w:cs="Times New Roman"/>
          <w:bCs/>
          <w:sz w:val="24"/>
          <w:szCs w:val="24"/>
        </w:rPr>
        <w:t xml:space="preserve"> while both </w:t>
      </w:r>
      <w:r>
        <w:rPr>
          <w:rFonts w:ascii="Times New Roman" w:eastAsia="Calibri" w:hAnsi="Times New Roman" w:cs="Times New Roman"/>
          <w:sz w:val="24"/>
          <w:szCs w:val="24"/>
        </w:rPr>
        <w:t>Heneicosane and Hexadecane,2,6,11,15-tetramethyl were found to exhibit {Microbicide activities} and {</w:t>
      </w:r>
      <w:r>
        <w:rPr>
          <w:rFonts w:ascii="Times New Roman" w:eastAsia="Calibri" w:hAnsi="Times New Roman" w:cs="Times New Roman"/>
          <w:color w:val="000000"/>
          <w:sz w:val="24"/>
          <w:szCs w:val="24"/>
        </w:rPr>
        <w:t>Antifungal- antitumor- antibacterial, larvicidal- antimicrobial</w:t>
      </w:r>
      <w:r>
        <w:rPr>
          <w:rFonts w:ascii="Times New Roman" w:eastAsia="Calibri" w:hAnsi="Times New Roman" w:cs="Times New Roman"/>
          <w:sz w:val="24"/>
          <w:szCs w:val="24"/>
        </w:rPr>
        <w:t xml:space="preserve"> - cytotoxic} respectively.  </w:t>
      </w:r>
      <w:r w:rsidR="00727B14">
        <w:rPr>
          <w:rFonts w:ascii="Times New Roman" w:eastAsia="Calibri" w:hAnsi="Times New Roman" w:cs="Times New Roman"/>
          <w:bCs/>
          <w:sz w:val="24"/>
          <w:szCs w:val="24"/>
        </w:rPr>
        <w:t>1-nonadecanol, an extremely weak acidic compound, with chemical formula of C</w:t>
      </w:r>
      <w:r w:rsidR="00727B14">
        <w:rPr>
          <w:rFonts w:ascii="Times New Roman" w:eastAsia="Calibri" w:hAnsi="Times New Roman" w:cs="Times New Roman"/>
          <w:bCs/>
          <w:sz w:val="24"/>
          <w:szCs w:val="24"/>
          <w:vertAlign w:val="subscript"/>
        </w:rPr>
        <w:t>19</w:t>
      </w:r>
      <w:r w:rsidR="00727B14">
        <w:rPr>
          <w:rFonts w:ascii="Times New Roman" w:eastAsia="Calibri" w:hAnsi="Times New Roman" w:cs="Times New Roman"/>
          <w:bCs/>
          <w:sz w:val="24"/>
          <w:szCs w:val="24"/>
        </w:rPr>
        <w:t>H</w:t>
      </w:r>
      <w:r w:rsidR="00727B14">
        <w:rPr>
          <w:rFonts w:ascii="Times New Roman" w:eastAsia="Calibri" w:hAnsi="Times New Roman" w:cs="Times New Roman"/>
          <w:bCs/>
          <w:sz w:val="24"/>
          <w:szCs w:val="24"/>
          <w:vertAlign w:val="subscript"/>
        </w:rPr>
        <w:t>400</w:t>
      </w:r>
      <w:r w:rsidR="00727B14">
        <w:rPr>
          <w:rFonts w:ascii="Times New Roman" w:eastAsia="Calibri" w:hAnsi="Times New Roman" w:cs="Times New Roman"/>
          <w:bCs/>
          <w:sz w:val="24"/>
          <w:szCs w:val="24"/>
        </w:rPr>
        <w:t xml:space="preserve"> and an average molecular weight 284.5203</w:t>
      </w:r>
      <w:r w:rsidR="005036A4">
        <w:rPr>
          <w:rFonts w:ascii="Times New Roman" w:eastAsia="Calibri" w:hAnsi="Times New Roman" w:cs="Times New Roman"/>
          <w:bCs/>
          <w:sz w:val="24"/>
          <w:szCs w:val="24"/>
        </w:rPr>
        <w:t>g</w:t>
      </w:r>
      <w:r w:rsidR="00727B14">
        <w:rPr>
          <w:rFonts w:ascii="Times New Roman" w:eastAsia="Calibri" w:hAnsi="Times New Roman" w:cs="Times New Roman"/>
          <w:bCs/>
          <w:sz w:val="24"/>
          <w:szCs w:val="24"/>
        </w:rPr>
        <w:t>, a member of the class of compounds known as long chain fatty alcohols, which is practically insoluble in water</w:t>
      </w:r>
      <w:r w:rsidR="005036A4">
        <w:rPr>
          <w:rFonts w:ascii="Times New Roman" w:eastAsia="Calibri" w:hAnsi="Times New Roman" w:cs="Times New Roman"/>
          <w:bCs/>
          <w:sz w:val="24"/>
          <w:szCs w:val="24"/>
        </w:rPr>
        <w:t>, but</w:t>
      </w:r>
      <w:r w:rsidR="00727B14">
        <w:rPr>
          <w:rFonts w:ascii="Times New Roman" w:eastAsia="Calibri" w:hAnsi="Times New Roman" w:cs="Times New Roman"/>
          <w:bCs/>
          <w:sz w:val="24"/>
          <w:szCs w:val="24"/>
        </w:rPr>
        <w:t xml:space="preserve"> found in black elderberry and potato</w:t>
      </w:r>
      <w:r w:rsidR="005036A4">
        <w:rPr>
          <w:rFonts w:ascii="Times New Roman" w:eastAsia="Calibri" w:hAnsi="Times New Roman" w:cs="Times New Roman"/>
          <w:bCs/>
          <w:sz w:val="24"/>
          <w:szCs w:val="24"/>
        </w:rPr>
        <w:t xml:space="preserve"> was also detected.</w:t>
      </w:r>
    </w:p>
    <w:p w:rsidR="003B3559" w:rsidRDefault="00727B14" w:rsidP="000F09E6">
      <w:pPr>
        <w:spacing w:before="0" w:beforeAutospacing="0" w:line="480" w:lineRule="auto"/>
        <w:jc w:val="both"/>
        <w:rPr>
          <w:rFonts w:ascii="Times New Roman" w:hAnsi="Times New Roman" w:cs="Times New Roman"/>
          <w:b/>
          <w:sz w:val="24"/>
          <w:szCs w:val="24"/>
        </w:rPr>
      </w:pPr>
      <w:r>
        <w:rPr>
          <w:rFonts w:ascii="Times New Roman" w:hAnsi="Times New Roman" w:cs="Times New Roman"/>
          <w:b/>
          <w:sz w:val="24"/>
          <w:szCs w:val="24"/>
        </w:rPr>
        <w:t>Conclusion</w:t>
      </w:r>
    </w:p>
    <w:p w:rsidR="003B3559" w:rsidRDefault="00727B14" w:rsidP="000F09E6">
      <w:pPr>
        <w:spacing w:before="0" w:beforeAutospacing="0" w:line="480" w:lineRule="auto"/>
        <w:jc w:val="both"/>
        <w:rPr>
          <w:rFonts w:ascii="Times New Roman" w:hAnsi="Times New Roman" w:cs="Times New Roman"/>
          <w:sz w:val="24"/>
          <w:szCs w:val="24"/>
        </w:rPr>
      </w:pPr>
      <w:r>
        <w:rPr>
          <w:rFonts w:ascii="Times New Roman" w:hAnsi="Times New Roman" w:cs="Times New Roman"/>
          <w:sz w:val="24"/>
          <w:szCs w:val="24"/>
        </w:rPr>
        <w:t xml:space="preserve">In our own opinion, </w:t>
      </w:r>
      <w:r w:rsidR="00483ABD">
        <w:rPr>
          <w:rFonts w:ascii="Times New Roman" w:hAnsi="Times New Roman" w:cs="Times New Roman"/>
          <w:sz w:val="24"/>
          <w:szCs w:val="24"/>
        </w:rPr>
        <w:t>this current</w:t>
      </w:r>
      <w:r>
        <w:rPr>
          <w:rFonts w:ascii="Times New Roman" w:hAnsi="Times New Roman" w:cs="Times New Roman"/>
          <w:sz w:val="24"/>
          <w:szCs w:val="24"/>
        </w:rPr>
        <w:t xml:space="preserve"> observed </w:t>
      </w:r>
      <w:r>
        <w:rPr>
          <w:rFonts w:ascii="Times New Roman" w:hAnsi="Times New Roman" w:cs="Times New Roman"/>
          <w:i/>
          <w:sz w:val="24"/>
          <w:szCs w:val="24"/>
        </w:rPr>
        <w:t>in-vitro</w:t>
      </w:r>
      <w:r>
        <w:rPr>
          <w:rFonts w:ascii="Times New Roman" w:hAnsi="Times New Roman" w:cs="Times New Roman"/>
          <w:sz w:val="24"/>
          <w:szCs w:val="24"/>
        </w:rPr>
        <w:t xml:space="preserve"> presence of already established toxicological compounds in re-used deep fried vegetable oil demands that consumption of food samples prepared via re-used deep fried vegetable oil should rather </w:t>
      </w:r>
      <w:r w:rsidR="005F5E29">
        <w:rPr>
          <w:rFonts w:ascii="Times New Roman" w:hAnsi="Times New Roman" w:cs="Times New Roman"/>
          <w:sz w:val="24"/>
          <w:szCs w:val="24"/>
        </w:rPr>
        <w:t xml:space="preserve">be </w:t>
      </w:r>
      <w:r>
        <w:rPr>
          <w:rFonts w:ascii="Times New Roman" w:hAnsi="Times New Roman" w:cs="Times New Roman"/>
          <w:sz w:val="24"/>
          <w:szCs w:val="24"/>
        </w:rPr>
        <w:t>avoided</w:t>
      </w:r>
      <w:r w:rsidR="005F5E29">
        <w:rPr>
          <w:rFonts w:ascii="Times New Roman" w:hAnsi="Times New Roman" w:cs="Times New Roman"/>
          <w:sz w:val="24"/>
          <w:szCs w:val="24"/>
        </w:rPr>
        <w:t xml:space="preserve"> for now</w:t>
      </w:r>
      <w:r>
        <w:rPr>
          <w:rFonts w:ascii="Times New Roman" w:hAnsi="Times New Roman" w:cs="Times New Roman"/>
          <w:sz w:val="24"/>
          <w:szCs w:val="24"/>
        </w:rPr>
        <w:t xml:space="preserve">, until </w:t>
      </w:r>
      <w:r>
        <w:rPr>
          <w:rFonts w:ascii="Times New Roman" w:hAnsi="Times New Roman" w:cs="Times New Roman"/>
          <w:i/>
          <w:sz w:val="24"/>
          <w:szCs w:val="24"/>
        </w:rPr>
        <w:t>in-</w:t>
      </w:r>
      <w:r w:rsidRPr="00EE004C">
        <w:rPr>
          <w:rFonts w:ascii="Times New Roman" w:hAnsi="Times New Roman" w:cs="Times New Roman"/>
          <w:i/>
          <w:sz w:val="24"/>
          <w:szCs w:val="24"/>
          <w:highlight w:val="yellow"/>
        </w:rPr>
        <w:t>vivo</w:t>
      </w:r>
      <w:r>
        <w:rPr>
          <w:rFonts w:ascii="Times New Roman" w:hAnsi="Times New Roman" w:cs="Times New Roman"/>
          <w:sz w:val="24"/>
          <w:szCs w:val="24"/>
        </w:rPr>
        <w:t xml:space="preserve"> experiment in animal models indicate otherwise. Further research should be particularly directed at verification of re-use deep fried vegetable oil toxicity and </w:t>
      </w:r>
      <w:r w:rsidR="00D64E60">
        <w:rPr>
          <w:rFonts w:ascii="Times New Roman" w:hAnsi="Times New Roman" w:cs="Times New Roman"/>
          <w:sz w:val="24"/>
          <w:szCs w:val="24"/>
        </w:rPr>
        <w:t xml:space="preserve">cytotoxic screening of </w:t>
      </w:r>
      <w:r w:rsidR="00D64E60">
        <w:rPr>
          <w:rFonts w:ascii="Times New Roman" w:eastAsia="Calibri" w:hAnsi="Times New Roman"/>
          <w:bCs/>
          <w:iCs/>
          <w:sz w:val="24"/>
          <w:szCs w:val="24"/>
        </w:rPr>
        <w:t xml:space="preserve">already </w:t>
      </w:r>
      <w:r w:rsidR="00D64E60">
        <w:rPr>
          <w:rFonts w:ascii="Times New Roman" w:eastAsia="Calibri" w:hAnsi="Times New Roman"/>
          <w:bCs/>
          <w:iCs/>
          <w:sz w:val="24"/>
          <w:szCs w:val="24"/>
        </w:rPr>
        <w:lastRenderedPageBreak/>
        <w:t xml:space="preserve">established cytotoxic compounds and possibly the new cytotoxic </w:t>
      </w:r>
      <w:r w:rsidR="00D64E60">
        <w:rPr>
          <w:rFonts w:ascii="Times New Roman" w:eastAsia="Calibri" w:hAnsi="Times New Roman"/>
          <w:iCs/>
          <w:sz w:val="24"/>
          <w:szCs w:val="24"/>
        </w:rPr>
        <w:t xml:space="preserve">aldehydes and carbonyl </w:t>
      </w:r>
      <w:r w:rsidR="005F5E29">
        <w:rPr>
          <w:rFonts w:ascii="Times New Roman" w:hAnsi="Times New Roman" w:cs="Times New Roman"/>
          <w:sz w:val="24"/>
          <w:szCs w:val="24"/>
        </w:rPr>
        <w:t>on</w:t>
      </w:r>
      <w:r>
        <w:rPr>
          <w:rFonts w:ascii="Times New Roman" w:hAnsi="Times New Roman" w:cs="Times New Roman"/>
          <w:sz w:val="24"/>
          <w:szCs w:val="24"/>
        </w:rPr>
        <w:t xml:space="preserve"> wide panel of cells of different organs.</w:t>
      </w:r>
    </w:p>
    <w:p w:rsidR="001C7004" w:rsidRDefault="001C7004">
      <w:pPr>
        <w:spacing w:after="120" w:line="480" w:lineRule="auto"/>
        <w:jc w:val="both"/>
        <w:rPr>
          <w:rFonts w:ascii="Times New Roman" w:hAnsi="Times New Roman" w:cs="Times New Roman"/>
          <w:b/>
          <w:sz w:val="24"/>
          <w:szCs w:val="24"/>
        </w:rPr>
      </w:pPr>
    </w:p>
    <w:p w:rsidR="001C7004" w:rsidRDefault="001C7004">
      <w:pPr>
        <w:spacing w:after="120" w:line="480" w:lineRule="auto"/>
        <w:jc w:val="both"/>
        <w:rPr>
          <w:rFonts w:ascii="Times New Roman" w:hAnsi="Times New Roman" w:cs="Times New Roman"/>
          <w:b/>
          <w:sz w:val="24"/>
          <w:szCs w:val="24"/>
        </w:rPr>
      </w:pPr>
    </w:p>
    <w:p w:rsidR="003B3559" w:rsidRDefault="00727B14">
      <w:pPr>
        <w:spacing w:after="120" w:line="480" w:lineRule="auto"/>
        <w:jc w:val="both"/>
        <w:rPr>
          <w:rFonts w:ascii="Times New Roman" w:hAnsi="Times New Roman" w:cs="Times New Roman"/>
          <w:b/>
          <w:sz w:val="24"/>
          <w:szCs w:val="24"/>
        </w:rPr>
      </w:pPr>
      <w:bookmarkStart w:id="3" w:name="_GoBack"/>
      <w:bookmarkEnd w:id="3"/>
      <w:r>
        <w:rPr>
          <w:rFonts w:ascii="Times New Roman" w:hAnsi="Times New Roman" w:cs="Times New Roman"/>
          <w:b/>
          <w:sz w:val="24"/>
          <w:szCs w:val="24"/>
        </w:rPr>
        <w:t>References</w:t>
      </w:r>
    </w:p>
    <w:p w:rsidR="003B3559" w:rsidRDefault="00727B14">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Adegbyega, T. (2023). </w:t>
      </w:r>
      <w:r>
        <w:rPr>
          <w:rFonts w:ascii="Times New Roman" w:hAnsi="Times New Roman" w:cs="Times New Roman"/>
          <w:i/>
          <w:sz w:val="24"/>
          <w:szCs w:val="24"/>
        </w:rPr>
        <w:t>Sweeter than crude</w:t>
      </w:r>
      <w:r>
        <w:rPr>
          <w:rFonts w:ascii="Times New Roman" w:hAnsi="Times New Roman" w:cs="Times New Roman"/>
          <w:sz w:val="24"/>
          <w:szCs w:val="24"/>
        </w:rPr>
        <w:t>. The National newspaper, Ltd, April 9.</w:t>
      </w:r>
    </w:p>
    <w:p w:rsidR="003B3559" w:rsidRDefault="00727B14">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AOAC Official method 940.28 Fatty acid (Free) in Crude and Refined Oils. 2015 AOAC International. </w:t>
      </w:r>
    </w:p>
    <w:p w:rsidR="003B3559" w:rsidRDefault="00727B14">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AOCS (2009) Official methods and recommended practices of the AOCS, 6th edn. American Oil Chemists’ Society, Champaign, IL. </w:t>
      </w:r>
    </w:p>
    <w:p w:rsidR="003B3559" w:rsidRDefault="00727B14">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AOCS. (2009). Official methods and recommended practices of the AOCS, 6th edn. American Oil Chemists’ Society, Champaign, IL.</w:t>
      </w:r>
    </w:p>
    <w:p w:rsidR="003B3559" w:rsidRDefault="00727B14">
      <w:pPr>
        <w:spacing w:after="0" w:line="480" w:lineRule="auto"/>
        <w:ind w:left="720" w:hanging="720"/>
        <w:jc w:val="both"/>
        <w:rPr>
          <w:rFonts w:ascii="Times New Roman" w:hAnsi="Times New Roman" w:cs="Times New Roman"/>
          <w:sz w:val="24"/>
          <w:szCs w:val="24"/>
        </w:rPr>
      </w:pPr>
      <w:r>
        <w:rPr>
          <w:rFonts w:ascii="Times New Roman" w:hAnsi="Times New Roman" w:cs="Times New Roman"/>
          <w:bCs/>
          <w:sz w:val="24"/>
          <w:szCs w:val="24"/>
        </w:rPr>
        <w:t xml:space="preserve">Arafa, M.N., Moawad, M. &amp; Aly, I.U. (2022). Gas Chromatography-Mass spectrometry Analysis of Phytocomponents Present in </w:t>
      </w:r>
      <w:r>
        <w:rPr>
          <w:rFonts w:ascii="Times New Roman" w:hAnsi="Times New Roman" w:cs="Times New Roman"/>
          <w:bCs/>
          <w:i/>
          <w:iCs/>
          <w:sz w:val="24"/>
          <w:szCs w:val="24"/>
        </w:rPr>
        <w:t>Pimpinella anisum</w:t>
      </w:r>
      <w:r>
        <w:rPr>
          <w:rFonts w:ascii="Times New Roman" w:hAnsi="Times New Roman" w:cs="Times New Roman"/>
          <w:bCs/>
          <w:sz w:val="24"/>
          <w:szCs w:val="24"/>
        </w:rPr>
        <w:t xml:space="preserve">L. Callus Cultures as Affected by Yeast and Phenylalanine Application. </w:t>
      </w:r>
      <w:r>
        <w:rPr>
          <w:rFonts w:ascii="Times New Roman" w:hAnsi="Times New Roman" w:cs="Times New Roman"/>
          <w:i/>
          <w:iCs/>
          <w:sz w:val="24"/>
          <w:szCs w:val="24"/>
        </w:rPr>
        <w:t xml:space="preserve">Egypt. J. Chem. </w:t>
      </w:r>
      <w:r>
        <w:rPr>
          <w:rFonts w:ascii="Times New Roman" w:hAnsi="Times New Roman" w:cs="Times New Roman"/>
          <w:bCs/>
          <w:sz w:val="24"/>
          <w:szCs w:val="24"/>
        </w:rPr>
        <w:t xml:space="preserve">Vol. </w:t>
      </w:r>
      <w:r>
        <w:rPr>
          <w:rFonts w:ascii="Times New Roman" w:hAnsi="Times New Roman" w:cs="Times New Roman"/>
          <w:b/>
          <w:bCs/>
          <w:sz w:val="24"/>
          <w:szCs w:val="24"/>
        </w:rPr>
        <w:t>65</w:t>
      </w:r>
      <w:r>
        <w:rPr>
          <w:rFonts w:ascii="Times New Roman" w:hAnsi="Times New Roman" w:cs="Times New Roman"/>
          <w:bCs/>
          <w:sz w:val="24"/>
          <w:szCs w:val="24"/>
        </w:rPr>
        <w:t xml:space="preserve">, </w:t>
      </w:r>
      <w:r>
        <w:rPr>
          <w:rFonts w:ascii="Times New Roman" w:hAnsi="Times New Roman" w:cs="Times New Roman"/>
          <w:sz w:val="24"/>
          <w:szCs w:val="24"/>
        </w:rPr>
        <w:t>No. SI: 13, pp. 667 - 675.</w:t>
      </w:r>
    </w:p>
    <w:p w:rsidR="003B3559" w:rsidRDefault="00727B14">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Arafa, M.N., Moawad, M. &amp; Aly, U.I. (2022). Gas Chromatography-Mass spectrometry Analysis of Phytocomponents Present in </w:t>
      </w:r>
      <w:r>
        <w:rPr>
          <w:rFonts w:ascii="Times New Roman" w:hAnsi="Times New Roman" w:cs="Times New Roman"/>
          <w:i/>
          <w:sz w:val="24"/>
          <w:szCs w:val="24"/>
        </w:rPr>
        <w:t>Pimpinella anisum</w:t>
      </w:r>
      <w:r>
        <w:rPr>
          <w:rFonts w:ascii="Times New Roman" w:hAnsi="Times New Roman" w:cs="Times New Roman"/>
          <w:sz w:val="24"/>
          <w:szCs w:val="24"/>
        </w:rPr>
        <w:t xml:space="preserve">L.Callus Cultures as Affected </w:t>
      </w:r>
      <w:r>
        <w:rPr>
          <w:rFonts w:ascii="Times New Roman" w:hAnsi="Times New Roman" w:cs="Times New Roman"/>
          <w:sz w:val="24"/>
          <w:szCs w:val="24"/>
        </w:rPr>
        <w:lastRenderedPageBreak/>
        <w:t xml:space="preserve">by Yeast and Phenylalanine Application. </w:t>
      </w:r>
      <w:r>
        <w:rPr>
          <w:rFonts w:ascii="Times New Roman" w:hAnsi="Times New Roman" w:cs="Times New Roman"/>
          <w:i/>
          <w:sz w:val="24"/>
          <w:szCs w:val="24"/>
        </w:rPr>
        <w:t>Egyptian Journal of Chemistry</w:t>
      </w:r>
      <w:r>
        <w:rPr>
          <w:rFonts w:ascii="Times New Roman" w:hAnsi="Times New Roman" w:cs="Times New Roman"/>
          <w:sz w:val="24"/>
          <w:szCs w:val="24"/>
        </w:rPr>
        <w:t xml:space="preserve">, </w:t>
      </w:r>
      <w:r>
        <w:rPr>
          <w:rFonts w:ascii="Times New Roman" w:hAnsi="Times New Roman" w:cs="Times New Roman"/>
          <w:b/>
          <w:sz w:val="24"/>
          <w:szCs w:val="24"/>
        </w:rPr>
        <w:t>65</w:t>
      </w:r>
      <w:r>
        <w:rPr>
          <w:rFonts w:ascii="Times New Roman" w:hAnsi="Times New Roman" w:cs="Times New Roman"/>
          <w:sz w:val="24"/>
          <w:szCs w:val="24"/>
        </w:rPr>
        <w:t xml:space="preserve">(13), 667-675. </w:t>
      </w:r>
    </w:p>
    <w:p w:rsidR="003B3559" w:rsidRDefault="00727B14">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Brash, A.R. (2000). Autoxidation of methyl linoleate: identification of the bis-allylic 11-hydroperoxide. </w:t>
      </w:r>
      <w:r>
        <w:rPr>
          <w:rFonts w:ascii="Times New Roman" w:hAnsi="Times New Roman" w:cs="Times New Roman"/>
          <w:i/>
          <w:sz w:val="24"/>
          <w:szCs w:val="24"/>
        </w:rPr>
        <w:t>Lipids</w:t>
      </w:r>
      <w:r>
        <w:rPr>
          <w:rFonts w:ascii="Times New Roman" w:hAnsi="Times New Roman" w:cs="Times New Roman"/>
          <w:sz w:val="24"/>
          <w:szCs w:val="24"/>
        </w:rPr>
        <w:t xml:space="preserve">, </w:t>
      </w:r>
      <w:r>
        <w:rPr>
          <w:rFonts w:ascii="Times New Roman" w:hAnsi="Times New Roman" w:cs="Times New Roman"/>
          <w:b/>
          <w:sz w:val="24"/>
          <w:szCs w:val="24"/>
        </w:rPr>
        <w:t>35,</w:t>
      </w:r>
      <w:r>
        <w:rPr>
          <w:rFonts w:ascii="Times New Roman" w:hAnsi="Times New Roman" w:cs="Times New Roman"/>
          <w:sz w:val="24"/>
          <w:szCs w:val="24"/>
        </w:rPr>
        <w:t xml:space="preserve">947–952. </w:t>
      </w:r>
    </w:p>
    <w:p w:rsidR="003B3559" w:rsidRDefault="00727B14">
      <w:pPr>
        <w:spacing w:after="0" w:line="480" w:lineRule="auto"/>
        <w:ind w:left="720" w:hanging="720"/>
        <w:jc w:val="both"/>
        <w:rPr>
          <w:rStyle w:val="A9"/>
          <w:rFonts w:ascii="Times New Roman" w:hAnsi="Times New Roman" w:cs="Times New Roman"/>
          <w:sz w:val="24"/>
          <w:szCs w:val="24"/>
        </w:rPr>
      </w:pPr>
      <w:r>
        <w:rPr>
          <w:rStyle w:val="A9"/>
          <w:rFonts w:ascii="Times New Roman" w:hAnsi="Times New Roman" w:cs="Times New Roman"/>
          <w:sz w:val="24"/>
          <w:szCs w:val="24"/>
        </w:rPr>
        <w:t xml:space="preserve">Burrows, G.E. &amp;Tyrl, R. J. (2013). </w:t>
      </w:r>
      <w:r>
        <w:rPr>
          <w:rStyle w:val="A9"/>
          <w:rFonts w:ascii="Times New Roman" w:hAnsi="Times New Roman" w:cs="Times New Roman"/>
          <w:i/>
          <w:sz w:val="24"/>
          <w:szCs w:val="24"/>
        </w:rPr>
        <w:t>Toxic plants of North America</w:t>
      </w:r>
      <w:r>
        <w:rPr>
          <w:rStyle w:val="A9"/>
          <w:rFonts w:ascii="Times New Roman" w:hAnsi="Times New Roman" w:cs="Times New Roman"/>
          <w:sz w:val="24"/>
          <w:szCs w:val="24"/>
        </w:rPr>
        <w:t>, 2</w:t>
      </w:r>
      <w:r>
        <w:rPr>
          <w:rStyle w:val="A9"/>
          <w:rFonts w:ascii="Times New Roman" w:hAnsi="Times New Roman" w:cs="Times New Roman"/>
          <w:sz w:val="24"/>
          <w:szCs w:val="24"/>
          <w:vertAlign w:val="superscript"/>
        </w:rPr>
        <w:t>nd</w:t>
      </w:r>
      <w:r>
        <w:rPr>
          <w:rStyle w:val="A9"/>
          <w:rFonts w:ascii="Times New Roman" w:hAnsi="Times New Roman" w:cs="Times New Roman"/>
          <w:sz w:val="24"/>
          <w:szCs w:val="24"/>
        </w:rPr>
        <w:t>edn., pp: 535-541, Wiley-blackwell, Ames, IA.</w:t>
      </w:r>
    </w:p>
    <w:p w:rsidR="003B3559" w:rsidRDefault="00727B14">
      <w:pPr>
        <w:spacing w:after="0" w:line="480" w:lineRule="auto"/>
        <w:ind w:left="720" w:hanging="720"/>
        <w:jc w:val="both"/>
        <w:rPr>
          <w:rStyle w:val="A9"/>
          <w:rFonts w:ascii="Times New Roman" w:hAnsi="Times New Roman" w:cs="Times New Roman"/>
          <w:sz w:val="24"/>
          <w:szCs w:val="24"/>
        </w:rPr>
      </w:pPr>
      <w:r>
        <w:rPr>
          <w:rStyle w:val="A9"/>
          <w:rFonts w:ascii="Times New Roman" w:hAnsi="Times New Roman" w:cs="Times New Roman"/>
          <w:sz w:val="24"/>
          <w:szCs w:val="24"/>
        </w:rPr>
        <w:t xml:space="preserve">Choe. E. and Min, D.B. (2007). Chemistry of deep-fat frying oils. </w:t>
      </w:r>
      <w:r>
        <w:rPr>
          <w:rStyle w:val="A9"/>
          <w:rFonts w:ascii="Times New Roman" w:hAnsi="Times New Roman" w:cs="Times New Roman"/>
          <w:i/>
          <w:sz w:val="24"/>
          <w:szCs w:val="24"/>
        </w:rPr>
        <w:t xml:space="preserve">Journal of Food Sci., </w:t>
      </w:r>
      <w:r>
        <w:rPr>
          <w:rStyle w:val="A9"/>
          <w:rFonts w:ascii="Times New Roman" w:hAnsi="Times New Roman" w:cs="Times New Roman"/>
          <w:b/>
          <w:sz w:val="24"/>
          <w:szCs w:val="24"/>
        </w:rPr>
        <w:t>72,</w:t>
      </w:r>
      <w:r>
        <w:rPr>
          <w:rStyle w:val="A9"/>
          <w:rFonts w:ascii="Times New Roman" w:hAnsi="Times New Roman" w:cs="Times New Roman"/>
          <w:sz w:val="24"/>
          <w:szCs w:val="24"/>
        </w:rPr>
        <w:t xml:space="preserve"> R77-86. </w:t>
      </w:r>
    </w:p>
    <w:p w:rsidR="003B3559" w:rsidRDefault="00727B14">
      <w:pPr>
        <w:spacing w:line="480" w:lineRule="auto"/>
        <w:ind w:left="1320" w:hangingChars="550" w:hanging="1320"/>
        <w:jc w:val="both"/>
        <w:rPr>
          <w:rFonts w:ascii="Times New Roman" w:eastAsia="SimSun" w:hAnsi="Times New Roman" w:cs="Times New Roman"/>
          <w:color w:val="222222"/>
          <w:sz w:val="24"/>
          <w:szCs w:val="24"/>
          <w:shd w:val="clear" w:color="auto" w:fill="FFFFFF"/>
        </w:rPr>
      </w:pPr>
      <w:r>
        <w:rPr>
          <w:rFonts w:ascii="Times New Roman" w:eastAsia="SimSun" w:hAnsi="Times New Roman" w:cs="Times New Roman"/>
          <w:color w:val="222222"/>
          <w:sz w:val="24"/>
          <w:szCs w:val="24"/>
          <w:shd w:val="clear" w:color="auto" w:fill="FFFFFF"/>
        </w:rPr>
        <w:t>CQA, A. B. K. (2012). Going global: OSHA revises hazard communication standard. </w:t>
      </w:r>
      <w:r>
        <w:rPr>
          <w:rFonts w:ascii="Times New Roman" w:eastAsia="SimSun" w:hAnsi="Times New Roman" w:cs="Times New Roman"/>
          <w:i/>
          <w:iCs/>
          <w:color w:val="222222"/>
          <w:sz w:val="24"/>
          <w:szCs w:val="24"/>
          <w:shd w:val="clear" w:color="auto" w:fill="FFFFFF"/>
        </w:rPr>
        <w:t>Journal of Protective Coatings &amp; Linings</w:t>
      </w:r>
      <w:r>
        <w:rPr>
          <w:rFonts w:ascii="Times New Roman" w:eastAsia="SimSun" w:hAnsi="Times New Roman" w:cs="Times New Roman"/>
          <w:color w:val="222222"/>
          <w:sz w:val="24"/>
          <w:szCs w:val="24"/>
          <w:shd w:val="clear" w:color="auto" w:fill="FFFFFF"/>
        </w:rPr>
        <w:t>, 1.</w:t>
      </w:r>
    </w:p>
    <w:p w:rsidR="003B3559" w:rsidRDefault="00727B14">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Custodio-Mendoza, J.A., Caama˜no-Fernandez, C., Lage, M.A., Almeida, P.J., Lorenzo, R. A. &amp; Carro, A.M. (2022). GC–MS determination of malondialdehyde, acrolein, and 4-hydroxy-2-nonenal by ultrasound-assisted dispersive liquid-liquid microextraction in beverages, </w:t>
      </w:r>
      <w:r>
        <w:rPr>
          <w:rFonts w:ascii="Times New Roman" w:hAnsi="Times New Roman" w:cs="Times New Roman"/>
          <w:i/>
          <w:sz w:val="24"/>
          <w:szCs w:val="24"/>
        </w:rPr>
        <w:t>Food Chemistry.</w:t>
      </w:r>
      <w:r>
        <w:rPr>
          <w:rFonts w:ascii="Times New Roman" w:hAnsi="Times New Roman" w:cs="Times New Roman"/>
          <w:sz w:val="24"/>
          <w:szCs w:val="24"/>
        </w:rPr>
        <w:t xml:space="preserve"> 384, 132530. </w:t>
      </w:r>
    </w:p>
    <w:p w:rsidR="003B3559" w:rsidRDefault="00727B14">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David, R. (2018). </w:t>
      </w:r>
      <w:r>
        <w:rPr>
          <w:rFonts w:ascii="Times New Roman" w:hAnsi="Times New Roman" w:cs="Times New Roman"/>
          <w:i/>
          <w:sz w:val="24"/>
          <w:szCs w:val="24"/>
        </w:rPr>
        <w:t>Benign Prostatic uyperplasia</w:t>
      </w:r>
      <w:r>
        <w:rPr>
          <w:rFonts w:ascii="Times New Roman" w:hAnsi="Times New Roman" w:cs="Times New Roman"/>
          <w:sz w:val="24"/>
          <w:szCs w:val="24"/>
        </w:rPr>
        <w:t>, Integrative Medicine Fourth Edition).</w:t>
      </w:r>
    </w:p>
    <w:p w:rsidR="003B3559" w:rsidRDefault="00727B14">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Dobarganes, C. &amp; Márquez-Ruiz, G. (2015). Possible adverse effects of frying with vegetable oils. </w:t>
      </w:r>
      <w:r>
        <w:rPr>
          <w:rFonts w:ascii="Times New Roman" w:hAnsi="Times New Roman" w:cs="Times New Roman"/>
          <w:i/>
          <w:sz w:val="24"/>
          <w:szCs w:val="24"/>
        </w:rPr>
        <w:t>British Journal of Nutrition,</w:t>
      </w:r>
      <w:r>
        <w:rPr>
          <w:rFonts w:ascii="Times New Roman" w:hAnsi="Times New Roman" w:cs="Times New Roman"/>
          <w:b/>
          <w:sz w:val="24"/>
          <w:szCs w:val="24"/>
        </w:rPr>
        <w:t>113</w:t>
      </w:r>
      <w:r>
        <w:rPr>
          <w:rFonts w:ascii="Times New Roman" w:hAnsi="Times New Roman" w:cs="Times New Roman"/>
          <w:sz w:val="24"/>
          <w:szCs w:val="24"/>
        </w:rPr>
        <w:t xml:space="preserve">(2),S49-S57. </w:t>
      </w:r>
    </w:p>
    <w:p w:rsidR="003B3559" w:rsidRDefault="00727B14">
      <w:pPr>
        <w:spacing w:after="0" w:line="480" w:lineRule="auto"/>
        <w:ind w:left="720" w:hanging="720"/>
        <w:jc w:val="both"/>
        <w:rPr>
          <w:rFonts w:ascii="Times New Roman" w:hAnsi="Times New Roman" w:cs="Times New Roman"/>
          <w:color w:val="000000"/>
          <w:sz w:val="24"/>
          <w:szCs w:val="24"/>
        </w:rPr>
      </w:pPr>
      <w:r>
        <w:rPr>
          <w:rFonts w:ascii="Times New Roman" w:hAnsi="Times New Roman" w:cs="Times New Roman"/>
          <w:sz w:val="24"/>
          <w:szCs w:val="24"/>
        </w:rPr>
        <w:lastRenderedPageBreak/>
        <w:t>Ezenwali, M.O</w:t>
      </w:r>
      <w:r>
        <w:rPr>
          <w:rFonts w:ascii="Times New Roman" w:hAnsi="Times New Roman" w:cs="Times New Roman"/>
          <w:b/>
          <w:sz w:val="24"/>
          <w:szCs w:val="24"/>
        </w:rPr>
        <w:t>.</w:t>
      </w:r>
      <w:r>
        <w:rPr>
          <w:rFonts w:ascii="Times New Roman" w:hAnsi="Times New Roman" w:cs="Times New Roman"/>
          <w:sz w:val="24"/>
          <w:szCs w:val="24"/>
        </w:rPr>
        <w:t xml:space="preserve"> (2022). </w:t>
      </w:r>
      <w:r>
        <w:rPr>
          <w:rFonts w:ascii="Times New Roman" w:hAnsi="Times New Roman" w:cs="Times New Roman"/>
          <w:bCs/>
          <w:color w:val="000000"/>
          <w:sz w:val="24"/>
          <w:szCs w:val="24"/>
        </w:rPr>
        <w:t xml:space="preserve">Determination of Concentrations of Lipid Peroxidation Products in Roasted and </w:t>
      </w:r>
      <w:r w:rsidR="005D6B32">
        <w:rPr>
          <w:rFonts w:ascii="Times New Roman" w:hAnsi="Times New Roman" w:cs="Times New Roman"/>
          <w:bCs/>
          <w:color w:val="000000"/>
          <w:sz w:val="24"/>
          <w:szCs w:val="24"/>
        </w:rPr>
        <w:t>Deep-Fried</w:t>
      </w:r>
      <w:r>
        <w:rPr>
          <w:rFonts w:ascii="Times New Roman" w:hAnsi="Times New Roman" w:cs="Times New Roman"/>
          <w:bCs/>
          <w:color w:val="000000"/>
          <w:sz w:val="24"/>
          <w:szCs w:val="24"/>
        </w:rPr>
        <w:t xml:space="preserve"> Fast Foods sold in South-Eastern Nigeria. </w:t>
      </w:r>
      <w:r>
        <w:rPr>
          <w:rFonts w:ascii="Times New Roman" w:hAnsi="Times New Roman" w:cs="Times New Roman"/>
          <w:bCs/>
          <w:i/>
          <w:color w:val="000000"/>
          <w:sz w:val="24"/>
          <w:szCs w:val="24"/>
        </w:rPr>
        <w:t xml:space="preserve">Asian Journal of Advances in Research, </w:t>
      </w:r>
      <w:r>
        <w:rPr>
          <w:rFonts w:ascii="Times New Roman" w:hAnsi="Times New Roman" w:cs="Times New Roman"/>
          <w:b/>
          <w:color w:val="000000"/>
          <w:sz w:val="24"/>
          <w:szCs w:val="24"/>
        </w:rPr>
        <w:t>17</w:t>
      </w:r>
      <w:r>
        <w:rPr>
          <w:rFonts w:ascii="Times New Roman" w:hAnsi="Times New Roman" w:cs="Times New Roman"/>
          <w:color w:val="000000"/>
          <w:sz w:val="24"/>
          <w:szCs w:val="24"/>
        </w:rPr>
        <w:t xml:space="preserve">(1), 28-37. </w:t>
      </w:r>
    </w:p>
    <w:p w:rsidR="003B3559" w:rsidRDefault="00727B14">
      <w:pPr>
        <w:spacing w:after="0" w:line="480" w:lineRule="auto"/>
        <w:ind w:left="720" w:hanging="720"/>
        <w:jc w:val="both"/>
        <w:rPr>
          <w:rStyle w:val="Hyperlink"/>
          <w:rFonts w:ascii="Times New Roman" w:hAnsi="Times New Roman" w:cs="Times New Roman"/>
          <w:b/>
          <w:bCs/>
          <w:sz w:val="24"/>
          <w:szCs w:val="24"/>
        </w:rPr>
      </w:pPr>
      <w:r>
        <w:rPr>
          <w:rFonts w:ascii="Times New Roman" w:hAnsi="Times New Roman" w:cs="Times New Roman"/>
          <w:sz w:val="24"/>
          <w:szCs w:val="24"/>
        </w:rPr>
        <w:t xml:space="preserve">Ezenwali, M.O. (2022b). </w:t>
      </w:r>
      <w:r>
        <w:rPr>
          <w:rFonts w:ascii="Times New Roman" w:hAnsi="Times New Roman" w:cs="Times New Roman"/>
          <w:bCs/>
          <w:color w:val="000000"/>
          <w:sz w:val="24"/>
          <w:szCs w:val="24"/>
        </w:rPr>
        <w:t xml:space="preserve">A Study on the Concentrations of Lipid Peroxidation Products in Roasted and </w:t>
      </w:r>
      <w:r w:rsidR="005D6B32">
        <w:rPr>
          <w:rFonts w:ascii="Times New Roman" w:hAnsi="Times New Roman" w:cs="Times New Roman"/>
          <w:bCs/>
          <w:color w:val="000000"/>
          <w:sz w:val="24"/>
          <w:szCs w:val="24"/>
        </w:rPr>
        <w:t>Deep-Fried</w:t>
      </w:r>
      <w:r>
        <w:rPr>
          <w:rFonts w:ascii="Times New Roman" w:hAnsi="Times New Roman" w:cs="Times New Roman"/>
          <w:bCs/>
          <w:color w:val="000000"/>
          <w:sz w:val="24"/>
          <w:szCs w:val="24"/>
        </w:rPr>
        <w:t xml:space="preserve"> Fast Foods sold in South-Eastern Nigeria.</w:t>
      </w:r>
      <w:r w:rsidR="007D3CEE">
        <w:rPr>
          <w:rFonts w:ascii="Times New Roman" w:hAnsi="Times New Roman" w:cs="Times New Roman"/>
          <w:bCs/>
          <w:color w:val="000000"/>
          <w:sz w:val="24"/>
          <w:szCs w:val="24"/>
        </w:rPr>
        <w:t xml:space="preserve"> In Handy, M.A. </w:t>
      </w:r>
      <w:r w:rsidRPr="007D3CEE">
        <w:rPr>
          <w:rFonts w:ascii="Times New Roman" w:hAnsi="Times New Roman" w:cs="Times New Roman"/>
          <w:bCs/>
          <w:i/>
          <w:color w:val="000000"/>
          <w:sz w:val="24"/>
          <w:szCs w:val="24"/>
        </w:rPr>
        <w:t>Current Overview on Science and Technology Research</w:t>
      </w:r>
      <w:r w:rsidR="007D3CEE">
        <w:rPr>
          <w:rFonts w:ascii="Times New Roman" w:hAnsi="Times New Roman" w:cs="Times New Roman"/>
          <w:b/>
          <w:bCs/>
          <w:color w:val="000000"/>
          <w:sz w:val="24"/>
          <w:szCs w:val="24"/>
        </w:rPr>
        <w:t>(1</w:t>
      </w:r>
      <w:r w:rsidR="007D3CEE" w:rsidRPr="007D3CEE">
        <w:rPr>
          <w:rFonts w:ascii="Times New Roman" w:hAnsi="Times New Roman" w:cs="Times New Roman"/>
          <w:b/>
          <w:bCs/>
          <w:color w:val="000000"/>
          <w:sz w:val="24"/>
          <w:szCs w:val="24"/>
          <w:vertAlign w:val="superscript"/>
        </w:rPr>
        <w:t>st</w:t>
      </w:r>
      <w:r w:rsidR="007D3CEE">
        <w:rPr>
          <w:rFonts w:ascii="Times New Roman" w:hAnsi="Times New Roman" w:cs="Times New Roman"/>
          <w:b/>
          <w:bCs/>
          <w:color w:val="000000"/>
          <w:sz w:val="24"/>
          <w:szCs w:val="24"/>
        </w:rPr>
        <w:t xml:space="preserve"> ed., 8)</w:t>
      </w:r>
      <w:r>
        <w:rPr>
          <w:rFonts w:ascii="Times New Roman" w:hAnsi="Times New Roman" w:cs="Times New Roman"/>
          <w:bCs/>
          <w:color w:val="000000"/>
          <w:sz w:val="24"/>
          <w:szCs w:val="24"/>
        </w:rPr>
        <w:t xml:space="preserve">. </w:t>
      </w:r>
      <w:hyperlink r:id="rId86" w:history="1">
        <w:r>
          <w:rPr>
            <w:rStyle w:val="Hyperlink"/>
            <w:rFonts w:ascii="Times New Roman" w:hAnsi="Times New Roman" w:cs="Times New Roman"/>
            <w:b/>
            <w:bCs/>
            <w:sz w:val="24"/>
            <w:szCs w:val="24"/>
          </w:rPr>
          <w:t>https://youtu.be/nUrFxqcDuLw</w:t>
        </w:r>
      </w:hyperlink>
    </w:p>
    <w:p w:rsidR="003B3559" w:rsidRDefault="00727B14">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Gado, D.A., Ali Abdalla, M., Ahmed, A.S., Madikizela, B., Nkadimeng, S/ M., Ehlers, M.M. and McGaw, L.J. (2021). </w:t>
      </w:r>
      <w:r>
        <w:rPr>
          <w:rFonts w:ascii="Times New Roman" w:hAnsi="Times New Roman" w:cs="Times New Roman"/>
          <w:i/>
          <w:sz w:val="24"/>
          <w:szCs w:val="24"/>
        </w:rPr>
        <w:t>In vitro</w:t>
      </w:r>
      <w:r>
        <w:rPr>
          <w:rFonts w:ascii="Times New Roman" w:hAnsi="Times New Roman" w:cs="Times New Roman"/>
          <w:sz w:val="24"/>
          <w:szCs w:val="24"/>
        </w:rPr>
        <w:t xml:space="preserve"> antibacterial activity of </w:t>
      </w:r>
      <w:r>
        <w:rPr>
          <w:rFonts w:ascii="Times New Roman" w:hAnsi="Times New Roman" w:cs="Times New Roman"/>
          <w:i/>
          <w:sz w:val="24"/>
          <w:szCs w:val="24"/>
        </w:rPr>
        <w:t>Loxostylisalata</w:t>
      </w:r>
      <w:r>
        <w:rPr>
          <w:rFonts w:ascii="Times New Roman" w:hAnsi="Times New Roman" w:cs="Times New Roman"/>
          <w:sz w:val="24"/>
          <w:szCs w:val="24"/>
        </w:rPr>
        <w:t xml:space="preserve"> extracts and isolated compounds against </w:t>
      </w:r>
      <w:r>
        <w:rPr>
          <w:rFonts w:ascii="Times New Roman" w:hAnsi="Times New Roman" w:cs="Times New Roman"/>
          <w:i/>
          <w:sz w:val="24"/>
          <w:szCs w:val="24"/>
        </w:rPr>
        <w:t>Salmonella species</w:t>
      </w:r>
      <w:r>
        <w:rPr>
          <w:rFonts w:ascii="Times New Roman" w:hAnsi="Times New Roman" w:cs="Times New Roman"/>
          <w:sz w:val="24"/>
          <w:szCs w:val="24"/>
        </w:rPr>
        <w:t xml:space="preserve">. </w:t>
      </w:r>
      <w:r>
        <w:rPr>
          <w:rFonts w:ascii="Times New Roman" w:hAnsi="Times New Roman" w:cs="Times New Roman"/>
          <w:i/>
          <w:sz w:val="24"/>
          <w:szCs w:val="24"/>
        </w:rPr>
        <w:t>BMC Complementary Medicine and Therapies</w:t>
      </w:r>
      <w:r>
        <w:rPr>
          <w:rFonts w:ascii="Times New Roman" w:hAnsi="Times New Roman" w:cs="Times New Roman"/>
          <w:sz w:val="24"/>
          <w:szCs w:val="24"/>
        </w:rPr>
        <w:t>. 21,121.</w:t>
      </w:r>
    </w:p>
    <w:p w:rsidR="003B3559" w:rsidRDefault="00727B14">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Gawel, S., Wardas, M., Niedworok, E. &amp; Wardas, P. (2004). Malondialdehyde (MDA) as a lipid peroxidation marker. </w:t>
      </w:r>
      <w:r>
        <w:rPr>
          <w:rFonts w:ascii="Times New Roman" w:hAnsi="Times New Roman" w:cs="Times New Roman"/>
          <w:i/>
          <w:sz w:val="24"/>
          <w:szCs w:val="24"/>
        </w:rPr>
        <w:t>WiadLek</w:t>
      </w:r>
      <w:r>
        <w:rPr>
          <w:rFonts w:ascii="Times New Roman" w:hAnsi="Times New Roman" w:cs="Times New Roman"/>
          <w:sz w:val="24"/>
          <w:szCs w:val="24"/>
        </w:rPr>
        <w:t xml:space="preserve">, </w:t>
      </w:r>
      <w:r>
        <w:rPr>
          <w:rFonts w:ascii="Times New Roman" w:hAnsi="Times New Roman" w:cs="Times New Roman"/>
          <w:b/>
          <w:sz w:val="24"/>
          <w:szCs w:val="24"/>
        </w:rPr>
        <w:t>57</w:t>
      </w:r>
      <w:r>
        <w:rPr>
          <w:rFonts w:ascii="Times New Roman" w:hAnsi="Times New Roman" w:cs="Times New Roman"/>
          <w:sz w:val="24"/>
          <w:szCs w:val="24"/>
        </w:rPr>
        <w:t xml:space="preserve"> (9-10), 453-5. </w:t>
      </w:r>
    </w:p>
    <w:p w:rsidR="00232C4C" w:rsidRDefault="00232C4C" w:rsidP="00232C4C">
      <w:pPr>
        <w:jc w:val="both"/>
        <w:rPr>
          <w:rFonts w:ascii="Times New Roman" w:hAnsi="Times New Roman"/>
          <w:i/>
          <w:iCs/>
          <w:sz w:val="24"/>
          <w:szCs w:val="24"/>
          <w:shd w:val="clear" w:color="auto" w:fill="FFFFFF"/>
        </w:rPr>
      </w:pPr>
      <w:r>
        <w:rPr>
          <w:rFonts w:ascii="Times New Roman" w:hAnsi="Times New Roman"/>
          <w:sz w:val="24"/>
          <w:szCs w:val="24"/>
          <w:shd w:val="clear" w:color="auto" w:fill="FFFFFF"/>
        </w:rPr>
        <w:t>Ghotra, B. S., Dyal, S. D., &amp;Narine, S. S. (2002). Lipid shortenings: a review. </w:t>
      </w:r>
      <w:r>
        <w:rPr>
          <w:rFonts w:ascii="Times New Roman" w:hAnsi="Times New Roman"/>
          <w:i/>
          <w:iCs/>
          <w:sz w:val="24"/>
          <w:szCs w:val="24"/>
          <w:shd w:val="clear" w:color="auto" w:fill="FFFFFF"/>
        </w:rPr>
        <w:t xml:space="preserve">Food research        </w:t>
      </w:r>
    </w:p>
    <w:p w:rsidR="00765675" w:rsidRPr="00765675" w:rsidRDefault="00765675" w:rsidP="00765675">
      <w:pPr>
        <w:pStyle w:val="Default"/>
        <w:ind w:left="720" w:hanging="720"/>
        <w:jc w:val="both"/>
      </w:pPr>
      <w:r w:rsidRPr="00765675">
        <w:t xml:space="preserve">Halliwell, B. </w:t>
      </w:r>
      <w:r>
        <w:t>&amp;</w:t>
      </w:r>
      <w:r w:rsidRPr="00765675">
        <w:t xml:space="preserve"> Gutteridge, J.M.C. (1984). Oxygen toxicity, oxygen radicals, transition metals and disease. </w:t>
      </w:r>
      <w:r w:rsidRPr="00765675">
        <w:rPr>
          <w:i/>
          <w:iCs/>
        </w:rPr>
        <w:t>Biochemical Journal</w:t>
      </w:r>
      <w:r w:rsidRPr="00765675">
        <w:t xml:space="preserve">, </w:t>
      </w:r>
      <w:r w:rsidRPr="00765675">
        <w:rPr>
          <w:b/>
        </w:rPr>
        <w:t>218</w:t>
      </w:r>
      <w:r>
        <w:t>:</w:t>
      </w:r>
      <w:r w:rsidRPr="00765675">
        <w:t xml:space="preserve"> 1-14, ISSN: 0264-6021. </w:t>
      </w:r>
    </w:p>
    <w:p w:rsidR="003B3559" w:rsidRDefault="00727B14">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Janero, D.R. (1990). Malondialdehyde and thiobarbituric acid reactivity as Diagnostic indices of Lipid Peroxidation and Peroxidative Tissue Injury. </w:t>
      </w:r>
      <w:r>
        <w:rPr>
          <w:rFonts w:ascii="Times New Roman" w:hAnsi="Times New Roman" w:cs="Times New Roman"/>
          <w:i/>
          <w:sz w:val="24"/>
          <w:szCs w:val="24"/>
        </w:rPr>
        <w:t>Free Radical Biology and Medicine.</w:t>
      </w:r>
      <w:r>
        <w:rPr>
          <w:rFonts w:ascii="Times New Roman" w:hAnsi="Times New Roman" w:cs="Times New Roman"/>
          <w:sz w:val="24"/>
          <w:szCs w:val="24"/>
        </w:rPr>
        <w:t xml:space="preserve"> 9, 515-540.</w:t>
      </w:r>
    </w:p>
    <w:p w:rsidR="003B3559" w:rsidRDefault="00727B14">
      <w:pPr>
        <w:spacing w:after="0" w:line="480" w:lineRule="auto"/>
        <w:ind w:left="720" w:hanging="720"/>
        <w:jc w:val="both"/>
        <w:rPr>
          <w:rStyle w:val="A9"/>
          <w:rFonts w:ascii="Times New Roman" w:hAnsi="Times New Roman" w:cs="Times New Roman"/>
          <w:sz w:val="24"/>
          <w:szCs w:val="24"/>
        </w:rPr>
      </w:pPr>
      <w:r>
        <w:rPr>
          <w:rStyle w:val="A9"/>
          <w:rFonts w:ascii="Times New Roman" w:hAnsi="Times New Roman" w:cs="Times New Roman"/>
          <w:sz w:val="24"/>
          <w:szCs w:val="24"/>
        </w:rPr>
        <w:t>Kaviyani, M., Ghazi, N.M., Shariati, M.A. &amp;Atarod, S. (2014). The study of frying oils properties.</w:t>
      </w:r>
      <w:r>
        <w:rPr>
          <w:rStyle w:val="A9"/>
          <w:rFonts w:ascii="Times New Roman" w:hAnsi="Times New Roman" w:cs="Times New Roman"/>
          <w:i/>
          <w:sz w:val="24"/>
          <w:szCs w:val="24"/>
        </w:rPr>
        <w:t xml:space="preserve"> Int J Adv Eng Res Tech.,</w:t>
      </w:r>
      <w:r>
        <w:rPr>
          <w:rStyle w:val="A9"/>
          <w:rFonts w:ascii="Times New Roman" w:hAnsi="Times New Roman" w:cs="Times New Roman"/>
          <w:b/>
          <w:sz w:val="24"/>
          <w:szCs w:val="24"/>
        </w:rPr>
        <w:t xml:space="preserve"> 2,</w:t>
      </w:r>
      <w:r>
        <w:rPr>
          <w:rStyle w:val="A9"/>
          <w:rFonts w:ascii="Times New Roman" w:hAnsi="Times New Roman" w:cs="Times New Roman"/>
          <w:sz w:val="24"/>
          <w:szCs w:val="24"/>
        </w:rPr>
        <w:t xml:space="preserve"> 90-96. </w:t>
      </w:r>
    </w:p>
    <w:p w:rsidR="00447748" w:rsidRDefault="00447748" w:rsidP="00447748">
      <w:pPr>
        <w:spacing w:line="480" w:lineRule="auto"/>
        <w:ind w:left="1200" w:hangingChars="500" w:hanging="1200"/>
        <w:jc w:val="both"/>
        <w:rPr>
          <w:rFonts w:ascii="Times New Roman" w:eastAsia="SimSun" w:hAnsi="Times New Roman"/>
          <w:sz w:val="24"/>
          <w:szCs w:val="24"/>
          <w:shd w:val="clear" w:color="auto" w:fill="FFFFFF"/>
        </w:rPr>
      </w:pPr>
      <w:r>
        <w:rPr>
          <w:rFonts w:ascii="Times New Roman" w:eastAsia="SimSun" w:hAnsi="Times New Roman"/>
          <w:sz w:val="24"/>
          <w:szCs w:val="24"/>
          <w:shd w:val="clear" w:color="auto" w:fill="FFFFFF"/>
        </w:rPr>
        <w:lastRenderedPageBreak/>
        <w:t>Kazmi, I., Afzal, M., Al-Abbasi, F. A., AlGhamdi, S. A., Alghamdi, A. M., Alzarea, S. I.&amp; Sayyed, N. (2024). Review of the potential pharmacological role of erucic acid: a monounsaturated omega-9 fatty acid. </w:t>
      </w:r>
      <w:r>
        <w:rPr>
          <w:rFonts w:ascii="Times New Roman" w:eastAsia="SimSun" w:hAnsi="Times New Roman"/>
          <w:i/>
          <w:iCs/>
          <w:sz w:val="24"/>
          <w:szCs w:val="24"/>
          <w:shd w:val="clear" w:color="auto" w:fill="FFFFFF"/>
        </w:rPr>
        <w:t>Naunyn-Schmiedeberg's Archives of Pharmacology</w:t>
      </w:r>
      <w:r>
        <w:rPr>
          <w:rFonts w:ascii="Times New Roman" w:eastAsia="SimSun" w:hAnsi="Times New Roman"/>
          <w:sz w:val="24"/>
          <w:szCs w:val="24"/>
          <w:shd w:val="clear" w:color="auto" w:fill="FFFFFF"/>
        </w:rPr>
        <w:t>, </w:t>
      </w:r>
      <w:r>
        <w:rPr>
          <w:rFonts w:ascii="Times New Roman" w:eastAsia="SimSun" w:hAnsi="Times New Roman"/>
          <w:i/>
          <w:iCs/>
          <w:sz w:val="24"/>
          <w:szCs w:val="24"/>
          <w:shd w:val="clear" w:color="auto" w:fill="FFFFFF"/>
        </w:rPr>
        <w:t>397</w:t>
      </w:r>
      <w:r>
        <w:rPr>
          <w:rFonts w:ascii="Times New Roman" w:eastAsia="SimSun" w:hAnsi="Times New Roman"/>
          <w:sz w:val="24"/>
          <w:szCs w:val="24"/>
          <w:shd w:val="clear" w:color="auto" w:fill="FFFFFF"/>
        </w:rPr>
        <w:t>(6), 3663-3674.</w:t>
      </w:r>
    </w:p>
    <w:p w:rsidR="003B3559" w:rsidRDefault="00727B14">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Lapenna, D., Ciofani, G., Pierdomenico, S.D., Giamberardino, M.A. &amp; Cuccurullo, F. (2001). Reaction conditions affecting the relationship between thiobarbituric acid reactivity and lipid peroxidesin human plasma. </w:t>
      </w:r>
      <w:r>
        <w:rPr>
          <w:rFonts w:ascii="Times New Roman" w:hAnsi="Times New Roman" w:cs="Times New Roman"/>
          <w:i/>
          <w:sz w:val="24"/>
          <w:szCs w:val="24"/>
        </w:rPr>
        <w:t>Free Radical Biology and Medicine</w:t>
      </w:r>
      <w:r>
        <w:rPr>
          <w:rFonts w:ascii="Times New Roman" w:hAnsi="Times New Roman" w:cs="Times New Roman"/>
          <w:sz w:val="24"/>
          <w:szCs w:val="24"/>
        </w:rPr>
        <w:t xml:space="preserve">,31(3), 331-335. </w:t>
      </w:r>
    </w:p>
    <w:p w:rsidR="00447748" w:rsidRDefault="00727B14" w:rsidP="00447748">
      <w:pPr>
        <w:spacing w:after="0" w:line="480" w:lineRule="auto"/>
        <w:ind w:left="720" w:hanging="720"/>
        <w:jc w:val="both"/>
        <w:rPr>
          <w:rFonts w:ascii="Times New Roman" w:hAnsi="Times New Roman" w:cs="Times New Roman"/>
          <w:color w:val="000000"/>
          <w:sz w:val="24"/>
          <w:szCs w:val="24"/>
        </w:rPr>
      </w:pPr>
      <w:r>
        <w:rPr>
          <w:rFonts w:ascii="Times New Roman" w:hAnsi="Times New Roman" w:cs="Times New Roman"/>
          <w:bCs/>
          <w:color w:val="000000"/>
          <w:sz w:val="24"/>
          <w:szCs w:val="24"/>
        </w:rPr>
        <w:t>Leong</w:t>
      </w:r>
      <w:r>
        <w:rPr>
          <w:rFonts w:ascii="Times New Roman" w:hAnsi="Times New Roman" w:cs="Times New Roman"/>
          <w:bCs/>
          <w:sz w:val="24"/>
          <w:szCs w:val="24"/>
        </w:rPr>
        <w:t>,</w:t>
      </w:r>
      <w:r>
        <w:rPr>
          <w:rFonts w:ascii="Times New Roman" w:hAnsi="Times New Roman" w:cs="Times New Roman"/>
          <w:bCs/>
          <w:color w:val="000000"/>
          <w:sz w:val="24"/>
          <w:szCs w:val="24"/>
        </w:rPr>
        <w:t xml:space="preserve"> X</w:t>
      </w:r>
      <w:r>
        <w:rPr>
          <w:rFonts w:ascii="Times New Roman" w:hAnsi="Times New Roman" w:cs="Times New Roman"/>
          <w:bCs/>
          <w:sz w:val="24"/>
          <w:szCs w:val="24"/>
        </w:rPr>
        <w:t>.</w:t>
      </w:r>
      <w:r>
        <w:rPr>
          <w:rFonts w:ascii="Times New Roman" w:hAnsi="Times New Roman" w:cs="Times New Roman"/>
          <w:bCs/>
          <w:color w:val="000000"/>
          <w:sz w:val="24"/>
          <w:szCs w:val="24"/>
        </w:rPr>
        <w:t>F</w:t>
      </w:r>
      <w:r>
        <w:rPr>
          <w:rFonts w:ascii="Times New Roman" w:hAnsi="Times New Roman" w:cs="Times New Roman"/>
          <w:bCs/>
          <w:sz w:val="24"/>
          <w:szCs w:val="24"/>
        </w:rPr>
        <w:t xml:space="preserve">., </w:t>
      </w:r>
      <w:r>
        <w:rPr>
          <w:rFonts w:ascii="Times New Roman" w:hAnsi="Times New Roman" w:cs="Times New Roman"/>
          <w:bCs/>
          <w:color w:val="000000"/>
          <w:sz w:val="24"/>
          <w:szCs w:val="24"/>
        </w:rPr>
        <w:t>Ng</w:t>
      </w:r>
      <w:r>
        <w:rPr>
          <w:rFonts w:ascii="Times New Roman" w:hAnsi="Times New Roman" w:cs="Times New Roman"/>
          <w:bCs/>
          <w:sz w:val="24"/>
          <w:szCs w:val="24"/>
        </w:rPr>
        <w:t>,</w:t>
      </w:r>
      <w:r>
        <w:rPr>
          <w:rFonts w:ascii="Times New Roman" w:hAnsi="Times New Roman" w:cs="Times New Roman"/>
          <w:bCs/>
          <w:color w:val="000000"/>
          <w:sz w:val="24"/>
          <w:szCs w:val="24"/>
        </w:rPr>
        <w:t xml:space="preserve"> C</w:t>
      </w:r>
      <w:r>
        <w:rPr>
          <w:rFonts w:ascii="Times New Roman" w:hAnsi="Times New Roman" w:cs="Times New Roman"/>
          <w:bCs/>
          <w:sz w:val="24"/>
          <w:szCs w:val="24"/>
        </w:rPr>
        <w:t>.</w:t>
      </w:r>
      <w:r>
        <w:rPr>
          <w:rFonts w:ascii="Times New Roman" w:hAnsi="Times New Roman" w:cs="Times New Roman"/>
          <w:bCs/>
          <w:color w:val="000000"/>
          <w:sz w:val="24"/>
          <w:szCs w:val="24"/>
        </w:rPr>
        <w:t>Y</w:t>
      </w:r>
      <w:r>
        <w:rPr>
          <w:rFonts w:ascii="Times New Roman" w:hAnsi="Times New Roman" w:cs="Times New Roman"/>
          <w:bCs/>
          <w:sz w:val="24"/>
          <w:szCs w:val="24"/>
        </w:rPr>
        <w:t xml:space="preserve">., </w:t>
      </w:r>
      <w:r>
        <w:rPr>
          <w:rFonts w:ascii="Times New Roman" w:hAnsi="Times New Roman" w:cs="Times New Roman"/>
          <w:bCs/>
          <w:color w:val="000000"/>
          <w:sz w:val="24"/>
          <w:szCs w:val="24"/>
        </w:rPr>
        <w:t>Jaarin</w:t>
      </w:r>
      <w:r>
        <w:rPr>
          <w:rFonts w:ascii="Times New Roman" w:hAnsi="Times New Roman" w:cs="Times New Roman"/>
          <w:bCs/>
          <w:sz w:val="24"/>
          <w:szCs w:val="24"/>
        </w:rPr>
        <w:t>,</w:t>
      </w:r>
      <w:r>
        <w:rPr>
          <w:rFonts w:ascii="Times New Roman" w:hAnsi="Times New Roman" w:cs="Times New Roman"/>
          <w:bCs/>
          <w:color w:val="000000"/>
          <w:sz w:val="24"/>
          <w:szCs w:val="24"/>
        </w:rPr>
        <w:t xml:space="preserve"> K</w:t>
      </w:r>
      <w:r>
        <w:rPr>
          <w:rFonts w:ascii="Times New Roman" w:hAnsi="Times New Roman" w:cs="Times New Roman"/>
          <w:bCs/>
          <w:sz w:val="24"/>
          <w:szCs w:val="24"/>
        </w:rPr>
        <w:t>.</w:t>
      </w:r>
      <w:r>
        <w:rPr>
          <w:rFonts w:ascii="Times New Roman" w:hAnsi="Times New Roman" w:cs="Times New Roman"/>
          <w:bCs/>
          <w:color w:val="000000"/>
          <w:sz w:val="24"/>
          <w:szCs w:val="24"/>
        </w:rPr>
        <w:t>&amp; Mustafa</w:t>
      </w:r>
      <w:r>
        <w:rPr>
          <w:rFonts w:ascii="Times New Roman" w:hAnsi="Times New Roman" w:cs="Times New Roman"/>
          <w:bCs/>
          <w:sz w:val="24"/>
          <w:szCs w:val="24"/>
        </w:rPr>
        <w:t>,</w:t>
      </w:r>
      <w:r>
        <w:rPr>
          <w:rFonts w:ascii="Times New Roman" w:hAnsi="Times New Roman" w:cs="Times New Roman"/>
          <w:bCs/>
          <w:color w:val="000000"/>
          <w:sz w:val="24"/>
          <w:szCs w:val="24"/>
        </w:rPr>
        <w:t xml:space="preserve"> M</w:t>
      </w:r>
      <w:r>
        <w:rPr>
          <w:rFonts w:ascii="Times New Roman" w:hAnsi="Times New Roman" w:cs="Times New Roman"/>
          <w:bCs/>
          <w:sz w:val="24"/>
          <w:szCs w:val="24"/>
        </w:rPr>
        <w:t>.</w:t>
      </w:r>
      <w:r>
        <w:rPr>
          <w:rFonts w:ascii="Times New Roman" w:hAnsi="Times New Roman" w:cs="Times New Roman"/>
          <w:bCs/>
          <w:color w:val="000000"/>
          <w:sz w:val="24"/>
          <w:szCs w:val="24"/>
        </w:rPr>
        <w:t>R</w:t>
      </w:r>
      <w:r>
        <w:rPr>
          <w:rFonts w:ascii="Times New Roman" w:hAnsi="Times New Roman" w:cs="Times New Roman"/>
          <w:bCs/>
          <w:sz w:val="24"/>
          <w:szCs w:val="24"/>
        </w:rPr>
        <w:t>. (2015).</w:t>
      </w:r>
      <w:r>
        <w:rPr>
          <w:rFonts w:ascii="Times New Roman" w:hAnsi="Times New Roman" w:cs="Times New Roman"/>
          <w:color w:val="000000"/>
          <w:sz w:val="24"/>
          <w:szCs w:val="24"/>
        </w:rPr>
        <w:t>Effects of Repeated Heating of Cooking Oils on Antioxidant Content and Endothelial</w:t>
      </w:r>
      <w:r>
        <w:rPr>
          <w:rFonts w:ascii="Times New Roman" w:hAnsi="Times New Roman" w:cs="Times New Roman"/>
          <w:sz w:val="24"/>
          <w:szCs w:val="24"/>
        </w:rPr>
        <w:t xml:space="preserve"> Function</w:t>
      </w:r>
      <w:r>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Austin J</w:t>
      </w:r>
      <w:r>
        <w:rPr>
          <w:rFonts w:ascii="Times New Roman" w:hAnsi="Times New Roman" w:cs="Times New Roman"/>
          <w:i/>
          <w:sz w:val="24"/>
          <w:szCs w:val="24"/>
        </w:rPr>
        <w:t xml:space="preserve">ournal of </w:t>
      </w:r>
      <w:r>
        <w:rPr>
          <w:rFonts w:ascii="Times New Roman" w:hAnsi="Times New Roman" w:cs="Times New Roman"/>
          <w:i/>
          <w:color w:val="000000"/>
          <w:sz w:val="24"/>
          <w:szCs w:val="24"/>
        </w:rPr>
        <w:t>Pharmacol</w:t>
      </w:r>
      <w:r>
        <w:rPr>
          <w:rFonts w:ascii="Times New Roman" w:hAnsi="Times New Roman" w:cs="Times New Roman"/>
          <w:i/>
          <w:sz w:val="24"/>
          <w:szCs w:val="24"/>
        </w:rPr>
        <w:t xml:space="preserve">ogy and </w:t>
      </w:r>
      <w:r>
        <w:rPr>
          <w:rFonts w:ascii="Times New Roman" w:hAnsi="Times New Roman" w:cs="Times New Roman"/>
          <w:i/>
          <w:color w:val="000000"/>
          <w:sz w:val="24"/>
          <w:szCs w:val="24"/>
        </w:rPr>
        <w:t>Ther</w:t>
      </w:r>
      <w:r>
        <w:rPr>
          <w:rFonts w:ascii="Times New Roman" w:hAnsi="Times New Roman" w:cs="Times New Roman"/>
          <w:i/>
          <w:sz w:val="24"/>
          <w:szCs w:val="24"/>
        </w:rPr>
        <w:t>apeutics</w:t>
      </w:r>
      <w:r>
        <w:rPr>
          <w:rFonts w:ascii="Times New Roman" w:hAnsi="Times New Roman" w:cs="Times New Roman"/>
          <w:sz w:val="24"/>
          <w:szCs w:val="24"/>
        </w:rPr>
        <w:t>,</w:t>
      </w:r>
      <w:r>
        <w:rPr>
          <w:rFonts w:ascii="Times New Roman" w:hAnsi="Times New Roman" w:cs="Times New Roman"/>
          <w:b/>
          <w:color w:val="000000"/>
          <w:sz w:val="24"/>
          <w:szCs w:val="24"/>
        </w:rPr>
        <w:t xml:space="preserve"> 3</w:t>
      </w:r>
      <w:r>
        <w:rPr>
          <w:rFonts w:ascii="Times New Roman" w:hAnsi="Times New Roman" w:cs="Times New Roman"/>
          <w:sz w:val="24"/>
          <w:szCs w:val="24"/>
        </w:rPr>
        <w:t>(</w:t>
      </w:r>
      <w:r>
        <w:rPr>
          <w:rFonts w:ascii="Times New Roman" w:hAnsi="Times New Roman" w:cs="Times New Roman"/>
          <w:color w:val="000000"/>
          <w:sz w:val="24"/>
          <w:szCs w:val="24"/>
        </w:rPr>
        <w:t>2</w:t>
      </w:r>
      <w:r>
        <w:rPr>
          <w:rFonts w:ascii="Times New Roman" w:hAnsi="Times New Roman" w:cs="Times New Roman"/>
          <w:sz w:val="24"/>
          <w:szCs w:val="24"/>
        </w:rPr>
        <w:t>), 1-6.</w:t>
      </w:r>
    </w:p>
    <w:p w:rsidR="00554853" w:rsidRDefault="00554853" w:rsidP="00447748">
      <w:pPr>
        <w:spacing w:after="0" w:line="480" w:lineRule="auto"/>
        <w:ind w:left="720" w:hanging="720"/>
        <w:jc w:val="both"/>
        <w:rPr>
          <w:rFonts w:ascii="Times New Roman" w:hAnsi="Times New Roman"/>
          <w:sz w:val="24"/>
          <w:szCs w:val="24"/>
        </w:rPr>
      </w:pPr>
      <w:r>
        <w:rPr>
          <w:rFonts w:ascii="Times New Roman" w:eastAsia="MaisonNeue" w:hAnsi="Times New Roman"/>
          <w:sz w:val="24"/>
          <w:szCs w:val="24"/>
          <w:shd w:val="clear" w:color="auto" w:fill="FFFFFF"/>
        </w:rPr>
        <w:t xml:space="preserve">Liang X, Huang Y, Pan X, </w:t>
      </w:r>
      <w:r w:rsidRPr="007D30E3">
        <w:rPr>
          <w:rFonts w:ascii="Times New Roman" w:eastAsia="MaisonNeue" w:hAnsi="Times New Roman"/>
          <w:sz w:val="24"/>
          <w:szCs w:val="24"/>
          <w:shd w:val="clear" w:color="auto" w:fill="FFFFFF"/>
        </w:rPr>
        <w:t>et al</w:t>
      </w:r>
      <w:r>
        <w:rPr>
          <w:rFonts w:ascii="Times New Roman" w:eastAsia="MaisonNeue" w:hAnsi="Times New Roman"/>
          <w:sz w:val="24"/>
          <w:szCs w:val="24"/>
          <w:shd w:val="clear" w:color="auto" w:fill="FFFFFF"/>
        </w:rPr>
        <w:t xml:space="preserve">. (2020). Erucic acid from </w:t>
      </w:r>
      <w:r w:rsidRPr="00554853">
        <w:rPr>
          <w:rFonts w:ascii="Times New Roman" w:eastAsia="MaisonNeue" w:hAnsi="Times New Roman"/>
          <w:i/>
          <w:sz w:val="24"/>
          <w:szCs w:val="24"/>
          <w:shd w:val="clear" w:color="auto" w:fill="FFFFFF"/>
        </w:rPr>
        <w:t>Isatisindigotica</w:t>
      </w:r>
      <w:r>
        <w:rPr>
          <w:rFonts w:ascii="Times New Roman" w:eastAsia="MaisonNeue" w:hAnsi="Times New Roman"/>
          <w:sz w:val="24"/>
          <w:szCs w:val="24"/>
          <w:shd w:val="clear" w:color="auto" w:fill="FFFFFF"/>
        </w:rPr>
        <w:t xml:space="preserve"> Fort. suppresses influenza A virus replication and inflammation in vitro and in vivo through modulation of NF-κB and p38 MAPK pathway. </w:t>
      </w:r>
      <w:r w:rsidRPr="00554853">
        <w:rPr>
          <w:rFonts w:ascii="Times New Roman" w:eastAsia="MaisonNeue" w:hAnsi="Times New Roman"/>
          <w:i/>
          <w:sz w:val="24"/>
          <w:szCs w:val="24"/>
          <w:shd w:val="clear" w:color="auto" w:fill="FFFFFF"/>
        </w:rPr>
        <w:t>J Pharm Anal</w:t>
      </w:r>
      <w:r w:rsidR="000948D7">
        <w:rPr>
          <w:rFonts w:ascii="Times New Roman" w:eastAsia="MaisonNeue" w:hAnsi="Times New Roman"/>
          <w:sz w:val="24"/>
          <w:szCs w:val="24"/>
          <w:shd w:val="clear" w:color="auto" w:fill="FFFFFF"/>
        </w:rPr>
        <w:t xml:space="preserve">, </w:t>
      </w:r>
      <w:r>
        <w:rPr>
          <w:rFonts w:ascii="Times New Roman" w:eastAsia="MaisonNeue" w:hAnsi="Times New Roman"/>
          <w:sz w:val="24"/>
          <w:szCs w:val="24"/>
          <w:shd w:val="clear" w:color="auto" w:fill="FFFFFF"/>
        </w:rPr>
        <w:t>10(2)</w:t>
      </w:r>
      <w:r w:rsidR="000948D7">
        <w:rPr>
          <w:rFonts w:ascii="Times New Roman" w:eastAsia="MaisonNeue" w:hAnsi="Times New Roman"/>
          <w:sz w:val="24"/>
          <w:szCs w:val="24"/>
          <w:shd w:val="clear" w:color="auto" w:fill="FFFFFF"/>
        </w:rPr>
        <w:t xml:space="preserve">, </w:t>
      </w:r>
      <w:r>
        <w:rPr>
          <w:rFonts w:ascii="Times New Roman" w:eastAsia="MaisonNeue" w:hAnsi="Times New Roman"/>
          <w:sz w:val="24"/>
          <w:szCs w:val="24"/>
          <w:shd w:val="clear" w:color="auto" w:fill="FFFFFF"/>
        </w:rPr>
        <w:t>130-146.</w:t>
      </w:r>
    </w:p>
    <w:p w:rsidR="003B3559" w:rsidRDefault="00727B14">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O’Keefe, S.F. &amp; Pike, O.A. (2010) </w:t>
      </w:r>
      <w:r>
        <w:rPr>
          <w:rFonts w:ascii="Times New Roman" w:hAnsi="Times New Roman" w:cs="Times New Roman"/>
          <w:i/>
          <w:sz w:val="24"/>
          <w:szCs w:val="24"/>
        </w:rPr>
        <w:t>Fat characterization</w:t>
      </w:r>
      <w:r>
        <w:rPr>
          <w:rFonts w:ascii="Times New Roman" w:hAnsi="Times New Roman" w:cs="Times New Roman"/>
          <w:sz w:val="24"/>
          <w:szCs w:val="24"/>
        </w:rPr>
        <w:t xml:space="preserve">, Ch. 14. In: Nielsen SS (ed) </w:t>
      </w:r>
      <w:r>
        <w:rPr>
          <w:rFonts w:ascii="Times New Roman" w:hAnsi="Times New Roman" w:cs="Times New Roman"/>
          <w:i/>
          <w:sz w:val="24"/>
          <w:szCs w:val="24"/>
        </w:rPr>
        <w:t>Food analysis</w:t>
      </w:r>
      <w:r>
        <w:rPr>
          <w:rFonts w:ascii="Times New Roman" w:hAnsi="Times New Roman" w:cs="Times New Roman"/>
          <w:sz w:val="24"/>
          <w:szCs w:val="24"/>
        </w:rPr>
        <w:t xml:space="preserve">, 4th edn. Springer, New York. </w:t>
      </w:r>
    </w:p>
    <w:p w:rsidR="003B3559" w:rsidRDefault="00727B14">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Pelucchi, C., Bosetti, C., Galeone, C. &amp; La Vecchia, C. (2014).Dietary acrylamide and cancer risk: An updated meta-analysis. </w:t>
      </w:r>
      <w:r>
        <w:rPr>
          <w:rFonts w:ascii="Times New Roman" w:hAnsi="Times New Roman" w:cs="Times New Roman"/>
          <w:i/>
          <w:sz w:val="24"/>
          <w:szCs w:val="24"/>
        </w:rPr>
        <w:t>International Journal of Cancer</w:t>
      </w:r>
      <w:r>
        <w:rPr>
          <w:rFonts w:ascii="Times New Roman" w:hAnsi="Times New Roman" w:cs="Times New Roman"/>
          <w:sz w:val="24"/>
          <w:szCs w:val="24"/>
        </w:rPr>
        <w:t xml:space="preserve">, </w:t>
      </w:r>
      <w:r>
        <w:rPr>
          <w:rFonts w:ascii="Times New Roman" w:hAnsi="Times New Roman" w:cs="Times New Roman"/>
          <w:b/>
          <w:sz w:val="24"/>
          <w:szCs w:val="24"/>
        </w:rPr>
        <w:t>138</w:t>
      </w:r>
      <w:r>
        <w:rPr>
          <w:rFonts w:ascii="Times New Roman" w:hAnsi="Times New Roman" w:cs="Times New Roman"/>
          <w:sz w:val="24"/>
          <w:szCs w:val="24"/>
        </w:rPr>
        <w:t xml:space="preserve">(12), 2912-2922. </w:t>
      </w:r>
    </w:p>
    <w:p w:rsidR="003B3559" w:rsidRDefault="00727B14">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Rekhadevi, P.V. &amp; Rajagopal, S. (2016). Evaluation of the deleterious health effects of consumption of repeatedly heated vegetable oil. </w:t>
      </w:r>
      <w:r>
        <w:rPr>
          <w:rFonts w:ascii="Times New Roman" w:hAnsi="Times New Roman" w:cs="Times New Roman"/>
          <w:i/>
          <w:sz w:val="24"/>
          <w:szCs w:val="24"/>
        </w:rPr>
        <w:t>Toxicology Reports,</w:t>
      </w:r>
      <w:r>
        <w:rPr>
          <w:rFonts w:ascii="Times New Roman" w:hAnsi="Times New Roman" w:cs="Times New Roman"/>
          <w:b/>
          <w:sz w:val="24"/>
          <w:szCs w:val="24"/>
        </w:rPr>
        <w:t>3,</w:t>
      </w:r>
      <w:r>
        <w:rPr>
          <w:rFonts w:ascii="Times New Roman" w:hAnsi="Times New Roman" w:cs="Times New Roman"/>
          <w:sz w:val="24"/>
          <w:szCs w:val="24"/>
        </w:rPr>
        <w:t xml:space="preserve"> 636-643. </w:t>
      </w:r>
    </w:p>
    <w:p w:rsidR="003B3559" w:rsidRDefault="00727B14">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Srivastava, S., Singh, M., George, J. &amp;Bhui, K. (2010a). Genotoxic and Carcinogenic risks associated with the dietary consumption of repeatedly heated coconut oil. </w:t>
      </w:r>
      <w:r>
        <w:rPr>
          <w:rFonts w:ascii="Times New Roman" w:hAnsi="Times New Roman" w:cs="Times New Roman"/>
          <w:i/>
          <w:iCs/>
          <w:sz w:val="24"/>
          <w:szCs w:val="24"/>
        </w:rPr>
        <w:t xml:space="preserve">Br J Nutr, </w:t>
      </w:r>
      <w:r>
        <w:rPr>
          <w:rFonts w:ascii="Times New Roman" w:hAnsi="Times New Roman" w:cs="Times New Roman"/>
          <w:b/>
          <w:sz w:val="24"/>
          <w:szCs w:val="24"/>
        </w:rPr>
        <w:t>104</w:t>
      </w:r>
      <w:r>
        <w:rPr>
          <w:rFonts w:ascii="Times New Roman" w:hAnsi="Times New Roman" w:cs="Times New Roman"/>
          <w:sz w:val="24"/>
          <w:szCs w:val="24"/>
        </w:rPr>
        <w:t xml:space="preserve">(9), 1343-1352. </w:t>
      </w:r>
    </w:p>
    <w:p w:rsidR="003B3559" w:rsidRDefault="00727B14">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Srivastava, S., Singh, M., George, J. &amp;Bhui, K. (2010b). Genotoxic and carcinogenic risks associated with the consumption of repeatedly boiled sunflower oil. </w:t>
      </w:r>
      <w:r>
        <w:rPr>
          <w:rFonts w:ascii="Times New Roman" w:hAnsi="Times New Roman" w:cs="Times New Roman"/>
          <w:i/>
          <w:iCs/>
          <w:sz w:val="24"/>
          <w:szCs w:val="24"/>
        </w:rPr>
        <w:t>J Agric Food Chem,</w:t>
      </w:r>
      <w:r>
        <w:rPr>
          <w:rFonts w:ascii="Times New Roman" w:hAnsi="Times New Roman" w:cs="Times New Roman"/>
          <w:b/>
          <w:sz w:val="24"/>
          <w:szCs w:val="24"/>
        </w:rPr>
        <w:t>58</w:t>
      </w:r>
      <w:r>
        <w:rPr>
          <w:rFonts w:ascii="Times New Roman" w:hAnsi="Times New Roman" w:cs="Times New Roman"/>
          <w:sz w:val="24"/>
          <w:szCs w:val="24"/>
        </w:rPr>
        <w:t xml:space="preserve">(20), 11179-11186. </w:t>
      </w:r>
    </w:p>
    <w:p w:rsidR="003B3559" w:rsidRDefault="00727B14">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Wang, J.U.N., Wu, W., Wang, X., Wang, M.I.n. &amp; Wu, F. (2015). An effective GC method for the determination of the fatty acid composition in silkworm pupae oil using a two-step methylation process. </w:t>
      </w:r>
      <w:r>
        <w:rPr>
          <w:rFonts w:ascii="Times New Roman" w:hAnsi="Times New Roman" w:cs="Times New Roman"/>
          <w:i/>
          <w:sz w:val="24"/>
          <w:szCs w:val="24"/>
        </w:rPr>
        <w:t>Journal of Serbian Chemical Society</w:t>
      </w:r>
      <w:r>
        <w:rPr>
          <w:rFonts w:ascii="Times New Roman" w:hAnsi="Times New Roman" w:cs="Times New Roman"/>
          <w:sz w:val="24"/>
          <w:szCs w:val="24"/>
        </w:rPr>
        <w:t xml:space="preserve">, 80 (1), 9 -20. </w:t>
      </w:r>
    </w:p>
    <w:p w:rsidR="00765675" w:rsidRPr="00765675" w:rsidRDefault="00765675" w:rsidP="002E1CDD">
      <w:pPr>
        <w:pStyle w:val="Default"/>
        <w:spacing w:line="480" w:lineRule="auto"/>
        <w:ind w:left="720" w:hanging="720"/>
        <w:jc w:val="both"/>
      </w:pPr>
      <w:r w:rsidRPr="00765675">
        <w:t xml:space="preserve">Yin, H., Xu, L. </w:t>
      </w:r>
      <w:r>
        <w:t>&amp;</w:t>
      </w:r>
      <w:r w:rsidRPr="00765675">
        <w:t xml:space="preserve"> Porter, N.A. (2011). “Free radical lipid peroxidation: mechanisms and analysis,” </w:t>
      </w:r>
      <w:r w:rsidRPr="00765675">
        <w:rPr>
          <w:i/>
          <w:iCs/>
        </w:rPr>
        <w:t>Chemical Reviews</w:t>
      </w:r>
      <w:r w:rsidRPr="00765675">
        <w:t xml:space="preserve">, </w:t>
      </w:r>
      <w:r w:rsidRPr="00765675">
        <w:rPr>
          <w:b/>
        </w:rPr>
        <w:t>111</w:t>
      </w:r>
      <w:r w:rsidRPr="00765675">
        <w:t xml:space="preserve"> (10): 5944–5972. </w:t>
      </w:r>
    </w:p>
    <w:p w:rsidR="003B3559" w:rsidRDefault="00727B14">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Zeb, A. &amp; Ullah, F. (2016). A simple spectrophotometric method for the determination of thiobarbituric acid reactive substances in fried fast foods. </w:t>
      </w:r>
      <w:r>
        <w:rPr>
          <w:rFonts w:ascii="Times New Roman" w:hAnsi="Times New Roman" w:cs="Times New Roman"/>
          <w:i/>
          <w:sz w:val="24"/>
          <w:szCs w:val="24"/>
        </w:rPr>
        <w:t>Journal of Analytical Methods in Chemistry</w:t>
      </w:r>
      <w:r>
        <w:rPr>
          <w:rFonts w:ascii="Times New Roman" w:hAnsi="Times New Roman" w:cs="Times New Roman"/>
          <w:sz w:val="24"/>
          <w:szCs w:val="24"/>
        </w:rPr>
        <w:t xml:space="preserve">, 2016, Article ID 9412767, 5 pages </w:t>
      </w:r>
      <w:hyperlink r:id="rId87" w:history="1">
        <w:r>
          <w:rPr>
            <w:rStyle w:val="Hyperlink"/>
            <w:rFonts w:ascii="Times New Roman" w:hAnsi="Times New Roman" w:cs="Times New Roman"/>
            <w:color w:val="auto"/>
            <w:sz w:val="24"/>
            <w:szCs w:val="24"/>
          </w:rPr>
          <w:t>http://dx.doi.org/10.1155/2016/9412767</w:t>
        </w:r>
      </w:hyperlink>
      <w:r>
        <w:rPr>
          <w:rFonts w:ascii="Times New Roman" w:hAnsi="Times New Roman" w:cs="Times New Roman"/>
          <w:sz w:val="24"/>
          <w:szCs w:val="24"/>
        </w:rPr>
        <w:t xml:space="preserve">. </w:t>
      </w:r>
    </w:p>
    <w:p w:rsidR="003B3559" w:rsidRDefault="00727B14">
      <w:pPr>
        <w:spacing w:after="0" w:line="480" w:lineRule="auto"/>
        <w:ind w:left="720" w:hanging="720"/>
        <w:jc w:val="both"/>
        <w:rPr>
          <w:rStyle w:val="A9"/>
          <w:rFonts w:ascii="Times New Roman" w:hAnsi="Times New Roman" w:cs="Times New Roman"/>
          <w:sz w:val="24"/>
          <w:szCs w:val="24"/>
        </w:rPr>
      </w:pPr>
      <w:r>
        <w:rPr>
          <w:rStyle w:val="A9"/>
          <w:rFonts w:ascii="Times New Roman" w:hAnsi="Times New Roman" w:cs="Times New Roman"/>
          <w:sz w:val="24"/>
          <w:szCs w:val="24"/>
        </w:rPr>
        <w:t xml:space="preserve">Zhang, Q., Saleh, A.S., Chen, J. &amp; Shen, Q. (2012). Chemical alterations taken place during deep-fat    frying based on certain reaction products: a review. </w:t>
      </w:r>
      <w:r>
        <w:rPr>
          <w:rStyle w:val="A9"/>
          <w:rFonts w:ascii="Times New Roman" w:hAnsi="Times New Roman" w:cs="Times New Roman"/>
          <w:i/>
          <w:sz w:val="24"/>
          <w:szCs w:val="24"/>
        </w:rPr>
        <w:t>Chem Phys Lipids</w:t>
      </w:r>
      <w:r>
        <w:rPr>
          <w:rStyle w:val="A9"/>
          <w:rFonts w:ascii="Times New Roman" w:hAnsi="Times New Roman" w:cs="Times New Roman"/>
          <w:sz w:val="24"/>
          <w:szCs w:val="24"/>
        </w:rPr>
        <w:t>, 165, 662-681.</w:t>
      </w:r>
    </w:p>
    <w:p w:rsidR="003B3559" w:rsidRDefault="00727B14">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Zhanyuan, D. &amp; William, J.B. (1992). Modified thiobarbituric acid assay for measuring lipid oxidation in sugar-rich plant tissue extracts. </w:t>
      </w:r>
      <w:r>
        <w:rPr>
          <w:rFonts w:ascii="Times New Roman" w:hAnsi="Times New Roman" w:cs="Times New Roman"/>
          <w:i/>
          <w:sz w:val="24"/>
          <w:szCs w:val="24"/>
        </w:rPr>
        <w:t>Journal of Agric. Food Chem</w:t>
      </w:r>
      <w:r>
        <w:rPr>
          <w:rFonts w:ascii="Times New Roman" w:hAnsi="Times New Roman" w:cs="Times New Roman"/>
          <w:sz w:val="24"/>
          <w:szCs w:val="24"/>
        </w:rPr>
        <w:t xml:space="preserve">, </w:t>
      </w:r>
      <w:r>
        <w:rPr>
          <w:rFonts w:ascii="Times New Roman" w:hAnsi="Times New Roman" w:cs="Times New Roman"/>
          <w:b/>
          <w:sz w:val="24"/>
          <w:szCs w:val="24"/>
        </w:rPr>
        <w:t>40</w:t>
      </w:r>
      <w:r>
        <w:rPr>
          <w:rFonts w:ascii="Times New Roman" w:hAnsi="Times New Roman" w:cs="Times New Roman"/>
          <w:sz w:val="24"/>
          <w:szCs w:val="24"/>
        </w:rPr>
        <w:t xml:space="preserve">(9), 1566-1570. </w:t>
      </w:r>
    </w:p>
    <w:p w:rsidR="003B3559" w:rsidRDefault="003B3559"/>
    <w:p w:rsidR="003B3559" w:rsidRDefault="003B3559">
      <w:pPr>
        <w:pStyle w:val="NoSpacing"/>
      </w:pPr>
    </w:p>
    <w:p w:rsidR="005D6B32" w:rsidRDefault="005D6B32">
      <w:pPr>
        <w:pStyle w:val="NoSpacing"/>
      </w:pPr>
    </w:p>
    <w:p w:rsidR="005D6B32" w:rsidRDefault="005D6B32">
      <w:pPr>
        <w:pStyle w:val="NoSpacing"/>
      </w:pPr>
    </w:p>
    <w:p w:rsidR="005D6B32" w:rsidRDefault="005D6B32">
      <w:pPr>
        <w:pStyle w:val="NoSpacing"/>
      </w:pPr>
    </w:p>
    <w:p w:rsidR="005D6B32" w:rsidRDefault="005D6B32">
      <w:pPr>
        <w:pStyle w:val="NoSpacing"/>
      </w:pPr>
    </w:p>
    <w:p w:rsidR="003B3559" w:rsidRDefault="00727B14">
      <w:pPr>
        <w:pStyle w:val="Default"/>
        <w:spacing w:line="480" w:lineRule="auto"/>
        <w:rPr>
          <w:b/>
          <w:sz w:val="20"/>
          <w:szCs w:val="20"/>
        </w:rPr>
      </w:pPr>
      <w:r>
        <w:rPr>
          <w:b/>
          <w:sz w:val="20"/>
          <w:szCs w:val="20"/>
        </w:rPr>
        <w:t xml:space="preserve">Appendix </w:t>
      </w:r>
    </w:p>
    <w:p w:rsidR="003B3559" w:rsidRDefault="00727B14">
      <w:pPr>
        <w:pStyle w:val="Default"/>
        <w:spacing w:line="480" w:lineRule="auto"/>
        <w:rPr>
          <w:sz w:val="20"/>
          <w:szCs w:val="20"/>
        </w:rPr>
      </w:pPr>
      <w:r>
        <w:rPr>
          <w:b/>
        </w:rPr>
        <w:t xml:space="preserve">Figure </w:t>
      </w:r>
      <w:r w:rsidR="0031207A">
        <w:rPr>
          <w:b/>
        </w:rPr>
        <w:t>2</w:t>
      </w:r>
      <w:r>
        <w:rPr>
          <w:b/>
        </w:rPr>
        <w:t xml:space="preserve">: Total ionized compounds found in methylated re-used deep fried oil </w:t>
      </w:r>
    </w:p>
    <w:p w:rsidR="003B3559" w:rsidRDefault="00727B14">
      <w:pPr>
        <w:spacing w:line="480" w:lineRule="auto"/>
        <w:jc w:val="both"/>
        <w:rPr>
          <w:rFonts w:ascii="Times New Roman" w:hAnsi="Times New Roman" w:cs="Times New Roman"/>
          <w:sz w:val="20"/>
          <w:szCs w:val="20"/>
        </w:rPr>
      </w:pPr>
      <w:r>
        <w:rPr>
          <w:noProof/>
        </w:rPr>
        <w:drawing>
          <wp:inline distT="0" distB="0" distL="0" distR="0">
            <wp:extent cx="5735955" cy="2851150"/>
            <wp:effectExtent l="0" t="0" r="0" b="6350"/>
            <wp:docPr id="6" name="Picture 6" descr="C:\Users\FRANK\AppData\Local\Temp\ksohtml11152\wps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FRANK\AppData\Local\Temp\ksohtml11152\wps159.jpg"/>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735955" cy="2851150"/>
                    </a:xfrm>
                    <a:prstGeom prst="rect">
                      <a:avLst/>
                    </a:prstGeom>
                    <a:noFill/>
                    <a:ln>
                      <a:noFill/>
                    </a:ln>
                  </pic:spPr>
                </pic:pic>
              </a:graphicData>
            </a:graphic>
          </wp:inline>
        </w:drawing>
      </w:r>
    </w:p>
    <w:p w:rsidR="003B3559" w:rsidRDefault="003B3559">
      <w:pPr>
        <w:spacing w:line="480" w:lineRule="auto"/>
        <w:jc w:val="both"/>
        <w:rPr>
          <w:rFonts w:ascii="Times New Roman" w:hAnsi="Times New Roman" w:cs="Times New Roman"/>
          <w:sz w:val="20"/>
          <w:szCs w:val="20"/>
        </w:rPr>
      </w:pPr>
    </w:p>
    <w:p w:rsidR="003B3559" w:rsidRDefault="003B3559">
      <w:pPr>
        <w:spacing w:line="480" w:lineRule="auto"/>
        <w:jc w:val="both"/>
        <w:rPr>
          <w:rFonts w:ascii="Times New Roman" w:hAnsi="Times New Roman" w:cs="Times New Roman"/>
          <w:sz w:val="20"/>
          <w:szCs w:val="20"/>
        </w:rPr>
      </w:pPr>
    </w:p>
    <w:p w:rsidR="003B3559" w:rsidRDefault="003B3559">
      <w:pPr>
        <w:spacing w:line="480" w:lineRule="auto"/>
        <w:jc w:val="both"/>
        <w:rPr>
          <w:rFonts w:ascii="Times New Roman" w:hAnsi="Times New Roman" w:cs="Times New Roman"/>
          <w:sz w:val="20"/>
          <w:szCs w:val="20"/>
        </w:rPr>
      </w:pPr>
    </w:p>
    <w:p w:rsidR="003B3559" w:rsidRDefault="003B3559">
      <w:pPr>
        <w:spacing w:line="480" w:lineRule="auto"/>
        <w:jc w:val="both"/>
        <w:rPr>
          <w:rFonts w:ascii="Times New Roman" w:hAnsi="Times New Roman" w:cs="Times New Roman"/>
          <w:sz w:val="20"/>
          <w:szCs w:val="20"/>
        </w:rPr>
      </w:pPr>
    </w:p>
    <w:p w:rsidR="003B3559" w:rsidRDefault="003B3559">
      <w:pPr>
        <w:spacing w:line="480" w:lineRule="auto"/>
        <w:jc w:val="both"/>
        <w:rPr>
          <w:rFonts w:ascii="Times New Roman" w:hAnsi="Times New Roman" w:cs="Times New Roman"/>
          <w:sz w:val="20"/>
          <w:szCs w:val="20"/>
        </w:rPr>
      </w:pPr>
    </w:p>
    <w:p w:rsidR="003B3559" w:rsidRDefault="003B3559">
      <w:pPr>
        <w:spacing w:line="480" w:lineRule="auto"/>
        <w:jc w:val="both"/>
        <w:rPr>
          <w:rFonts w:ascii="Times New Roman" w:hAnsi="Times New Roman" w:cs="Times New Roman"/>
          <w:sz w:val="20"/>
          <w:szCs w:val="20"/>
        </w:rPr>
      </w:pPr>
    </w:p>
    <w:p w:rsidR="003B3559" w:rsidRDefault="003B3559">
      <w:pPr>
        <w:spacing w:line="480" w:lineRule="auto"/>
        <w:jc w:val="both"/>
        <w:rPr>
          <w:rFonts w:ascii="Times New Roman" w:hAnsi="Times New Roman" w:cs="Times New Roman"/>
          <w:sz w:val="20"/>
          <w:szCs w:val="20"/>
        </w:rPr>
      </w:pPr>
    </w:p>
    <w:p w:rsidR="003B3559" w:rsidRDefault="003B3559">
      <w:pPr>
        <w:spacing w:line="480" w:lineRule="auto"/>
        <w:jc w:val="both"/>
        <w:rPr>
          <w:rFonts w:ascii="Times New Roman" w:hAnsi="Times New Roman" w:cs="Times New Roman"/>
          <w:sz w:val="20"/>
          <w:szCs w:val="20"/>
        </w:rPr>
      </w:pPr>
    </w:p>
    <w:p w:rsidR="003B3559" w:rsidRDefault="003B3559">
      <w:pPr>
        <w:spacing w:line="480" w:lineRule="auto"/>
        <w:jc w:val="both"/>
        <w:rPr>
          <w:rFonts w:ascii="Times New Roman" w:hAnsi="Times New Roman" w:cs="Times New Roman"/>
          <w:sz w:val="20"/>
          <w:szCs w:val="20"/>
        </w:rPr>
      </w:pPr>
    </w:p>
    <w:p w:rsidR="003B3559" w:rsidRDefault="00727B14" w:rsidP="008A21B2">
      <w:pPr>
        <w:spacing w:line="48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Figure </w:t>
      </w:r>
      <w:r w:rsidR="0031207A">
        <w:rPr>
          <w:rFonts w:ascii="Times New Roman" w:eastAsia="Calibri" w:hAnsi="Times New Roman" w:cs="Times New Roman"/>
          <w:b/>
          <w:sz w:val="24"/>
          <w:szCs w:val="24"/>
        </w:rPr>
        <w:t>3</w:t>
      </w:r>
      <w:r>
        <w:rPr>
          <w:rFonts w:ascii="Times New Roman" w:eastAsia="Calibri" w:hAnsi="Times New Roman" w:cs="Times New Roman"/>
          <w:b/>
          <w:sz w:val="24"/>
          <w:szCs w:val="24"/>
        </w:rPr>
        <w:t>: Total ionized compounds found in derivatized Re-used deep fried oil</w:t>
      </w:r>
    </w:p>
    <w:p w:rsidR="003B3559" w:rsidRDefault="00727B14">
      <w:pPr>
        <w:spacing w:line="480" w:lineRule="auto"/>
        <w:jc w:val="both"/>
        <w:rPr>
          <w:rFonts w:ascii="Times New Roman" w:hAnsi="Times New Roman" w:cs="Times New Roman"/>
          <w:sz w:val="20"/>
          <w:szCs w:val="20"/>
        </w:rPr>
      </w:pPr>
      <w:r>
        <w:rPr>
          <w:noProof/>
        </w:rPr>
        <w:drawing>
          <wp:inline distT="0" distB="0" distL="0" distR="0">
            <wp:extent cx="6026785" cy="2884805"/>
            <wp:effectExtent l="0" t="0" r="0" b="0"/>
            <wp:docPr id="5" name="Picture 5" descr="C:\Users\FRANK\AppData\Local\Temp\ksohtml11152\wps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FRANK\AppData\Local\Temp\ksohtml11152\wps160.jpg"/>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6026785" cy="2884805"/>
                    </a:xfrm>
                    <a:prstGeom prst="rect">
                      <a:avLst/>
                    </a:prstGeom>
                    <a:noFill/>
                    <a:ln>
                      <a:noFill/>
                    </a:ln>
                  </pic:spPr>
                </pic:pic>
              </a:graphicData>
            </a:graphic>
          </wp:inline>
        </w:drawing>
      </w:r>
    </w:p>
    <w:p w:rsidR="003B3559" w:rsidRDefault="003B3559">
      <w:pPr>
        <w:spacing w:line="480" w:lineRule="auto"/>
        <w:jc w:val="both"/>
        <w:rPr>
          <w:rFonts w:ascii="Times New Roman" w:hAnsi="Times New Roman" w:cs="Times New Roman"/>
          <w:sz w:val="20"/>
          <w:szCs w:val="20"/>
        </w:rPr>
      </w:pPr>
    </w:p>
    <w:p w:rsidR="003B3559" w:rsidRDefault="003B3559">
      <w:pPr>
        <w:spacing w:line="480" w:lineRule="auto"/>
        <w:jc w:val="both"/>
        <w:rPr>
          <w:rFonts w:ascii="Times New Roman" w:hAnsi="Times New Roman" w:cs="Times New Roman"/>
          <w:sz w:val="20"/>
          <w:szCs w:val="20"/>
        </w:rPr>
      </w:pPr>
    </w:p>
    <w:p w:rsidR="003B3559" w:rsidRDefault="003B3559">
      <w:pPr>
        <w:spacing w:line="480" w:lineRule="auto"/>
        <w:jc w:val="both"/>
        <w:rPr>
          <w:rFonts w:ascii="Times New Roman" w:hAnsi="Times New Roman" w:cs="Times New Roman"/>
          <w:sz w:val="20"/>
          <w:szCs w:val="20"/>
        </w:rPr>
      </w:pPr>
    </w:p>
    <w:p w:rsidR="003B3559" w:rsidRDefault="003B3559">
      <w:pPr>
        <w:spacing w:line="480" w:lineRule="auto"/>
        <w:jc w:val="both"/>
        <w:rPr>
          <w:rFonts w:ascii="Times New Roman" w:hAnsi="Times New Roman" w:cs="Times New Roman"/>
          <w:sz w:val="20"/>
          <w:szCs w:val="20"/>
        </w:rPr>
      </w:pPr>
    </w:p>
    <w:p w:rsidR="003B3559" w:rsidRDefault="003B3559">
      <w:pPr>
        <w:spacing w:line="480" w:lineRule="auto"/>
        <w:jc w:val="both"/>
        <w:rPr>
          <w:rFonts w:ascii="Times New Roman" w:hAnsi="Times New Roman" w:cs="Times New Roman"/>
          <w:sz w:val="20"/>
          <w:szCs w:val="20"/>
        </w:rPr>
      </w:pPr>
    </w:p>
    <w:p w:rsidR="003B3559" w:rsidRDefault="003B3559">
      <w:pPr>
        <w:spacing w:line="480" w:lineRule="auto"/>
        <w:jc w:val="both"/>
        <w:rPr>
          <w:rFonts w:ascii="Times New Roman" w:hAnsi="Times New Roman" w:cs="Times New Roman"/>
          <w:sz w:val="20"/>
          <w:szCs w:val="20"/>
        </w:rPr>
      </w:pPr>
    </w:p>
    <w:p w:rsidR="003B3559" w:rsidRDefault="003B3559">
      <w:pPr>
        <w:spacing w:line="480" w:lineRule="auto"/>
        <w:jc w:val="both"/>
        <w:rPr>
          <w:rFonts w:ascii="Times New Roman" w:hAnsi="Times New Roman" w:cs="Times New Roman"/>
          <w:sz w:val="20"/>
          <w:szCs w:val="20"/>
        </w:rPr>
      </w:pPr>
    </w:p>
    <w:p w:rsidR="003B3559" w:rsidRDefault="003B3559">
      <w:pPr>
        <w:spacing w:line="480" w:lineRule="auto"/>
        <w:jc w:val="both"/>
        <w:rPr>
          <w:rFonts w:ascii="Times New Roman" w:hAnsi="Times New Roman" w:cs="Times New Roman"/>
          <w:sz w:val="20"/>
          <w:szCs w:val="20"/>
        </w:rPr>
      </w:pPr>
    </w:p>
    <w:p w:rsidR="003B3559" w:rsidRDefault="003B3559">
      <w:pPr>
        <w:spacing w:line="480" w:lineRule="auto"/>
        <w:jc w:val="both"/>
        <w:rPr>
          <w:rFonts w:ascii="Times New Roman" w:hAnsi="Times New Roman" w:cs="Times New Roman"/>
          <w:sz w:val="20"/>
          <w:szCs w:val="20"/>
        </w:rPr>
      </w:pPr>
    </w:p>
    <w:p w:rsidR="003B3559" w:rsidRDefault="003B3559">
      <w:pPr>
        <w:spacing w:line="480" w:lineRule="auto"/>
        <w:jc w:val="both"/>
        <w:rPr>
          <w:rFonts w:ascii="Times New Roman" w:hAnsi="Times New Roman" w:cs="Times New Roman"/>
          <w:sz w:val="20"/>
          <w:szCs w:val="20"/>
        </w:rPr>
      </w:pPr>
    </w:p>
    <w:p w:rsidR="003B3559" w:rsidRDefault="00727B14" w:rsidP="008A21B2">
      <w:pPr>
        <w:spacing w:line="48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Figure </w:t>
      </w:r>
      <w:r w:rsidR="0031207A">
        <w:rPr>
          <w:rFonts w:ascii="Times New Roman" w:eastAsia="Calibri" w:hAnsi="Times New Roman" w:cs="Times New Roman"/>
          <w:b/>
          <w:sz w:val="24"/>
          <w:szCs w:val="24"/>
        </w:rPr>
        <w:t>4</w:t>
      </w:r>
      <w:r>
        <w:rPr>
          <w:rFonts w:ascii="Times New Roman" w:eastAsia="Calibri" w:hAnsi="Times New Roman" w:cs="Times New Roman"/>
          <w:b/>
          <w:sz w:val="24"/>
          <w:szCs w:val="24"/>
        </w:rPr>
        <w:t>: Total ionized compounds found in raw Re-used deep fried oil</w:t>
      </w:r>
    </w:p>
    <w:p w:rsidR="003B3559" w:rsidRDefault="003B3559">
      <w:pPr>
        <w:spacing w:line="480" w:lineRule="auto"/>
        <w:jc w:val="both"/>
        <w:rPr>
          <w:rFonts w:ascii="Times New Roman" w:hAnsi="Times New Roman" w:cs="Times New Roman"/>
          <w:sz w:val="20"/>
          <w:szCs w:val="20"/>
        </w:rPr>
      </w:pPr>
    </w:p>
    <w:p w:rsidR="003B3559" w:rsidRDefault="003B3559">
      <w:pPr>
        <w:spacing w:line="480" w:lineRule="auto"/>
        <w:jc w:val="both"/>
        <w:rPr>
          <w:rFonts w:ascii="Times New Roman" w:hAnsi="Times New Roman" w:cs="Times New Roman"/>
          <w:sz w:val="20"/>
          <w:szCs w:val="20"/>
        </w:rPr>
      </w:pPr>
    </w:p>
    <w:p w:rsidR="003B3559" w:rsidRDefault="00727B14">
      <w:pPr>
        <w:spacing w:line="480" w:lineRule="auto"/>
        <w:jc w:val="both"/>
        <w:rPr>
          <w:rFonts w:ascii="Times New Roman" w:hAnsi="Times New Roman" w:cs="Times New Roman"/>
          <w:sz w:val="20"/>
          <w:szCs w:val="20"/>
        </w:rPr>
      </w:pPr>
      <w:r>
        <w:rPr>
          <w:noProof/>
        </w:rPr>
        <w:lastRenderedPageBreak/>
        <w:drawing>
          <wp:inline distT="0" distB="0" distL="0" distR="0">
            <wp:extent cx="6059805" cy="3890645"/>
            <wp:effectExtent l="0" t="0" r="0" b="0"/>
            <wp:docPr id="4" name="Picture 4" descr="C:\Users\FRANK\AppData\Local\Temp\ksohtml11152\wps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FRANK\AppData\Local\Temp\ksohtml11152\wps161.jpg"/>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6059805" cy="3890645"/>
                    </a:xfrm>
                    <a:prstGeom prst="rect">
                      <a:avLst/>
                    </a:prstGeom>
                    <a:noFill/>
                    <a:ln>
                      <a:noFill/>
                    </a:ln>
                  </pic:spPr>
                </pic:pic>
              </a:graphicData>
            </a:graphic>
          </wp:inline>
        </w:drawing>
      </w:r>
    </w:p>
    <w:p w:rsidR="003B3559" w:rsidRDefault="003B3559">
      <w:pPr>
        <w:spacing w:after="0" w:line="480" w:lineRule="auto"/>
        <w:contextualSpacing/>
        <w:jc w:val="both"/>
        <w:rPr>
          <w:rFonts w:ascii="Times New Roman" w:eastAsia="Calibri" w:hAnsi="Times New Roman" w:cs="Times New Roman"/>
          <w:b/>
          <w:sz w:val="24"/>
          <w:szCs w:val="24"/>
        </w:rPr>
      </w:pPr>
    </w:p>
    <w:p w:rsidR="003B3559" w:rsidRDefault="003B3559">
      <w:pPr>
        <w:spacing w:after="0" w:line="480" w:lineRule="auto"/>
        <w:contextualSpacing/>
        <w:jc w:val="both"/>
        <w:rPr>
          <w:rFonts w:ascii="Times New Roman" w:eastAsia="Calibri" w:hAnsi="Times New Roman" w:cs="Times New Roman"/>
          <w:b/>
          <w:sz w:val="24"/>
          <w:szCs w:val="24"/>
        </w:rPr>
      </w:pPr>
    </w:p>
    <w:p w:rsidR="003B3559" w:rsidRDefault="003B3559">
      <w:pPr>
        <w:spacing w:after="0" w:line="480" w:lineRule="auto"/>
        <w:contextualSpacing/>
        <w:jc w:val="both"/>
        <w:rPr>
          <w:rFonts w:ascii="Times New Roman" w:eastAsia="Calibri" w:hAnsi="Times New Roman" w:cs="Times New Roman"/>
          <w:b/>
          <w:sz w:val="24"/>
          <w:szCs w:val="24"/>
        </w:rPr>
      </w:pPr>
    </w:p>
    <w:p w:rsidR="003B3559" w:rsidRDefault="003B3559">
      <w:pPr>
        <w:spacing w:after="0" w:line="480" w:lineRule="auto"/>
        <w:contextualSpacing/>
        <w:jc w:val="both"/>
        <w:rPr>
          <w:rFonts w:ascii="Times New Roman" w:eastAsia="Calibri" w:hAnsi="Times New Roman" w:cs="Times New Roman"/>
          <w:b/>
          <w:sz w:val="24"/>
          <w:szCs w:val="24"/>
        </w:rPr>
      </w:pPr>
    </w:p>
    <w:p w:rsidR="003B3559" w:rsidRDefault="003B3559">
      <w:pPr>
        <w:spacing w:after="0" w:line="480" w:lineRule="auto"/>
        <w:contextualSpacing/>
        <w:jc w:val="both"/>
        <w:rPr>
          <w:rFonts w:ascii="Times New Roman" w:eastAsia="Calibri" w:hAnsi="Times New Roman" w:cs="Times New Roman"/>
          <w:b/>
          <w:sz w:val="24"/>
          <w:szCs w:val="24"/>
        </w:rPr>
      </w:pPr>
    </w:p>
    <w:p w:rsidR="003B3559" w:rsidRDefault="003B3559">
      <w:pPr>
        <w:spacing w:after="0" w:line="480" w:lineRule="auto"/>
        <w:contextualSpacing/>
        <w:jc w:val="both"/>
        <w:rPr>
          <w:rFonts w:ascii="Times New Roman" w:eastAsia="Calibri" w:hAnsi="Times New Roman" w:cs="Times New Roman"/>
          <w:b/>
          <w:sz w:val="24"/>
          <w:szCs w:val="24"/>
        </w:rPr>
      </w:pPr>
    </w:p>
    <w:p w:rsidR="003B3559" w:rsidRDefault="003B3559">
      <w:pPr>
        <w:spacing w:after="0" w:line="480" w:lineRule="auto"/>
        <w:contextualSpacing/>
        <w:jc w:val="both"/>
        <w:rPr>
          <w:rFonts w:ascii="Times New Roman" w:eastAsia="Calibri" w:hAnsi="Times New Roman" w:cs="Times New Roman"/>
          <w:b/>
          <w:sz w:val="24"/>
          <w:szCs w:val="24"/>
        </w:rPr>
      </w:pPr>
    </w:p>
    <w:p w:rsidR="003B3559" w:rsidRDefault="008A21B2" w:rsidP="008A21B2">
      <w:pPr>
        <w:tabs>
          <w:tab w:val="left" w:pos="601"/>
        </w:tabs>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ab/>
      </w:r>
      <w:r w:rsidR="00727B14">
        <w:rPr>
          <w:rFonts w:ascii="Times New Roman" w:eastAsia="Calibri" w:hAnsi="Times New Roman" w:cs="Times New Roman"/>
          <w:b/>
          <w:sz w:val="24"/>
          <w:szCs w:val="24"/>
        </w:rPr>
        <w:t>Table 5: Total ionized compounds found in raw Re-used deep fried oil</w:t>
      </w:r>
    </w:p>
    <w:p w:rsidR="003B3559" w:rsidRDefault="00727B14">
      <w:pPr>
        <w:spacing w:line="480" w:lineRule="auto"/>
        <w:jc w:val="both"/>
        <w:rPr>
          <w:rFonts w:ascii="Times New Roman" w:hAnsi="Times New Roman" w:cs="Times New Roman"/>
          <w:sz w:val="20"/>
          <w:szCs w:val="20"/>
        </w:rPr>
      </w:pPr>
      <w:r>
        <w:rPr>
          <w:noProof/>
        </w:rPr>
        <w:lastRenderedPageBreak/>
        <w:drawing>
          <wp:inline distT="0" distB="0" distL="0" distR="0">
            <wp:extent cx="5735955" cy="3108960"/>
            <wp:effectExtent l="0" t="0" r="0" b="0"/>
            <wp:docPr id="3" name="Picture 3" descr="C:\Users\FRANK\AppData\Local\Temp\ksohtml11152\wps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FRANK\AppData\Local\Temp\ksohtml11152\wps162.jpg"/>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735955" cy="3108960"/>
                    </a:xfrm>
                    <a:prstGeom prst="rect">
                      <a:avLst/>
                    </a:prstGeom>
                    <a:noFill/>
                    <a:ln>
                      <a:noFill/>
                    </a:ln>
                  </pic:spPr>
                </pic:pic>
              </a:graphicData>
            </a:graphic>
          </wp:inline>
        </w:drawing>
      </w:r>
    </w:p>
    <w:p w:rsidR="003B3559" w:rsidRDefault="003B3559">
      <w:pPr>
        <w:spacing w:after="0" w:line="480" w:lineRule="auto"/>
        <w:contextualSpacing/>
        <w:jc w:val="both"/>
        <w:rPr>
          <w:rFonts w:ascii="Times New Roman" w:eastAsia="Calibri" w:hAnsi="Times New Roman" w:cs="Times New Roman"/>
          <w:b/>
          <w:sz w:val="24"/>
          <w:szCs w:val="24"/>
        </w:rPr>
      </w:pPr>
    </w:p>
    <w:p w:rsidR="003B3559" w:rsidRDefault="003B3559">
      <w:pPr>
        <w:spacing w:after="0" w:line="480" w:lineRule="auto"/>
        <w:contextualSpacing/>
        <w:jc w:val="both"/>
        <w:rPr>
          <w:rFonts w:ascii="Times New Roman" w:eastAsia="Calibri" w:hAnsi="Times New Roman" w:cs="Times New Roman"/>
          <w:b/>
          <w:sz w:val="24"/>
          <w:szCs w:val="24"/>
        </w:rPr>
      </w:pPr>
    </w:p>
    <w:p w:rsidR="003B3559" w:rsidRDefault="003B3559">
      <w:pPr>
        <w:spacing w:after="0" w:line="480" w:lineRule="auto"/>
        <w:contextualSpacing/>
        <w:jc w:val="both"/>
        <w:rPr>
          <w:rFonts w:ascii="Times New Roman" w:eastAsia="Calibri" w:hAnsi="Times New Roman" w:cs="Times New Roman"/>
          <w:b/>
          <w:sz w:val="24"/>
          <w:szCs w:val="24"/>
        </w:rPr>
      </w:pPr>
    </w:p>
    <w:p w:rsidR="003B3559" w:rsidRDefault="003B3559">
      <w:pPr>
        <w:spacing w:after="0" w:line="480" w:lineRule="auto"/>
        <w:contextualSpacing/>
        <w:jc w:val="both"/>
        <w:rPr>
          <w:rFonts w:ascii="Times New Roman" w:eastAsia="Calibri" w:hAnsi="Times New Roman" w:cs="Times New Roman"/>
          <w:b/>
          <w:sz w:val="24"/>
          <w:szCs w:val="24"/>
        </w:rPr>
      </w:pPr>
    </w:p>
    <w:p w:rsidR="003B3559" w:rsidRDefault="003B3559">
      <w:pPr>
        <w:spacing w:after="0" w:line="480" w:lineRule="auto"/>
        <w:contextualSpacing/>
        <w:jc w:val="both"/>
        <w:rPr>
          <w:rFonts w:ascii="Times New Roman" w:eastAsia="Calibri" w:hAnsi="Times New Roman" w:cs="Times New Roman"/>
          <w:b/>
          <w:sz w:val="24"/>
          <w:szCs w:val="24"/>
        </w:rPr>
      </w:pPr>
    </w:p>
    <w:p w:rsidR="003B3559" w:rsidRDefault="003B3559">
      <w:pPr>
        <w:spacing w:after="0" w:line="480" w:lineRule="auto"/>
        <w:contextualSpacing/>
        <w:jc w:val="both"/>
        <w:rPr>
          <w:rFonts w:ascii="Times New Roman" w:eastAsia="Calibri" w:hAnsi="Times New Roman" w:cs="Times New Roman"/>
          <w:b/>
          <w:sz w:val="24"/>
          <w:szCs w:val="24"/>
        </w:rPr>
      </w:pPr>
    </w:p>
    <w:p w:rsidR="003B3559" w:rsidRDefault="003B3559">
      <w:pPr>
        <w:spacing w:after="0" w:line="480" w:lineRule="auto"/>
        <w:contextualSpacing/>
        <w:jc w:val="both"/>
        <w:rPr>
          <w:rFonts w:ascii="Times New Roman" w:eastAsia="Calibri" w:hAnsi="Times New Roman" w:cs="Times New Roman"/>
          <w:b/>
          <w:sz w:val="24"/>
          <w:szCs w:val="24"/>
        </w:rPr>
      </w:pPr>
    </w:p>
    <w:p w:rsidR="003B3559" w:rsidRDefault="003B3559">
      <w:pPr>
        <w:spacing w:after="0" w:line="480" w:lineRule="auto"/>
        <w:contextualSpacing/>
        <w:jc w:val="both"/>
        <w:rPr>
          <w:rFonts w:ascii="Times New Roman" w:eastAsia="Calibri" w:hAnsi="Times New Roman" w:cs="Times New Roman"/>
          <w:b/>
          <w:sz w:val="24"/>
          <w:szCs w:val="24"/>
        </w:rPr>
      </w:pPr>
    </w:p>
    <w:p w:rsidR="003B3559" w:rsidRDefault="003B3559">
      <w:pPr>
        <w:spacing w:after="0" w:line="480" w:lineRule="auto"/>
        <w:contextualSpacing/>
        <w:jc w:val="both"/>
        <w:rPr>
          <w:rFonts w:ascii="Times New Roman" w:eastAsia="Calibri" w:hAnsi="Times New Roman" w:cs="Times New Roman"/>
          <w:b/>
          <w:sz w:val="24"/>
          <w:szCs w:val="24"/>
        </w:rPr>
      </w:pPr>
    </w:p>
    <w:p w:rsidR="008A21B2" w:rsidRDefault="008A21B2">
      <w:pPr>
        <w:spacing w:after="0" w:line="480" w:lineRule="auto"/>
        <w:contextualSpacing/>
        <w:jc w:val="both"/>
        <w:rPr>
          <w:rFonts w:ascii="Times New Roman" w:eastAsia="Calibri" w:hAnsi="Times New Roman" w:cs="Times New Roman"/>
          <w:b/>
          <w:sz w:val="24"/>
          <w:szCs w:val="24"/>
        </w:rPr>
      </w:pPr>
    </w:p>
    <w:p w:rsidR="008A21B2" w:rsidRDefault="008A21B2">
      <w:pPr>
        <w:spacing w:after="0" w:line="480" w:lineRule="auto"/>
        <w:contextualSpacing/>
        <w:jc w:val="both"/>
        <w:rPr>
          <w:rFonts w:ascii="Times New Roman" w:eastAsia="Calibri" w:hAnsi="Times New Roman" w:cs="Times New Roman"/>
          <w:b/>
          <w:sz w:val="24"/>
          <w:szCs w:val="24"/>
        </w:rPr>
      </w:pPr>
    </w:p>
    <w:p w:rsidR="008A21B2" w:rsidRDefault="008A21B2">
      <w:pPr>
        <w:spacing w:after="0" w:line="480" w:lineRule="auto"/>
        <w:contextualSpacing/>
        <w:jc w:val="both"/>
        <w:rPr>
          <w:rFonts w:ascii="Times New Roman" w:eastAsia="Calibri" w:hAnsi="Times New Roman" w:cs="Times New Roman"/>
          <w:b/>
          <w:sz w:val="24"/>
          <w:szCs w:val="24"/>
        </w:rPr>
      </w:pPr>
    </w:p>
    <w:p w:rsidR="003B3559" w:rsidRDefault="00727B14">
      <w:pPr>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Table 6: Total ionized compounds found in Methylated Re-used deep fried oil</w:t>
      </w:r>
    </w:p>
    <w:p w:rsidR="003B3559" w:rsidRDefault="00727B14">
      <w:pPr>
        <w:spacing w:line="480" w:lineRule="auto"/>
        <w:jc w:val="both"/>
        <w:rPr>
          <w:rFonts w:ascii="Times New Roman" w:hAnsi="Times New Roman" w:cs="Times New Roman"/>
          <w:sz w:val="20"/>
          <w:szCs w:val="20"/>
        </w:rPr>
      </w:pPr>
      <w:r>
        <w:rPr>
          <w:noProof/>
        </w:rPr>
        <w:lastRenderedPageBreak/>
        <w:drawing>
          <wp:inline distT="0" distB="0" distL="0" distR="0">
            <wp:extent cx="5735955" cy="3250565"/>
            <wp:effectExtent l="0" t="0" r="0" b="6985"/>
            <wp:docPr id="2" name="Picture 2" descr="C:\Users\FRANK\AppData\Local\Temp\ksohtml11152\wps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FRANK\AppData\Local\Temp\ksohtml11152\wps163.jpg"/>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735955" cy="3250565"/>
                    </a:xfrm>
                    <a:prstGeom prst="rect">
                      <a:avLst/>
                    </a:prstGeom>
                    <a:noFill/>
                    <a:ln>
                      <a:noFill/>
                    </a:ln>
                  </pic:spPr>
                </pic:pic>
              </a:graphicData>
            </a:graphic>
          </wp:inline>
        </w:drawing>
      </w:r>
    </w:p>
    <w:p w:rsidR="003B3559" w:rsidRDefault="003B3559">
      <w:pPr>
        <w:spacing w:after="0" w:line="480" w:lineRule="auto"/>
        <w:contextualSpacing/>
        <w:jc w:val="both"/>
        <w:rPr>
          <w:rFonts w:ascii="Times New Roman" w:eastAsia="Calibri" w:hAnsi="Times New Roman" w:cs="Times New Roman"/>
          <w:b/>
          <w:sz w:val="24"/>
          <w:szCs w:val="24"/>
        </w:rPr>
      </w:pPr>
    </w:p>
    <w:p w:rsidR="003B3559" w:rsidRDefault="003B3559">
      <w:pPr>
        <w:spacing w:after="0" w:line="480" w:lineRule="auto"/>
        <w:contextualSpacing/>
        <w:jc w:val="both"/>
        <w:rPr>
          <w:rFonts w:ascii="Times New Roman" w:eastAsia="Calibri" w:hAnsi="Times New Roman" w:cs="Times New Roman"/>
          <w:b/>
          <w:sz w:val="24"/>
          <w:szCs w:val="24"/>
        </w:rPr>
      </w:pPr>
    </w:p>
    <w:p w:rsidR="003B3559" w:rsidRDefault="003B3559">
      <w:pPr>
        <w:spacing w:after="0" w:line="480" w:lineRule="auto"/>
        <w:contextualSpacing/>
        <w:jc w:val="both"/>
        <w:rPr>
          <w:rFonts w:ascii="Times New Roman" w:eastAsia="Calibri" w:hAnsi="Times New Roman" w:cs="Times New Roman"/>
          <w:b/>
          <w:sz w:val="24"/>
          <w:szCs w:val="24"/>
        </w:rPr>
      </w:pPr>
    </w:p>
    <w:p w:rsidR="003B3559" w:rsidRDefault="003B3559">
      <w:pPr>
        <w:spacing w:after="0" w:line="480" w:lineRule="auto"/>
        <w:contextualSpacing/>
        <w:jc w:val="both"/>
        <w:rPr>
          <w:rFonts w:ascii="Times New Roman" w:eastAsia="Calibri" w:hAnsi="Times New Roman" w:cs="Times New Roman"/>
          <w:b/>
          <w:sz w:val="24"/>
          <w:szCs w:val="24"/>
        </w:rPr>
      </w:pPr>
    </w:p>
    <w:p w:rsidR="003B3559" w:rsidRDefault="003B3559">
      <w:pPr>
        <w:spacing w:after="0" w:line="480" w:lineRule="auto"/>
        <w:contextualSpacing/>
        <w:jc w:val="both"/>
        <w:rPr>
          <w:rFonts w:ascii="Times New Roman" w:eastAsia="Calibri" w:hAnsi="Times New Roman" w:cs="Times New Roman"/>
          <w:b/>
          <w:sz w:val="24"/>
          <w:szCs w:val="24"/>
        </w:rPr>
      </w:pPr>
    </w:p>
    <w:p w:rsidR="003B3559" w:rsidRDefault="003B3559">
      <w:pPr>
        <w:spacing w:after="0" w:line="480" w:lineRule="auto"/>
        <w:contextualSpacing/>
        <w:jc w:val="both"/>
        <w:rPr>
          <w:rFonts w:ascii="Times New Roman" w:eastAsia="Calibri" w:hAnsi="Times New Roman" w:cs="Times New Roman"/>
          <w:b/>
          <w:sz w:val="24"/>
          <w:szCs w:val="24"/>
        </w:rPr>
      </w:pPr>
    </w:p>
    <w:p w:rsidR="003B3559" w:rsidRDefault="003B3559">
      <w:pPr>
        <w:spacing w:after="0" w:line="480" w:lineRule="auto"/>
        <w:contextualSpacing/>
        <w:jc w:val="both"/>
        <w:rPr>
          <w:rFonts w:ascii="Times New Roman" w:eastAsia="Calibri" w:hAnsi="Times New Roman" w:cs="Times New Roman"/>
          <w:b/>
          <w:sz w:val="24"/>
          <w:szCs w:val="24"/>
        </w:rPr>
      </w:pPr>
    </w:p>
    <w:p w:rsidR="003B3559" w:rsidRDefault="003B3559">
      <w:pPr>
        <w:spacing w:after="0" w:line="480" w:lineRule="auto"/>
        <w:contextualSpacing/>
        <w:jc w:val="both"/>
        <w:rPr>
          <w:rFonts w:ascii="Times New Roman" w:eastAsia="Calibri" w:hAnsi="Times New Roman" w:cs="Times New Roman"/>
          <w:b/>
          <w:sz w:val="24"/>
          <w:szCs w:val="24"/>
        </w:rPr>
      </w:pPr>
    </w:p>
    <w:p w:rsidR="003B3559" w:rsidRDefault="003B3559">
      <w:pPr>
        <w:spacing w:after="0" w:line="480" w:lineRule="auto"/>
        <w:contextualSpacing/>
        <w:jc w:val="both"/>
        <w:rPr>
          <w:rFonts w:ascii="Times New Roman" w:eastAsia="Calibri" w:hAnsi="Times New Roman" w:cs="Times New Roman"/>
          <w:b/>
          <w:sz w:val="24"/>
          <w:szCs w:val="24"/>
        </w:rPr>
      </w:pPr>
    </w:p>
    <w:p w:rsidR="003B3559" w:rsidRDefault="003B3559">
      <w:pPr>
        <w:spacing w:after="0" w:line="480" w:lineRule="auto"/>
        <w:contextualSpacing/>
        <w:jc w:val="both"/>
        <w:rPr>
          <w:rFonts w:ascii="Times New Roman" w:eastAsia="Calibri" w:hAnsi="Times New Roman" w:cs="Times New Roman"/>
          <w:b/>
          <w:sz w:val="24"/>
          <w:szCs w:val="24"/>
        </w:rPr>
      </w:pPr>
    </w:p>
    <w:p w:rsidR="003B3559" w:rsidRDefault="003B3559">
      <w:pPr>
        <w:spacing w:after="0" w:line="480" w:lineRule="auto"/>
        <w:contextualSpacing/>
        <w:jc w:val="both"/>
        <w:rPr>
          <w:rFonts w:ascii="Times New Roman" w:eastAsia="Calibri" w:hAnsi="Times New Roman" w:cs="Times New Roman"/>
          <w:b/>
          <w:sz w:val="24"/>
          <w:szCs w:val="24"/>
        </w:rPr>
      </w:pPr>
    </w:p>
    <w:p w:rsidR="003B3559" w:rsidRDefault="003B3559">
      <w:pPr>
        <w:spacing w:after="0" w:line="480" w:lineRule="auto"/>
        <w:contextualSpacing/>
        <w:jc w:val="both"/>
        <w:rPr>
          <w:rFonts w:ascii="Times New Roman" w:eastAsia="Calibri" w:hAnsi="Times New Roman" w:cs="Times New Roman"/>
          <w:b/>
          <w:sz w:val="24"/>
          <w:szCs w:val="24"/>
        </w:rPr>
      </w:pPr>
    </w:p>
    <w:p w:rsidR="003B3559" w:rsidRDefault="00727B14">
      <w:pPr>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Table 7: Total ionized compounds found in Derivitized re-used deep fried oil</w:t>
      </w:r>
    </w:p>
    <w:p w:rsidR="003B3559" w:rsidRDefault="00727B14">
      <w:r>
        <w:rPr>
          <w:noProof/>
        </w:rPr>
        <w:lastRenderedPageBreak/>
        <w:drawing>
          <wp:inline distT="0" distB="0" distL="0" distR="0">
            <wp:extent cx="5735955" cy="3515995"/>
            <wp:effectExtent l="0" t="0" r="0" b="8255"/>
            <wp:docPr id="1" name="Picture 1" descr="C:\Users\FRANK\AppData\Local\Temp\ksohtml11152\wps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FRANK\AppData\Local\Temp\ksohtml11152\wps164.jpg"/>
                    <pic:cNvPicPr>
                      <a:picLocks noChangeAspect="1" noChangeArrowheads="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735955" cy="3515995"/>
                    </a:xfrm>
                    <a:prstGeom prst="rect">
                      <a:avLst/>
                    </a:prstGeom>
                    <a:noFill/>
                    <a:ln>
                      <a:noFill/>
                    </a:ln>
                  </pic:spPr>
                </pic:pic>
              </a:graphicData>
            </a:graphic>
          </wp:inline>
        </w:drawing>
      </w:r>
    </w:p>
    <w:sectPr w:rsidR="003B3559" w:rsidSect="00067FFD">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6785" w:rsidRDefault="00F56785">
      <w:pPr>
        <w:spacing w:line="240" w:lineRule="auto"/>
      </w:pPr>
      <w:r>
        <w:separator/>
      </w:r>
    </w:p>
  </w:endnote>
  <w:endnote w:type="continuationSeparator" w:id="1">
    <w:p w:rsidR="00F56785" w:rsidRDefault="00F5678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nion Pro">
    <w:altName w:val="Times New Roman"/>
    <w:charset w:val="00"/>
    <w:family w:val="roman"/>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IDFont+F2">
    <w:altName w:val="Yu Gothic"/>
    <w:panose1 w:val="00000000000000000000"/>
    <w:charset w:val="80"/>
    <w:family w:val="auto"/>
    <w:notTrueType/>
    <w:pitch w:val="default"/>
    <w:sig w:usb0="00000001" w:usb1="08070000" w:usb2="00000010" w:usb3="00000000" w:csb0="00020000" w:csb1="00000000"/>
  </w:font>
  <w:font w:name="MinionPro-Regular">
    <w:altName w:val="Arial Unicode MS"/>
    <w:panose1 w:val="00000000000000000000"/>
    <w:charset w:val="00"/>
    <w:family w:val="auto"/>
    <w:notTrueType/>
    <w:pitch w:val="default"/>
    <w:sig w:usb0="00000000" w:usb1="09070000" w:usb2="00000010" w:usb3="00000000" w:csb0="000A0001" w:csb1="00000000"/>
  </w:font>
  <w:font w:name="Cambria Math">
    <w:panose1 w:val="02040503050406030204"/>
    <w:charset w:val="00"/>
    <w:family w:val="roman"/>
    <w:pitch w:val="variable"/>
    <w:sig w:usb0="E00006FF" w:usb1="420024FF" w:usb2="02000000" w:usb3="00000000" w:csb0="0000019F" w:csb1="00000000"/>
  </w:font>
  <w:font w:name="HBEBP J+ MTSY">
    <w:altName w:val="Segoe Print"/>
    <w:charset w:val="00"/>
    <w:family w:val="auto"/>
    <w:pitch w:val="default"/>
    <w:sig w:usb0="00000000" w:usb1="00000000" w:usb2="00000000" w:usb3="00000000" w:csb0="00000000" w:csb1="00000000"/>
  </w:font>
  <w:font w:name="MinionMath-Capt">
    <w:altName w:val="Segoe Print"/>
    <w:charset w:val="00"/>
    <w:family w:val="auto"/>
    <w:pitch w:val="default"/>
    <w:sig w:usb0="00000000" w:usb1="00000000" w:usb2="00000000" w:usb3="00000000" w:csb0="00000000" w:csb1="00000000"/>
  </w:font>
  <w:font w:name="MaisonNeue">
    <w:altName w:val="Segoe Print"/>
    <w:charset w:val="00"/>
    <w:family w:val="auto"/>
    <w:pitch w:val="default"/>
    <w:sig w:usb0="00000000" w:usb1="00000000" w:usb2="00000000"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004" w:rsidRDefault="001C700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153408"/>
      <w:docPartObj>
        <w:docPartGallery w:val="Page Numbers (Bottom of Page)"/>
        <w:docPartUnique/>
      </w:docPartObj>
    </w:sdtPr>
    <w:sdtEndPr>
      <w:rPr>
        <w:noProof/>
      </w:rPr>
    </w:sdtEndPr>
    <w:sdtContent>
      <w:p w:rsidR="007D3CEE" w:rsidRDefault="00067FFD">
        <w:pPr>
          <w:pStyle w:val="Footer"/>
          <w:jc w:val="center"/>
        </w:pPr>
        <w:r>
          <w:fldChar w:fldCharType="begin"/>
        </w:r>
        <w:r w:rsidR="007D3CEE">
          <w:instrText xml:space="preserve"> PAGE   \* MERGEFORMAT </w:instrText>
        </w:r>
        <w:r>
          <w:fldChar w:fldCharType="separate"/>
        </w:r>
        <w:r w:rsidR="00EE004C">
          <w:rPr>
            <w:noProof/>
          </w:rPr>
          <w:t>35</w:t>
        </w:r>
        <w:r>
          <w:rPr>
            <w:noProof/>
          </w:rPr>
          <w:fldChar w:fldCharType="end"/>
        </w:r>
      </w:p>
    </w:sdtContent>
  </w:sdt>
  <w:p w:rsidR="007D3CEE" w:rsidRDefault="007D3CE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004" w:rsidRDefault="001C700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6785" w:rsidRDefault="00F56785">
      <w:pPr>
        <w:spacing w:before="0" w:after="0"/>
      </w:pPr>
      <w:r>
        <w:separator/>
      </w:r>
    </w:p>
  </w:footnote>
  <w:footnote w:type="continuationSeparator" w:id="1">
    <w:p w:rsidR="00F56785" w:rsidRDefault="00F56785">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004" w:rsidRDefault="00067FF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64776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004" w:rsidRDefault="00067FF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64776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004" w:rsidRDefault="00067FF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64776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145723D"/>
    <w:multiLevelType w:val="hybridMultilevel"/>
    <w:tmpl w:val="D52EC0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2"/>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7445C4"/>
    <w:rsid w:val="0001573D"/>
    <w:rsid w:val="00065E57"/>
    <w:rsid w:val="00067FFD"/>
    <w:rsid w:val="00083EEF"/>
    <w:rsid w:val="000854FD"/>
    <w:rsid w:val="000865C9"/>
    <w:rsid w:val="000948D7"/>
    <w:rsid w:val="000B7109"/>
    <w:rsid w:val="000C187B"/>
    <w:rsid w:val="000E6078"/>
    <w:rsid w:val="000F09E6"/>
    <w:rsid w:val="001626F6"/>
    <w:rsid w:val="00190CF1"/>
    <w:rsid w:val="001A1050"/>
    <w:rsid w:val="001B344E"/>
    <w:rsid w:val="001C7004"/>
    <w:rsid w:val="00232C4C"/>
    <w:rsid w:val="00240E4C"/>
    <w:rsid w:val="00242C09"/>
    <w:rsid w:val="00257BA8"/>
    <w:rsid w:val="002D196A"/>
    <w:rsid w:val="002E1CDD"/>
    <w:rsid w:val="002E78CB"/>
    <w:rsid w:val="003012E9"/>
    <w:rsid w:val="0031207A"/>
    <w:rsid w:val="003B3559"/>
    <w:rsid w:val="003D4986"/>
    <w:rsid w:val="003E6051"/>
    <w:rsid w:val="003F51F6"/>
    <w:rsid w:val="0042381C"/>
    <w:rsid w:val="00425E02"/>
    <w:rsid w:val="00433557"/>
    <w:rsid w:val="0043434C"/>
    <w:rsid w:val="00447748"/>
    <w:rsid w:val="00447DDE"/>
    <w:rsid w:val="004816C0"/>
    <w:rsid w:val="00483ABD"/>
    <w:rsid w:val="004B3800"/>
    <w:rsid w:val="004D643C"/>
    <w:rsid w:val="005036A4"/>
    <w:rsid w:val="00545E2C"/>
    <w:rsid w:val="00551E71"/>
    <w:rsid w:val="00554853"/>
    <w:rsid w:val="00597A69"/>
    <w:rsid w:val="005D6B32"/>
    <w:rsid w:val="005F5E29"/>
    <w:rsid w:val="006059E1"/>
    <w:rsid w:val="00637D58"/>
    <w:rsid w:val="006A2BFF"/>
    <w:rsid w:val="006A4F05"/>
    <w:rsid w:val="006D6E96"/>
    <w:rsid w:val="006F3358"/>
    <w:rsid w:val="00715877"/>
    <w:rsid w:val="00725CC5"/>
    <w:rsid w:val="00727B14"/>
    <w:rsid w:val="007445C4"/>
    <w:rsid w:val="00765675"/>
    <w:rsid w:val="00776432"/>
    <w:rsid w:val="007C12E1"/>
    <w:rsid w:val="007C7CD3"/>
    <w:rsid w:val="007D30E3"/>
    <w:rsid w:val="007D3CEE"/>
    <w:rsid w:val="007E7CC3"/>
    <w:rsid w:val="00800715"/>
    <w:rsid w:val="00803179"/>
    <w:rsid w:val="0085328C"/>
    <w:rsid w:val="008A21B2"/>
    <w:rsid w:val="008D2E8A"/>
    <w:rsid w:val="00905C39"/>
    <w:rsid w:val="00956041"/>
    <w:rsid w:val="00970163"/>
    <w:rsid w:val="00A04ACB"/>
    <w:rsid w:val="00A133FD"/>
    <w:rsid w:val="00A80168"/>
    <w:rsid w:val="00A8635F"/>
    <w:rsid w:val="00B45DB7"/>
    <w:rsid w:val="00B50C8E"/>
    <w:rsid w:val="00B86738"/>
    <w:rsid w:val="00C065AC"/>
    <w:rsid w:val="00C32721"/>
    <w:rsid w:val="00C95F47"/>
    <w:rsid w:val="00C96142"/>
    <w:rsid w:val="00CE1320"/>
    <w:rsid w:val="00D50953"/>
    <w:rsid w:val="00D64E60"/>
    <w:rsid w:val="00D67F33"/>
    <w:rsid w:val="00D92BDD"/>
    <w:rsid w:val="00DA2321"/>
    <w:rsid w:val="00DD4664"/>
    <w:rsid w:val="00E1402F"/>
    <w:rsid w:val="00E26A50"/>
    <w:rsid w:val="00E26F87"/>
    <w:rsid w:val="00E36F3B"/>
    <w:rsid w:val="00EB6810"/>
    <w:rsid w:val="00EE004C"/>
    <w:rsid w:val="00EF7F12"/>
    <w:rsid w:val="00F25B60"/>
    <w:rsid w:val="00F56785"/>
    <w:rsid w:val="00FB3278"/>
    <w:rsid w:val="0BA72FCA"/>
    <w:rsid w:val="104B4DC3"/>
    <w:rsid w:val="263E12CD"/>
    <w:rsid w:val="4B6A3BE9"/>
    <w:rsid w:val="540931FC"/>
    <w:rsid w:val="590A04DD"/>
    <w:rsid w:val="5B6D301A"/>
    <w:rsid w:val="6B9C320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FFD"/>
    <w:pPr>
      <w:spacing w:before="100" w:beforeAutospacing="1" w:after="160" w:line="256" w:lineRule="auto"/>
    </w:pPr>
    <w:rPr>
      <w:rFonts w:ascii="Calibri" w:eastAsia="Times New Roman" w:hAnsi="Calibri" w:cs="SimSun"/>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067FFD"/>
    <w:pPr>
      <w:spacing w:line="240" w:lineRule="auto"/>
    </w:pPr>
    <w:rPr>
      <w:sz w:val="20"/>
      <w:szCs w:val="20"/>
    </w:rPr>
  </w:style>
  <w:style w:type="character" w:styleId="Hyperlink">
    <w:name w:val="Hyperlink"/>
    <w:basedOn w:val="DefaultParagraphFont"/>
    <w:uiPriority w:val="99"/>
    <w:unhideWhenUsed/>
    <w:qFormat/>
    <w:rsid w:val="00067FFD"/>
    <w:rPr>
      <w:color w:val="0563C1" w:themeColor="hyperlink"/>
      <w:u w:val="single"/>
    </w:rPr>
  </w:style>
  <w:style w:type="character" w:customStyle="1" w:styleId="CommentTextChar">
    <w:name w:val="Comment Text Char"/>
    <w:basedOn w:val="DefaultParagraphFont"/>
    <w:link w:val="CommentText"/>
    <w:uiPriority w:val="99"/>
    <w:semiHidden/>
    <w:qFormat/>
    <w:rsid w:val="00067FFD"/>
    <w:rPr>
      <w:rFonts w:ascii="Calibri" w:eastAsia="Times New Roman" w:hAnsi="Calibri" w:cs="SimSun"/>
      <w:sz w:val="20"/>
      <w:szCs w:val="20"/>
    </w:rPr>
  </w:style>
  <w:style w:type="character" w:customStyle="1" w:styleId="16">
    <w:name w:val="16"/>
    <w:basedOn w:val="DefaultParagraphFont"/>
    <w:qFormat/>
    <w:rsid w:val="00067FFD"/>
    <w:rPr>
      <w:rFonts w:ascii="Calibri" w:hAnsi="Calibri" w:cs="Minion Pro" w:hint="default"/>
      <w:color w:val="000000"/>
      <w:sz w:val="18"/>
      <w:szCs w:val="18"/>
    </w:rPr>
  </w:style>
  <w:style w:type="character" w:customStyle="1" w:styleId="17">
    <w:name w:val="17"/>
    <w:basedOn w:val="DefaultParagraphFont"/>
    <w:qFormat/>
    <w:rsid w:val="00067FFD"/>
    <w:rPr>
      <w:rFonts w:ascii="Calibri" w:hAnsi="Calibri" w:cs="Calibri" w:hint="default"/>
      <w:color w:val="000000"/>
      <w:sz w:val="14"/>
      <w:szCs w:val="14"/>
    </w:rPr>
  </w:style>
  <w:style w:type="paragraph" w:styleId="NoSpacing">
    <w:name w:val="No Spacing"/>
    <w:basedOn w:val="Normal"/>
    <w:uiPriority w:val="99"/>
    <w:qFormat/>
    <w:rsid w:val="00067FFD"/>
    <w:pPr>
      <w:spacing w:after="0" w:line="240" w:lineRule="auto"/>
    </w:pPr>
  </w:style>
  <w:style w:type="paragraph" w:customStyle="1" w:styleId="Default">
    <w:name w:val="Default"/>
    <w:basedOn w:val="Normal"/>
    <w:qFormat/>
    <w:rsid w:val="00067FFD"/>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9">
    <w:name w:val="A9"/>
    <w:uiPriority w:val="99"/>
    <w:qFormat/>
    <w:rsid w:val="00067FFD"/>
    <w:rPr>
      <w:color w:val="000000"/>
      <w:sz w:val="14"/>
      <w:szCs w:val="14"/>
    </w:rPr>
  </w:style>
  <w:style w:type="paragraph" w:styleId="Header">
    <w:name w:val="header"/>
    <w:basedOn w:val="Normal"/>
    <w:link w:val="HeaderChar"/>
    <w:uiPriority w:val="99"/>
    <w:unhideWhenUsed/>
    <w:rsid w:val="00433557"/>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33557"/>
    <w:rPr>
      <w:rFonts w:ascii="Calibri" w:eastAsia="Times New Roman" w:hAnsi="Calibri" w:cs="SimSun"/>
      <w:sz w:val="22"/>
      <w:szCs w:val="22"/>
      <w:lang w:val="en-US" w:eastAsia="en-US"/>
    </w:rPr>
  </w:style>
  <w:style w:type="paragraph" w:styleId="Footer">
    <w:name w:val="footer"/>
    <w:basedOn w:val="Normal"/>
    <w:link w:val="FooterChar"/>
    <w:uiPriority w:val="99"/>
    <w:unhideWhenUsed/>
    <w:rsid w:val="00433557"/>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433557"/>
    <w:rPr>
      <w:rFonts w:ascii="Calibri" w:eastAsia="Times New Roman" w:hAnsi="Calibri" w:cs="SimSun"/>
      <w:sz w:val="22"/>
      <w:szCs w:val="22"/>
      <w:lang w:val="en-US" w:eastAsia="en-US"/>
    </w:rPr>
  </w:style>
  <w:style w:type="character" w:customStyle="1" w:styleId="UnresolvedMention">
    <w:name w:val="Unresolved Mention"/>
    <w:basedOn w:val="DefaultParagraphFont"/>
    <w:uiPriority w:val="99"/>
    <w:semiHidden/>
    <w:unhideWhenUsed/>
    <w:rsid w:val="00905C39"/>
    <w:rPr>
      <w:color w:val="605E5C"/>
      <w:shd w:val="clear" w:color="auto" w:fill="E1DFDD"/>
    </w:rPr>
  </w:style>
  <w:style w:type="paragraph" w:styleId="ListParagraph">
    <w:name w:val="List Paragraph"/>
    <w:basedOn w:val="Normal"/>
    <w:uiPriority w:val="34"/>
    <w:qFormat/>
    <w:rsid w:val="00A80168"/>
    <w:pPr>
      <w:spacing w:before="0" w:beforeAutospacing="0"/>
      <w:ind w:left="720"/>
      <w:contextualSpacing/>
    </w:pPr>
    <w:rPr>
      <w:rFonts w:asciiTheme="minorHAnsi" w:eastAsiaTheme="minorHAnsi" w:hAnsiTheme="minorHAnsi" w:cstheme="minorBidi"/>
      <w:lang w:val="en-GB"/>
    </w:rPr>
  </w:style>
  <w:style w:type="character" w:customStyle="1" w:styleId="A4">
    <w:name w:val="A4"/>
    <w:uiPriority w:val="99"/>
    <w:rsid w:val="00A80168"/>
    <w:rPr>
      <w:rFonts w:ascii="Minion Pro" w:hAnsi="Minion Pro" w:cs="Minion Pro" w:hint="default"/>
      <w:color w:val="000000"/>
      <w:sz w:val="18"/>
      <w:szCs w:val="18"/>
    </w:rPr>
  </w:style>
  <w:style w:type="table" w:customStyle="1" w:styleId="ListTable6Colorful">
    <w:name w:val="List Table 6 Colorful"/>
    <w:basedOn w:val="TableNormal"/>
    <w:uiPriority w:val="51"/>
    <w:rsid w:val="00A80168"/>
    <w:rPr>
      <w:color w:val="000000" w:themeColor="text1"/>
      <w:sz w:val="22"/>
      <w:szCs w:val="22"/>
      <w:lang w:eastAsia="en-US"/>
    </w:rPr>
    <w:tblPr>
      <w:tblStyleRowBandSize w:val="1"/>
      <w:tblStyleColBandSize w:val="1"/>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EE004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04C"/>
    <w:rPr>
      <w:rFonts w:ascii="Tahoma" w:eastAsia="Times New Roman"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eader" Target="header3.xml"/><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image" Target="media/image56.jpeg"/><Relationship Id="rId76" Type="http://schemas.openxmlformats.org/officeDocument/2006/relationships/image" Target="media/image64.jpeg"/><Relationship Id="rId84" Type="http://schemas.openxmlformats.org/officeDocument/2006/relationships/image" Target="media/image72.jpeg"/><Relationship Id="rId89" Type="http://schemas.openxmlformats.org/officeDocument/2006/relationships/image" Target="media/image75.jpeg"/><Relationship Id="rId7" Type="http://schemas.openxmlformats.org/officeDocument/2006/relationships/image" Target="media/image1.jpeg"/><Relationship Id="rId71" Type="http://schemas.openxmlformats.org/officeDocument/2006/relationships/image" Target="media/image59.jpeg"/><Relationship Id="rId92" Type="http://schemas.openxmlformats.org/officeDocument/2006/relationships/image" Target="media/image78.jpeg"/><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image" Target="media/image17.jpeg"/><Relationship Id="rId11" Type="http://schemas.openxmlformats.org/officeDocument/2006/relationships/image" Target="media/image5.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image" Target="media/image62.jpeg"/><Relationship Id="rId79" Type="http://schemas.openxmlformats.org/officeDocument/2006/relationships/image" Target="media/image67.jpeg"/><Relationship Id="rId87" Type="http://schemas.openxmlformats.org/officeDocument/2006/relationships/hyperlink" Target="http://dx.doi.org/10.1155/2016/9412767" TargetMode="External"/><Relationship Id="rId5" Type="http://schemas.openxmlformats.org/officeDocument/2006/relationships/footnotes" Target="footnotes.xml"/><Relationship Id="rId61" Type="http://schemas.openxmlformats.org/officeDocument/2006/relationships/image" Target="media/image49.jpeg"/><Relationship Id="rId82" Type="http://schemas.openxmlformats.org/officeDocument/2006/relationships/image" Target="media/image70.jpeg"/><Relationship Id="rId90" Type="http://schemas.openxmlformats.org/officeDocument/2006/relationships/image" Target="media/image76.jpeg"/><Relationship Id="rId95" Type="http://schemas.openxmlformats.org/officeDocument/2006/relationships/theme" Target="theme/theme1.xm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65.jpeg"/><Relationship Id="rId8" Type="http://schemas.openxmlformats.org/officeDocument/2006/relationships/image" Target="media/image2.jpeg"/><Relationship Id="rId51" Type="http://schemas.openxmlformats.org/officeDocument/2006/relationships/image" Target="media/image39.jpeg"/><Relationship Id="rId72" Type="http://schemas.openxmlformats.org/officeDocument/2006/relationships/image" Target="media/image60.jpeg"/><Relationship Id="rId80" Type="http://schemas.openxmlformats.org/officeDocument/2006/relationships/image" Target="media/image68.jpeg"/><Relationship Id="rId85" Type="http://schemas.openxmlformats.org/officeDocument/2006/relationships/image" Target="media/image73.jpeg"/><Relationship Id="rId93" Type="http://schemas.openxmlformats.org/officeDocument/2006/relationships/image" Target="media/image79.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footer" Target="footer2.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image" Target="media/image71.jpeg"/><Relationship Id="rId88" Type="http://schemas.openxmlformats.org/officeDocument/2006/relationships/image" Target="media/image74.jpeg"/><Relationship Id="rId91" Type="http://schemas.openxmlformats.org/officeDocument/2006/relationships/image" Target="media/image77.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image" Target="media/image4.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hyperlink" Target="https://youtu.be/nUrFxqcDuLw" TargetMode="Externa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951</TotalTime>
  <Pages>40</Pages>
  <Words>6667</Words>
  <Characters>38002</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44580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hp</cp:lastModifiedBy>
  <cp:revision>48</cp:revision>
  <dcterms:created xsi:type="dcterms:W3CDTF">2025-01-15T00:36:00Z</dcterms:created>
  <dcterms:modified xsi:type="dcterms:W3CDTF">2025-04-29T15:09:00Z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1033-11.2.0.11074</vt:lpwstr>
  </property>
  <property fmtid="{D5CDD505-2E9C-101B-9397-08002B2CF9AE}" pid="3" name="ICV">
    <vt:lpwstr>4A90B139D37C48E48CE544313818A60E</vt:lpwstr>
  </property>
</Properties>
</file>