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179CA" w14:textId="272B739F" w:rsidR="004B6EC4" w:rsidRDefault="004F1E68" w:rsidP="004D2D1F">
      <w:pPr>
        <w:spacing w:line="360" w:lineRule="auto"/>
        <w:jc w:val="center"/>
        <w:rPr>
          <w:rFonts w:asciiTheme="majorBidi" w:hAnsiTheme="majorBidi" w:cstheme="majorBidi"/>
          <w:b/>
          <w:bCs/>
        </w:rPr>
      </w:pPr>
      <w:r w:rsidRPr="004F1E68">
        <w:rPr>
          <w:rFonts w:asciiTheme="majorBidi" w:hAnsiTheme="majorBidi" w:cstheme="majorBidi"/>
          <w:b/>
          <w:bCs/>
        </w:rPr>
        <w:t xml:space="preserve">Probiotic Intervention in </w:t>
      </w:r>
      <w:r w:rsidRPr="00DA1E13">
        <w:rPr>
          <w:rFonts w:asciiTheme="majorBidi" w:hAnsiTheme="majorBidi" w:cstheme="majorBidi"/>
          <w:b/>
          <w:bCs/>
          <w:i/>
          <w:iCs/>
        </w:rPr>
        <w:t>Cyprinus carpio</w:t>
      </w:r>
      <w:r w:rsidRPr="004F1E68">
        <w:rPr>
          <w:rFonts w:asciiTheme="majorBidi" w:hAnsiTheme="majorBidi" w:cstheme="majorBidi"/>
          <w:b/>
          <w:bCs/>
        </w:rPr>
        <w:t xml:space="preserve"> culture: Evaluating Water Quality Dynamics, </w:t>
      </w:r>
      <w:r w:rsidRPr="004D2D1F">
        <w:rPr>
          <w:rFonts w:asciiTheme="majorBidi" w:hAnsiTheme="majorBidi" w:cstheme="majorBidi"/>
          <w:b/>
          <w:bCs/>
        </w:rPr>
        <w:t>Fish Health and Sustainable Pond Management</w:t>
      </w:r>
    </w:p>
    <w:p w14:paraId="45CD89D4" w14:textId="77777777" w:rsidR="00B51170" w:rsidRDefault="00B51170" w:rsidP="004D2D1F">
      <w:pPr>
        <w:spacing w:line="360" w:lineRule="auto"/>
        <w:jc w:val="center"/>
        <w:rPr>
          <w:rFonts w:asciiTheme="majorBidi" w:hAnsiTheme="majorBidi" w:cstheme="majorBidi"/>
          <w:b/>
          <w:bCs/>
        </w:rPr>
      </w:pPr>
    </w:p>
    <w:p w14:paraId="7895A398" w14:textId="77777777" w:rsidR="004D2D1F" w:rsidRPr="004D2D1F" w:rsidRDefault="004D2D1F" w:rsidP="004D2D1F">
      <w:pPr>
        <w:spacing w:line="360" w:lineRule="auto"/>
        <w:jc w:val="both"/>
        <w:rPr>
          <w:rFonts w:asciiTheme="majorBidi" w:hAnsiTheme="majorBidi" w:cstheme="majorBidi"/>
          <w:b/>
          <w:bCs/>
        </w:rPr>
      </w:pPr>
      <w:r w:rsidRPr="004D2D1F">
        <w:rPr>
          <w:rFonts w:asciiTheme="majorBidi" w:hAnsiTheme="majorBidi" w:cstheme="majorBidi"/>
          <w:b/>
          <w:bCs/>
        </w:rPr>
        <w:t>Abstract</w:t>
      </w:r>
    </w:p>
    <w:p w14:paraId="00B71C8F" w14:textId="1FF6DE8A" w:rsidR="00C31E6F" w:rsidRPr="00C31E6F" w:rsidRDefault="00E971BE" w:rsidP="00345151">
      <w:pPr>
        <w:spacing w:line="360" w:lineRule="auto"/>
        <w:jc w:val="both"/>
        <w:rPr>
          <w:rFonts w:asciiTheme="majorBidi" w:hAnsiTheme="majorBidi" w:cstheme="majorBidi"/>
        </w:rPr>
      </w:pPr>
      <w:r w:rsidRPr="00E971BE">
        <w:rPr>
          <w:rFonts w:asciiTheme="majorBidi" w:hAnsiTheme="majorBidi" w:cstheme="majorBidi"/>
        </w:rPr>
        <w:t>Probiotics</w:t>
      </w:r>
      <w:r>
        <w:rPr>
          <w:rFonts w:asciiTheme="majorBidi" w:hAnsiTheme="majorBidi" w:cstheme="majorBidi"/>
        </w:rPr>
        <w:t xml:space="preserve"> are b</w:t>
      </w:r>
      <w:r w:rsidRPr="00E971BE">
        <w:rPr>
          <w:rFonts w:asciiTheme="majorBidi" w:hAnsiTheme="majorBidi" w:cstheme="majorBidi"/>
        </w:rPr>
        <w:t xml:space="preserve">eneficial microorganisms that enhance water quality and fish </w:t>
      </w:r>
      <w:r w:rsidR="00051E85">
        <w:rPr>
          <w:rFonts w:asciiTheme="majorBidi" w:hAnsiTheme="majorBidi" w:cstheme="majorBidi"/>
        </w:rPr>
        <w:t>health</w:t>
      </w:r>
      <w:r>
        <w:rPr>
          <w:rFonts w:asciiTheme="majorBidi" w:hAnsiTheme="majorBidi" w:cstheme="majorBidi"/>
        </w:rPr>
        <w:t xml:space="preserve"> </w:t>
      </w:r>
      <w:r w:rsidRPr="00E971BE">
        <w:rPr>
          <w:rFonts w:asciiTheme="majorBidi" w:hAnsiTheme="majorBidi" w:cstheme="majorBidi"/>
        </w:rPr>
        <w:t xml:space="preserve">offer a sustainable alternative to conventional water treatment methods. </w:t>
      </w:r>
      <w:r w:rsidR="00C31E6F" w:rsidRPr="00C31E6F">
        <w:rPr>
          <w:rFonts w:asciiTheme="majorBidi" w:hAnsiTheme="majorBidi" w:cstheme="majorBidi"/>
        </w:rPr>
        <w:t xml:space="preserve">This study evaluated the impact of probiotic-enhanced </w:t>
      </w:r>
      <w:r w:rsidR="00245CB1" w:rsidRPr="00C31E6F">
        <w:rPr>
          <w:rFonts w:asciiTheme="majorBidi" w:hAnsiTheme="majorBidi" w:cstheme="majorBidi"/>
        </w:rPr>
        <w:t>Biofloc</w:t>
      </w:r>
      <w:r w:rsidR="00C31E6F" w:rsidRPr="00C31E6F">
        <w:rPr>
          <w:rFonts w:asciiTheme="majorBidi" w:hAnsiTheme="majorBidi" w:cstheme="majorBidi"/>
        </w:rPr>
        <w:t xml:space="preserve"> technology on water quality and growth performance of </w:t>
      </w:r>
      <w:r w:rsidR="00C31E6F" w:rsidRPr="00C31E6F">
        <w:rPr>
          <w:rFonts w:asciiTheme="majorBidi" w:hAnsiTheme="majorBidi" w:cstheme="majorBidi"/>
          <w:i/>
          <w:iCs/>
        </w:rPr>
        <w:t>Cyprinus carpio</w:t>
      </w:r>
      <w:r w:rsidR="00C31E6F" w:rsidRPr="00C31E6F">
        <w:rPr>
          <w:rFonts w:asciiTheme="majorBidi" w:hAnsiTheme="majorBidi" w:cstheme="majorBidi"/>
        </w:rPr>
        <w:t xml:space="preserve"> fingerlings. Two treatments were compared T1 (</w:t>
      </w:r>
      <w:r w:rsidR="00245CB1" w:rsidRPr="00C31E6F">
        <w:rPr>
          <w:rFonts w:asciiTheme="majorBidi" w:hAnsiTheme="majorBidi" w:cstheme="majorBidi"/>
        </w:rPr>
        <w:t>Biofloc</w:t>
      </w:r>
      <w:r w:rsidR="00C31E6F" w:rsidRPr="00C31E6F">
        <w:rPr>
          <w:rFonts w:asciiTheme="majorBidi" w:hAnsiTheme="majorBidi" w:cstheme="majorBidi"/>
        </w:rPr>
        <w:t xml:space="preserve"> without probiotics) and T2 (</w:t>
      </w:r>
      <w:r w:rsidR="004E4138" w:rsidRPr="00C31E6F">
        <w:rPr>
          <w:rFonts w:asciiTheme="majorBidi" w:hAnsiTheme="majorBidi" w:cstheme="majorBidi"/>
        </w:rPr>
        <w:t>Biofloc</w:t>
      </w:r>
      <w:r w:rsidR="00C31E6F" w:rsidRPr="00C31E6F">
        <w:rPr>
          <w:rFonts w:asciiTheme="majorBidi" w:hAnsiTheme="majorBidi" w:cstheme="majorBidi"/>
        </w:rPr>
        <w:t xml:space="preserve"> with probiotics), across eight months. Key water quality parameters, including pH, turbidity, dissolved oxygen (DO), carbon dioxide (CO₂) and ammonia were monitored. T2 consistently demonstrated slightly improved DO levels and reduced ammonia concentrations compared to T1, suggesting better water quality stability.</w:t>
      </w:r>
      <w:r w:rsidR="00C31E6F">
        <w:rPr>
          <w:rFonts w:asciiTheme="majorBidi" w:hAnsiTheme="majorBidi" w:cstheme="majorBidi"/>
        </w:rPr>
        <w:t xml:space="preserve"> </w:t>
      </w:r>
      <w:r w:rsidR="00C31E6F" w:rsidRPr="00C31E6F">
        <w:rPr>
          <w:rFonts w:asciiTheme="majorBidi" w:hAnsiTheme="majorBidi" w:cstheme="majorBidi"/>
        </w:rPr>
        <w:t xml:space="preserve">Growth performance parameters revealed enhancement in T2. The final body weight of fingerlings in T2 reached 15.50 ± 1.1 g compared to 8.20 ± 1.0 g in T1. Specific growth rate (SGR) was substantially higher in T2 (3.70 ± 0.22 %) than in T1 (2.10 ± 0.15 %) and feed conversion ratio (FCR) improved from 1.45 ± 0.10 in T1 to 0.80 ± 0.06 in T2. Survival rate was also better in the </w:t>
      </w:r>
      <w:r w:rsidR="009B6A48" w:rsidRPr="00C31E6F">
        <w:rPr>
          <w:rFonts w:asciiTheme="majorBidi" w:hAnsiTheme="majorBidi" w:cstheme="majorBidi"/>
        </w:rPr>
        <w:t xml:space="preserve">T2 </w:t>
      </w:r>
      <w:r w:rsidR="00C31E6F" w:rsidRPr="00C31E6F">
        <w:rPr>
          <w:rFonts w:asciiTheme="majorBidi" w:hAnsiTheme="majorBidi" w:cstheme="majorBidi"/>
        </w:rPr>
        <w:t xml:space="preserve">(93 ± 0.9 %) compared to the </w:t>
      </w:r>
      <w:r w:rsidR="009B6A48" w:rsidRPr="00C31E6F">
        <w:rPr>
          <w:rFonts w:asciiTheme="majorBidi" w:hAnsiTheme="majorBidi" w:cstheme="majorBidi"/>
        </w:rPr>
        <w:t xml:space="preserve">T1 </w:t>
      </w:r>
      <w:r w:rsidR="00C31E6F" w:rsidRPr="00C31E6F">
        <w:rPr>
          <w:rFonts w:asciiTheme="majorBidi" w:hAnsiTheme="majorBidi" w:cstheme="majorBidi"/>
        </w:rPr>
        <w:t>(90 ± 1.2 %).</w:t>
      </w:r>
      <w:r w:rsidR="00B97A23">
        <w:rPr>
          <w:rFonts w:asciiTheme="majorBidi" w:hAnsiTheme="majorBidi" w:cstheme="majorBidi"/>
        </w:rPr>
        <w:t xml:space="preserve"> </w:t>
      </w:r>
      <w:r w:rsidR="00C31E6F" w:rsidRPr="00C31E6F">
        <w:rPr>
          <w:rFonts w:asciiTheme="majorBidi" w:hAnsiTheme="majorBidi" w:cstheme="majorBidi"/>
        </w:rPr>
        <w:t xml:space="preserve">The findings indicate a strong positive correlation between probiotic </w:t>
      </w:r>
      <w:proofErr w:type="spellStart"/>
      <w:r w:rsidR="00C31E6F" w:rsidRPr="00C31E6F">
        <w:rPr>
          <w:rFonts w:asciiTheme="majorBidi" w:hAnsiTheme="majorBidi" w:cstheme="majorBidi"/>
        </w:rPr>
        <w:t>biofloc</w:t>
      </w:r>
      <w:proofErr w:type="spellEnd"/>
      <w:r w:rsidR="00C31E6F" w:rsidRPr="00C31E6F">
        <w:rPr>
          <w:rFonts w:asciiTheme="majorBidi" w:hAnsiTheme="majorBidi" w:cstheme="majorBidi"/>
        </w:rPr>
        <w:t xml:space="preserve"> application and enhanced water quality </w:t>
      </w:r>
      <w:r w:rsidR="00E66073">
        <w:rPr>
          <w:rFonts w:asciiTheme="majorBidi" w:hAnsiTheme="majorBidi" w:cstheme="majorBidi"/>
        </w:rPr>
        <w:t xml:space="preserve">and </w:t>
      </w:r>
      <w:r w:rsidR="00C31E6F" w:rsidRPr="00C31E6F">
        <w:rPr>
          <w:rFonts w:asciiTheme="majorBidi" w:hAnsiTheme="majorBidi" w:cstheme="majorBidi"/>
        </w:rPr>
        <w:t xml:space="preserve">superior growth performance in </w:t>
      </w:r>
      <w:r w:rsidR="00C31E6F" w:rsidRPr="00C31E6F">
        <w:rPr>
          <w:rFonts w:asciiTheme="majorBidi" w:hAnsiTheme="majorBidi" w:cstheme="majorBidi"/>
          <w:i/>
          <w:iCs/>
        </w:rPr>
        <w:t>C. carpio</w:t>
      </w:r>
      <w:r w:rsidR="00C31E6F" w:rsidRPr="00C31E6F">
        <w:rPr>
          <w:rFonts w:asciiTheme="majorBidi" w:hAnsiTheme="majorBidi" w:cstheme="majorBidi"/>
        </w:rPr>
        <w:t xml:space="preserve"> culture. </w:t>
      </w:r>
    </w:p>
    <w:p w14:paraId="21691DB1" w14:textId="175C585D" w:rsidR="004D2D1F" w:rsidRDefault="00C45039" w:rsidP="00C31E6F">
      <w:pPr>
        <w:spacing w:line="360" w:lineRule="auto"/>
        <w:jc w:val="both"/>
        <w:rPr>
          <w:rFonts w:asciiTheme="majorBidi" w:hAnsiTheme="majorBidi" w:cstheme="majorBidi"/>
        </w:rPr>
      </w:pPr>
      <w:r w:rsidRPr="00C45039">
        <w:rPr>
          <w:rFonts w:asciiTheme="majorBidi" w:hAnsiTheme="majorBidi" w:cstheme="majorBidi"/>
          <w:b/>
          <w:bCs/>
        </w:rPr>
        <w:t>Keywords</w:t>
      </w:r>
      <w:r w:rsidR="00D23ECB">
        <w:rPr>
          <w:rFonts w:asciiTheme="majorBidi" w:hAnsiTheme="majorBidi" w:cstheme="majorBidi"/>
          <w:b/>
          <w:bCs/>
        </w:rPr>
        <w:t xml:space="preserve">: </w:t>
      </w:r>
      <w:r w:rsidR="00D23ECB" w:rsidRPr="00E971BE">
        <w:rPr>
          <w:rFonts w:asciiTheme="majorBidi" w:hAnsiTheme="majorBidi" w:cstheme="majorBidi"/>
        </w:rPr>
        <w:t>Aquaculture</w:t>
      </w:r>
      <w:r w:rsidR="00D23ECB">
        <w:rPr>
          <w:rFonts w:asciiTheme="majorBidi" w:hAnsiTheme="majorBidi" w:cstheme="majorBidi"/>
        </w:rPr>
        <w:t xml:space="preserve">; </w:t>
      </w:r>
      <w:r w:rsidR="00D23ECB" w:rsidRPr="00E971BE">
        <w:rPr>
          <w:rFonts w:asciiTheme="majorBidi" w:hAnsiTheme="majorBidi" w:cstheme="majorBidi"/>
          <w:i/>
          <w:iCs/>
        </w:rPr>
        <w:t>Cyprinus carpio</w:t>
      </w:r>
      <w:r w:rsidR="00D23ECB" w:rsidRPr="00D23ECB">
        <w:rPr>
          <w:rFonts w:asciiTheme="majorBidi" w:hAnsiTheme="majorBidi" w:cstheme="majorBidi"/>
        </w:rPr>
        <w:t>;</w:t>
      </w:r>
      <w:r w:rsidR="00D23ECB">
        <w:rPr>
          <w:rFonts w:asciiTheme="majorBidi" w:hAnsiTheme="majorBidi" w:cstheme="majorBidi"/>
        </w:rPr>
        <w:t xml:space="preserve"> </w:t>
      </w:r>
      <w:r w:rsidR="00D23ECB" w:rsidRPr="00E971BE">
        <w:rPr>
          <w:rFonts w:asciiTheme="majorBidi" w:hAnsiTheme="majorBidi" w:cstheme="majorBidi"/>
        </w:rPr>
        <w:t>Probiotics</w:t>
      </w:r>
      <w:r w:rsidR="00281EBF">
        <w:rPr>
          <w:rFonts w:asciiTheme="majorBidi" w:hAnsiTheme="majorBidi" w:cstheme="majorBidi"/>
        </w:rPr>
        <w:t>;</w:t>
      </w:r>
      <w:r w:rsidR="00077599" w:rsidRPr="00077599">
        <w:rPr>
          <w:rFonts w:asciiTheme="majorBidi" w:hAnsiTheme="majorBidi" w:cstheme="majorBidi"/>
        </w:rPr>
        <w:t xml:space="preserve"> </w:t>
      </w:r>
      <w:r w:rsidR="00077599" w:rsidRPr="00C31E6F">
        <w:rPr>
          <w:rFonts w:asciiTheme="majorBidi" w:hAnsiTheme="majorBidi" w:cstheme="majorBidi"/>
        </w:rPr>
        <w:t>Growth</w:t>
      </w:r>
      <w:r w:rsidR="00077599">
        <w:rPr>
          <w:rFonts w:asciiTheme="majorBidi" w:hAnsiTheme="majorBidi" w:cstheme="majorBidi"/>
        </w:rPr>
        <w:t>;</w:t>
      </w:r>
      <w:r w:rsidR="00281EBF">
        <w:rPr>
          <w:rFonts w:asciiTheme="majorBidi" w:hAnsiTheme="majorBidi" w:cstheme="majorBidi"/>
        </w:rPr>
        <w:t xml:space="preserve"> </w:t>
      </w:r>
      <w:r w:rsidR="009B62C8">
        <w:rPr>
          <w:rFonts w:asciiTheme="majorBidi" w:hAnsiTheme="majorBidi" w:cstheme="majorBidi"/>
        </w:rPr>
        <w:t>W</w:t>
      </w:r>
      <w:r w:rsidR="00281EBF" w:rsidRPr="004E0A13">
        <w:rPr>
          <w:rFonts w:asciiTheme="majorBidi" w:hAnsiTheme="majorBidi" w:cstheme="majorBidi"/>
        </w:rPr>
        <w:t>ater quality</w:t>
      </w:r>
      <w:r w:rsidR="00281EBF">
        <w:rPr>
          <w:rFonts w:asciiTheme="majorBidi" w:hAnsiTheme="majorBidi" w:cstheme="majorBidi"/>
        </w:rPr>
        <w:t>;</w:t>
      </w:r>
      <w:r w:rsidR="007F28D0">
        <w:rPr>
          <w:rFonts w:asciiTheme="majorBidi" w:hAnsiTheme="majorBidi" w:cstheme="majorBidi"/>
        </w:rPr>
        <w:t xml:space="preserve"> </w:t>
      </w:r>
      <w:r w:rsidR="007F28D0" w:rsidRPr="004E0A13">
        <w:rPr>
          <w:rFonts w:asciiTheme="majorBidi" w:hAnsiTheme="majorBidi" w:cstheme="majorBidi"/>
        </w:rPr>
        <w:t>Uttarakhand</w:t>
      </w:r>
      <w:r w:rsidR="00D4177C">
        <w:rPr>
          <w:rFonts w:asciiTheme="majorBidi" w:hAnsiTheme="majorBidi" w:cstheme="majorBidi"/>
        </w:rPr>
        <w:t>.</w:t>
      </w:r>
    </w:p>
    <w:p w14:paraId="6E6D0D20" w14:textId="05E3E66A" w:rsidR="00D4177C" w:rsidRDefault="00D4177C" w:rsidP="00E971BE">
      <w:pPr>
        <w:spacing w:line="360" w:lineRule="auto"/>
        <w:jc w:val="both"/>
        <w:rPr>
          <w:rFonts w:asciiTheme="majorBidi" w:hAnsiTheme="majorBidi" w:cstheme="majorBidi"/>
          <w:b/>
          <w:bCs/>
        </w:rPr>
      </w:pPr>
      <w:r w:rsidRPr="00D4177C">
        <w:rPr>
          <w:rFonts w:asciiTheme="majorBidi" w:hAnsiTheme="majorBidi" w:cstheme="majorBidi"/>
          <w:b/>
          <w:bCs/>
        </w:rPr>
        <w:t>Introduction</w:t>
      </w:r>
    </w:p>
    <w:p w14:paraId="75B1350C" w14:textId="7E417032" w:rsidR="00A6111F" w:rsidRDefault="00A6111F" w:rsidP="00FC40F7">
      <w:pPr>
        <w:spacing w:line="360" w:lineRule="auto"/>
        <w:jc w:val="both"/>
        <w:rPr>
          <w:rFonts w:asciiTheme="majorBidi" w:hAnsiTheme="majorBidi" w:cstheme="majorBidi"/>
        </w:rPr>
      </w:pPr>
      <w:r w:rsidRPr="00A6111F">
        <w:rPr>
          <w:rFonts w:asciiTheme="majorBidi" w:hAnsiTheme="majorBidi" w:cstheme="majorBidi"/>
        </w:rPr>
        <w:t>Aquaculture</w:t>
      </w:r>
      <w:r w:rsidR="00F17250">
        <w:rPr>
          <w:rFonts w:asciiTheme="majorBidi" w:hAnsiTheme="majorBidi" w:cstheme="majorBidi"/>
        </w:rPr>
        <w:t xml:space="preserve"> </w:t>
      </w:r>
      <w:r w:rsidRPr="00A6111F">
        <w:rPr>
          <w:rFonts w:asciiTheme="majorBidi" w:hAnsiTheme="majorBidi" w:cstheme="majorBidi"/>
        </w:rPr>
        <w:t>the farming of aquatic organisms such as fish, mollusks, crustaceans, and algae in both coastal and inland areas</w:t>
      </w:r>
      <w:r w:rsidR="00FC40F7">
        <w:rPr>
          <w:rFonts w:asciiTheme="majorBidi" w:hAnsiTheme="majorBidi" w:cstheme="majorBidi"/>
        </w:rPr>
        <w:t xml:space="preserve"> </w:t>
      </w:r>
      <w:r w:rsidRPr="00A6111F">
        <w:rPr>
          <w:rFonts w:asciiTheme="majorBidi" w:hAnsiTheme="majorBidi" w:cstheme="majorBidi"/>
        </w:rPr>
        <w:t xml:space="preserve">has </w:t>
      </w:r>
      <w:r w:rsidR="00F17250" w:rsidRPr="002E1EB1">
        <w:rPr>
          <w:rFonts w:asciiTheme="majorBidi" w:hAnsiTheme="majorBidi" w:cstheme="majorBidi"/>
        </w:rPr>
        <w:t xml:space="preserve">emerged as a crucial food-producing sector globally, contributing significantly to food security, economic growth, and employment. </w:t>
      </w:r>
      <w:r w:rsidRPr="00A6111F">
        <w:rPr>
          <w:rFonts w:asciiTheme="majorBidi" w:hAnsiTheme="majorBidi" w:cstheme="majorBidi"/>
        </w:rPr>
        <w:t>In 2022, it contributed 50.9% to the combined output of global fisheries and aquaculture, which totaled 185.4 million tons (MT)</w:t>
      </w:r>
      <w:r w:rsidR="005212C2">
        <w:rPr>
          <w:rFonts w:asciiTheme="majorBidi" w:hAnsiTheme="majorBidi" w:cstheme="majorBidi"/>
        </w:rPr>
        <w:t xml:space="preserve"> </w:t>
      </w:r>
      <w:r w:rsidRPr="00A6111F">
        <w:rPr>
          <w:rFonts w:asciiTheme="majorBidi" w:hAnsiTheme="majorBidi" w:cstheme="majorBidi"/>
        </w:rPr>
        <w:t xml:space="preserve">Of the 94.4 MT produced through aquaculture alone, fish accounted for the largest share at 65.2%, followed by mollusks (20.0%) and crustaceans (13.5%) (FAO, 2024). Over the years, fish production has played a pivotal role in driving the growth of the aquaculture industry </w:t>
      </w:r>
      <w:r w:rsidR="005212C2" w:rsidRPr="00DA64F1">
        <w:rPr>
          <w:rFonts w:asciiTheme="majorBidi" w:hAnsiTheme="majorBidi" w:cstheme="majorBidi"/>
          <w:b/>
          <w:bCs/>
        </w:rPr>
        <w:t>(FAO, 2024).</w:t>
      </w:r>
    </w:p>
    <w:p w14:paraId="6D035D64" w14:textId="7AD51788" w:rsidR="009D7430" w:rsidRPr="009D7430" w:rsidRDefault="009D7430" w:rsidP="009D7430">
      <w:pPr>
        <w:spacing w:line="360" w:lineRule="auto"/>
        <w:jc w:val="both"/>
        <w:rPr>
          <w:rFonts w:asciiTheme="majorBidi" w:hAnsiTheme="majorBidi" w:cstheme="majorBidi"/>
        </w:rPr>
      </w:pPr>
      <w:r w:rsidRPr="009D7430">
        <w:rPr>
          <w:rFonts w:asciiTheme="majorBidi" w:hAnsiTheme="majorBidi" w:cstheme="majorBidi"/>
        </w:rPr>
        <w:lastRenderedPageBreak/>
        <w:t xml:space="preserve">Fish are a vital source of diverse nutrients, offering high-quality animal protein suitable for human consumption. They are rich in essential vitamins, omega-3 fatty acids, and important micronutrients such as phosphorus, iron, and selenium </w:t>
      </w:r>
      <w:r w:rsidR="006E51A0">
        <w:rPr>
          <w:rFonts w:asciiTheme="majorBidi" w:hAnsiTheme="majorBidi" w:cstheme="majorBidi"/>
        </w:rPr>
        <w:t>(</w:t>
      </w:r>
      <w:r w:rsidR="006E51A0" w:rsidRPr="00803DE2">
        <w:rPr>
          <w:rFonts w:asciiTheme="majorBidi" w:hAnsiTheme="majorBidi" w:cstheme="majorBidi"/>
          <w:b/>
          <w:bCs/>
        </w:rPr>
        <w:t>Badoni et al.,</w:t>
      </w:r>
      <w:r w:rsidR="00803DE2" w:rsidRPr="00803DE2">
        <w:rPr>
          <w:rFonts w:asciiTheme="majorBidi" w:hAnsiTheme="majorBidi" w:cstheme="majorBidi"/>
          <w:b/>
          <w:bCs/>
        </w:rPr>
        <w:t xml:space="preserve"> 2021</w:t>
      </w:r>
      <w:r w:rsidR="006E51A0" w:rsidRPr="00803DE2">
        <w:rPr>
          <w:rFonts w:asciiTheme="majorBidi" w:hAnsiTheme="majorBidi" w:cstheme="majorBidi"/>
          <w:b/>
          <w:bCs/>
        </w:rPr>
        <w:t>)</w:t>
      </w:r>
      <w:r w:rsidRPr="00803DE2">
        <w:rPr>
          <w:rFonts w:asciiTheme="majorBidi" w:hAnsiTheme="majorBidi" w:cstheme="majorBidi"/>
          <w:b/>
          <w:bCs/>
        </w:rPr>
        <w:t>.</w:t>
      </w:r>
      <w:r w:rsidRPr="009D7430">
        <w:rPr>
          <w:rFonts w:asciiTheme="majorBidi" w:hAnsiTheme="majorBidi" w:cstheme="majorBidi"/>
        </w:rPr>
        <w:t xml:space="preserve"> Given their nutritional value, promoting the cultivation of fish with enhanced growth potential is critical to meeting the food demands of a growing global population, which reached 8 billion in 2022 and is projected to rise to 10.4 billion by 2100 </w:t>
      </w:r>
      <w:r w:rsidR="00616ADC">
        <w:rPr>
          <w:rFonts w:asciiTheme="majorBidi" w:hAnsiTheme="majorBidi" w:cstheme="majorBidi"/>
        </w:rPr>
        <w:t>(</w:t>
      </w:r>
      <w:proofErr w:type="spellStart"/>
      <w:r w:rsidR="00616ADC" w:rsidRPr="00803DE2">
        <w:rPr>
          <w:rFonts w:asciiTheme="majorBidi" w:hAnsiTheme="majorBidi" w:cstheme="majorBidi"/>
          <w:b/>
          <w:bCs/>
        </w:rPr>
        <w:t>Amillano</w:t>
      </w:r>
      <w:proofErr w:type="spellEnd"/>
      <w:r w:rsidR="00616ADC" w:rsidRPr="00803DE2">
        <w:rPr>
          <w:rFonts w:asciiTheme="majorBidi" w:hAnsiTheme="majorBidi" w:cstheme="majorBidi"/>
          <w:b/>
          <w:bCs/>
        </w:rPr>
        <w:t>-Cisneros et al., 2025)</w:t>
      </w:r>
      <w:r w:rsidRPr="009D7430">
        <w:rPr>
          <w:rFonts w:asciiTheme="majorBidi" w:hAnsiTheme="majorBidi" w:cstheme="majorBidi"/>
        </w:rPr>
        <w:t>.</w:t>
      </w:r>
    </w:p>
    <w:p w14:paraId="3522ABD5" w14:textId="3A83399E" w:rsidR="009D7430" w:rsidRPr="009D7430" w:rsidRDefault="009D7430" w:rsidP="008041DE">
      <w:pPr>
        <w:spacing w:line="360" w:lineRule="auto"/>
        <w:jc w:val="both"/>
        <w:rPr>
          <w:rFonts w:asciiTheme="majorBidi" w:hAnsiTheme="majorBidi" w:cstheme="majorBidi"/>
        </w:rPr>
      </w:pPr>
      <w:r w:rsidRPr="009D7430">
        <w:rPr>
          <w:rFonts w:asciiTheme="majorBidi" w:hAnsiTheme="majorBidi" w:cstheme="majorBidi"/>
        </w:rPr>
        <w:t>Despite the substantial increase in aquaculture production in recent years, the sector faces several significant challenges. Among the most pressing are sudden disease outbreaks, whether locally originated or introduced through imports, which result in estimated global economic</w:t>
      </w:r>
      <w:r w:rsidR="00D2141F">
        <w:rPr>
          <w:rFonts w:asciiTheme="majorBidi" w:hAnsiTheme="majorBidi" w:cstheme="majorBidi"/>
        </w:rPr>
        <w:t xml:space="preserve"> (</w:t>
      </w:r>
      <w:r w:rsidR="00D2141F" w:rsidRPr="00D2141F">
        <w:rPr>
          <w:rFonts w:asciiTheme="majorBidi" w:hAnsiTheme="majorBidi" w:cstheme="majorBidi"/>
          <w:b/>
          <w:bCs/>
        </w:rPr>
        <w:t>Dewali et al., 2025)</w:t>
      </w:r>
      <w:r w:rsidRPr="00D2141F">
        <w:rPr>
          <w:rFonts w:asciiTheme="majorBidi" w:hAnsiTheme="majorBidi" w:cstheme="majorBidi"/>
          <w:b/>
          <w:bCs/>
        </w:rPr>
        <w:t>.</w:t>
      </w:r>
      <w:r w:rsidRPr="009D7430">
        <w:rPr>
          <w:rFonts w:asciiTheme="majorBidi" w:hAnsiTheme="majorBidi" w:cstheme="majorBidi"/>
        </w:rPr>
        <w:t xml:space="preserve"> These outbreaks are attributed to a wide array of pathogens, including viruses (e.g., white spot syndrome virus, yellowhead virus, infectious salmon anemia virus, salmonid alphavirus, Tilapia lake virus, iridoviral disease, kidney necrosis virus), bacteria (e.g., </w:t>
      </w:r>
      <w:r w:rsidRPr="009D7430">
        <w:rPr>
          <w:rFonts w:asciiTheme="majorBidi" w:hAnsiTheme="majorBidi" w:cstheme="majorBidi"/>
          <w:i/>
          <w:iCs/>
        </w:rPr>
        <w:t>Aeromonas</w:t>
      </w:r>
      <w:r w:rsidRPr="009D7430">
        <w:rPr>
          <w:rFonts w:asciiTheme="majorBidi" w:hAnsiTheme="majorBidi" w:cstheme="majorBidi"/>
        </w:rPr>
        <w:t xml:space="preserve"> spp., </w:t>
      </w:r>
      <w:proofErr w:type="spellStart"/>
      <w:r w:rsidRPr="009D7430">
        <w:rPr>
          <w:rFonts w:asciiTheme="majorBidi" w:hAnsiTheme="majorBidi" w:cstheme="majorBidi"/>
          <w:i/>
          <w:iCs/>
        </w:rPr>
        <w:t>Edwardsiella</w:t>
      </w:r>
      <w:proofErr w:type="spellEnd"/>
      <w:r w:rsidRPr="009D7430">
        <w:rPr>
          <w:rFonts w:asciiTheme="majorBidi" w:hAnsiTheme="majorBidi" w:cstheme="majorBidi"/>
        </w:rPr>
        <w:t xml:space="preserve"> spp., </w:t>
      </w:r>
      <w:r w:rsidRPr="009D7430">
        <w:rPr>
          <w:rFonts w:asciiTheme="majorBidi" w:hAnsiTheme="majorBidi" w:cstheme="majorBidi"/>
          <w:i/>
          <w:iCs/>
        </w:rPr>
        <w:t>Flavobacterium</w:t>
      </w:r>
      <w:r w:rsidRPr="009D7430">
        <w:rPr>
          <w:rFonts w:asciiTheme="majorBidi" w:hAnsiTheme="majorBidi" w:cstheme="majorBidi"/>
        </w:rPr>
        <w:t xml:space="preserve"> spp., </w:t>
      </w:r>
      <w:r w:rsidRPr="009D7430">
        <w:rPr>
          <w:rFonts w:asciiTheme="majorBidi" w:hAnsiTheme="majorBidi" w:cstheme="majorBidi"/>
          <w:i/>
          <w:iCs/>
        </w:rPr>
        <w:t>Streptococcus</w:t>
      </w:r>
      <w:r w:rsidRPr="009D7430">
        <w:rPr>
          <w:rFonts w:asciiTheme="majorBidi" w:hAnsiTheme="majorBidi" w:cstheme="majorBidi"/>
        </w:rPr>
        <w:t xml:space="preserve"> spp., </w:t>
      </w:r>
      <w:r w:rsidRPr="009D7430">
        <w:rPr>
          <w:rFonts w:asciiTheme="majorBidi" w:hAnsiTheme="majorBidi" w:cstheme="majorBidi"/>
          <w:i/>
          <w:iCs/>
        </w:rPr>
        <w:t>Vibrio</w:t>
      </w:r>
      <w:r w:rsidRPr="009D7430">
        <w:rPr>
          <w:rFonts w:asciiTheme="majorBidi" w:hAnsiTheme="majorBidi" w:cstheme="majorBidi"/>
        </w:rPr>
        <w:t xml:space="preserve"> spp.), fungi (e.g., </w:t>
      </w:r>
      <w:proofErr w:type="spellStart"/>
      <w:r w:rsidRPr="009D7430">
        <w:rPr>
          <w:rFonts w:asciiTheme="majorBidi" w:hAnsiTheme="majorBidi" w:cstheme="majorBidi"/>
          <w:i/>
          <w:iCs/>
        </w:rPr>
        <w:t>Achlya</w:t>
      </w:r>
      <w:proofErr w:type="spellEnd"/>
      <w:r w:rsidRPr="009D7430">
        <w:rPr>
          <w:rFonts w:asciiTheme="majorBidi" w:hAnsiTheme="majorBidi" w:cstheme="majorBidi"/>
        </w:rPr>
        <w:t xml:space="preserve"> spp., </w:t>
      </w:r>
      <w:r w:rsidRPr="009D7430">
        <w:rPr>
          <w:rFonts w:asciiTheme="majorBidi" w:hAnsiTheme="majorBidi" w:cstheme="majorBidi"/>
          <w:i/>
          <w:iCs/>
        </w:rPr>
        <w:t>Aphanomyces</w:t>
      </w:r>
      <w:r w:rsidRPr="009D7430">
        <w:rPr>
          <w:rFonts w:asciiTheme="majorBidi" w:hAnsiTheme="majorBidi" w:cstheme="majorBidi"/>
        </w:rPr>
        <w:t xml:space="preserve"> spp., </w:t>
      </w:r>
      <w:r w:rsidRPr="009D7430">
        <w:rPr>
          <w:rFonts w:asciiTheme="majorBidi" w:hAnsiTheme="majorBidi" w:cstheme="majorBidi"/>
          <w:i/>
          <w:iCs/>
        </w:rPr>
        <w:t>Saprolegnia</w:t>
      </w:r>
      <w:r w:rsidRPr="009D7430">
        <w:rPr>
          <w:rFonts w:asciiTheme="majorBidi" w:hAnsiTheme="majorBidi" w:cstheme="majorBidi"/>
        </w:rPr>
        <w:t xml:space="preserve"> spp., </w:t>
      </w:r>
      <w:r w:rsidRPr="009D7430">
        <w:rPr>
          <w:rFonts w:asciiTheme="majorBidi" w:hAnsiTheme="majorBidi" w:cstheme="majorBidi"/>
          <w:i/>
          <w:iCs/>
        </w:rPr>
        <w:t>Batrachochytrium</w:t>
      </w:r>
      <w:r w:rsidRPr="009D7430">
        <w:rPr>
          <w:rFonts w:asciiTheme="majorBidi" w:hAnsiTheme="majorBidi" w:cstheme="majorBidi"/>
        </w:rPr>
        <w:t xml:space="preserve"> spp., </w:t>
      </w:r>
      <w:proofErr w:type="spellStart"/>
      <w:r w:rsidRPr="009D7430">
        <w:rPr>
          <w:rFonts w:asciiTheme="majorBidi" w:hAnsiTheme="majorBidi" w:cstheme="majorBidi"/>
          <w:i/>
          <w:iCs/>
        </w:rPr>
        <w:t>Branchiomyces</w:t>
      </w:r>
      <w:proofErr w:type="spellEnd"/>
      <w:r w:rsidRPr="009D7430">
        <w:rPr>
          <w:rFonts w:asciiTheme="majorBidi" w:hAnsiTheme="majorBidi" w:cstheme="majorBidi"/>
        </w:rPr>
        <w:t xml:space="preserve"> spp., </w:t>
      </w:r>
      <w:proofErr w:type="spellStart"/>
      <w:r w:rsidRPr="009D7430">
        <w:rPr>
          <w:rFonts w:asciiTheme="majorBidi" w:hAnsiTheme="majorBidi" w:cstheme="majorBidi"/>
          <w:i/>
          <w:iCs/>
        </w:rPr>
        <w:t>Ichthyophonus</w:t>
      </w:r>
      <w:proofErr w:type="spellEnd"/>
      <w:r w:rsidRPr="009D7430">
        <w:rPr>
          <w:rFonts w:asciiTheme="majorBidi" w:hAnsiTheme="majorBidi" w:cstheme="majorBidi"/>
        </w:rPr>
        <w:t xml:space="preserve"> spp., </w:t>
      </w:r>
      <w:r w:rsidRPr="009D7430">
        <w:rPr>
          <w:rFonts w:asciiTheme="majorBidi" w:hAnsiTheme="majorBidi" w:cstheme="majorBidi"/>
          <w:i/>
          <w:iCs/>
        </w:rPr>
        <w:t>Fusarium</w:t>
      </w:r>
      <w:r w:rsidRPr="009D7430">
        <w:rPr>
          <w:rFonts w:asciiTheme="majorBidi" w:hAnsiTheme="majorBidi" w:cstheme="majorBidi"/>
        </w:rPr>
        <w:t xml:space="preserve"> spp.), and parasites from various taxa (e.g., </w:t>
      </w:r>
      <w:proofErr w:type="spellStart"/>
      <w:r w:rsidRPr="009D7430">
        <w:rPr>
          <w:rFonts w:asciiTheme="majorBidi" w:hAnsiTheme="majorBidi" w:cstheme="majorBidi"/>
          <w:i/>
          <w:iCs/>
        </w:rPr>
        <w:t>Amyloodinium</w:t>
      </w:r>
      <w:proofErr w:type="spellEnd"/>
      <w:r w:rsidRPr="009D7430">
        <w:rPr>
          <w:rFonts w:asciiTheme="majorBidi" w:hAnsiTheme="majorBidi" w:cstheme="majorBidi"/>
        </w:rPr>
        <w:t xml:space="preserve"> spp., </w:t>
      </w:r>
      <w:proofErr w:type="spellStart"/>
      <w:r w:rsidRPr="009D7430">
        <w:rPr>
          <w:rFonts w:asciiTheme="majorBidi" w:hAnsiTheme="majorBidi" w:cstheme="majorBidi"/>
          <w:i/>
          <w:iCs/>
        </w:rPr>
        <w:t>Ichthyobodo</w:t>
      </w:r>
      <w:proofErr w:type="spellEnd"/>
      <w:r w:rsidRPr="009D7430">
        <w:rPr>
          <w:rFonts w:asciiTheme="majorBidi" w:hAnsiTheme="majorBidi" w:cstheme="majorBidi"/>
        </w:rPr>
        <w:t xml:space="preserve"> spp., </w:t>
      </w:r>
      <w:proofErr w:type="spellStart"/>
      <w:r w:rsidRPr="009D7430">
        <w:rPr>
          <w:rFonts w:asciiTheme="majorBidi" w:hAnsiTheme="majorBidi" w:cstheme="majorBidi"/>
          <w:i/>
          <w:iCs/>
        </w:rPr>
        <w:t>Ichthyophthirius</w:t>
      </w:r>
      <w:proofErr w:type="spellEnd"/>
      <w:r w:rsidRPr="009D7430">
        <w:rPr>
          <w:rFonts w:asciiTheme="majorBidi" w:hAnsiTheme="majorBidi" w:cstheme="majorBidi"/>
        </w:rPr>
        <w:t xml:space="preserve"> spp., </w:t>
      </w:r>
      <w:proofErr w:type="spellStart"/>
      <w:r w:rsidRPr="009D7430">
        <w:rPr>
          <w:rFonts w:asciiTheme="majorBidi" w:hAnsiTheme="majorBidi" w:cstheme="majorBidi"/>
          <w:i/>
          <w:iCs/>
        </w:rPr>
        <w:t>Myxobolus</w:t>
      </w:r>
      <w:proofErr w:type="spellEnd"/>
      <w:r w:rsidRPr="009D7430">
        <w:rPr>
          <w:rFonts w:asciiTheme="majorBidi" w:hAnsiTheme="majorBidi" w:cstheme="majorBidi"/>
        </w:rPr>
        <w:t xml:space="preserve"> spp., </w:t>
      </w:r>
      <w:proofErr w:type="spellStart"/>
      <w:r w:rsidRPr="009D7430">
        <w:rPr>
          <w:rFonts w:asciiTheme="majorBidi" w:hAnsiTheme="majorBidi" w:cstheme="majorBidi"/>
          <w:i/>
          <w:iCs/>
        </w:rPr>
        <w:t>Tetracapsuloides</w:t>
      </w:r>
      <w:proofErr w:type="spellEnd"/>
      <w:r w:rsidRPr="009D7430">
        <w:rPr>
          <w:rFonts w:asciiTheme="majorBidi" w:hAnsiTheme="majorBidi" w:cstheme="majorBidi"/>
        </w:rPr>
        <w:t xml:space="preserve"> spp., </w:t>
      </w:r>
      <w:r w:rsidRPr="009D7430">
        <w:rPr>
          <w:rFonts w:asciiTheme="majorBidi" w:hAnsiTheme="majorBidi" w:cstheme="majorBidi"/>
          <w:i/>
          <w:iCs/>
        </w:rPr>
        <w:t>Tetrahymena</w:t>
      </w:r>
      <w:r w:rsidRPr="009D7430">
        <w:rPr>
          <w:rFonts w:asciiTheme="majorBidi" w:hAnsiTheme="majorBidi" w:cstheme="majorBidi"/>
        </w:rPr>
        <w:t xml:space="preserve"> spp., </w:t>
      </w:r>
      <w:proofErr w:type="spellStart"/>
      <w:r w:rsidRPr="009D7430">
        <w:rPr>
          <w:rFonts w:asciiTheme="majorBidi" w:hAnsiTheme="majorBidi" w:cstheme="majorBidi"/>
          <w:i/>
          <w:iCs/>
        </w:rPr>
        <w:t>Trichodina</w:t>
      </w:r>
      <w:proofErr w:type="spellEnd"/>
      <w:r w:rsidRPr="009D7430">
        <w:rPr>
          <w:rFonts w:asciiTheme="majorBidi" w:hAnsiTheme="majorBidi" w:cstheme="majorBidi"/>
        </w:rPr>
        <w:t xml:space="preserve"> spp., </w:t>
      </w:r>
      <w:proofErr w:type="spellStart"/>
      <w:r w:rsidRPr="009D7430">
        <w:rPr>
          <w:rFonts w:asciiTheme="majorBidi" w:hAnsiTheme="majorBidi" w:cstheme="majorBidi"/>
          <w:i/>
          <w:iCs/>
        </w:rPr>
        <w:t>Trypanoplasma</w:t>
      </w:r>
      <w:proofErr w:type="spellEnd"/>
      <w:r w:rsidRPr="009D7430">
        <w:rPr>
          <w:rFonts w:asciiTheme="majorBidi" w:hAnsiTheme="majorBidi" w:cstheme="majorBidi"/>
        </w:rPr>
        <w:t xml:space="preserve"> spp., </w:t>
      </w:r>
      <w:r w:rsidRPr="009D7430">
        <w:rPr>
          <w:rFonts w:asciiTheme="majorBidi" w:hAnsiTheme="majorBidi" w:cstheme="majorBidi"/>
          <w:i/>
          <w:iCs/>
        </w:rPr>
        <w:t>Trypanosoma</w:t>
      </w:r>
      <w:r w:rsidRPr="009D7430">
        <w:rPr>
          <w:rFonts w:asciiTheme="majorBidi" w:hAnsiTheme="majorBidi" w:cstheme="majorBidi"/>
        </w:rPr>
        <w:t xml:space="preserve"> spp., </w:t>
      </w:r>
      <w:proofErr w:type="spellStart"/>
      <w:r w:rsidRPr="009D7430">
        <w:rPr>
          <w:rFonts w:asciiTheme="majorBidi" w:hAnsiTheme="majorBidi" w:cstheme="majorBidi"/>
          <w:i/>
          <w:iCs/>
        </w:rPr>
        <w:t>Uronema</w:t>
      </w:r>
      <w:proofErr w:type="spellEnd"/>
      <w:r w:rsidRPr="009D7430">
        <w:rPr>
          <w:rFonts w:asciiTheme="majorBidi" w:hAnsiTheme="majorBidi" w:cstheme="majorBidi"/>
        </w:rPr>
        <w:t xml:space="preserve"> spp.) </w:t>
      </w:r>
      <w:r w:rsidR="00E20332">
        <w:rPr>
          <w:rFonts w:asciiTheme="majorBidi" w:hAnsiTheme="majorBidi" w:cstheme="majorBidi"/>
        </w:rPr>
        <w:t>(</w:t>
      </w:r>
      <w:proofErr w:type="spellStart"/>
      <w:r w:rsidR="00E20332" w:rsidRPr="00803DE2">
        <w:rPr>
          <w:rFonts w:asciiTheme="majorBidi" w:hAnsiTheme="majorBidi" w:cstheme="majorBidi"/>
          <w:b/>
          <w:bCs/>
        </w:rPr>
        <w:t>Amillano</w:t>
      </w:r>
      <w:proofErr w:type="spellEnd"/>
      <w:r w:rsidR="00E20332" w:rsidRPr="00803DE2">
        <w:rPr>
          <w:rFonts w:asciiTheme="majorBidi" w:hAnsiTheme="majorBidi" w:cstheme="majorBidi"/>
          <w:b/>
          <w:bCs/>
        </w:rPr>
        <w:t>-Cisneros et al., 2025)</w:t>
      </w:r>
      <w:r w:rsidR="00E20332" w:rsidRPr="009D7430">
        <w:rPr>
          <w:rFonts w:asciiTheme="majorBidi" w:hAnsiTheme="majorBidi" w:cstheme="majorBidi"/>
        </w:rPr>
        <w:t>.</w:t>
      </w:r>
    </w:p>
    <w:p w14:paraId="02172C29" w14:textId="28F9A341" w:rsidR="009D7430" w:rsidRPr="009D7430" w:rsidRDefault="009D7430" w:rsidP="009D7430">
      <w:pPr>
        <w:spacing w:line="360" w:lineRule="auto"/>
        <w:jc w:val="both"/>
        <w:rPr>
          <w:rFonts w:asciiTheme="majorBidi" w:hAnsiTheme="majorBidi" w:cstheme="majorBidi"/>
        </w:rPr>
      </w:pPr>
      <w:r w:rsidRPr="009D7430">
        <w:rPr>
          <w:rFonts w:asciiTheme="majorBidi" w:hAnsiTheme="majorBidi" w:cstheme="majorBidi"/>
        </w:rPr>
        <w:t>The combination of disease outbreaks and inadequate disease management practices can severely impact aquaculture productivity. These impacts include reduced growth rates, elevated mortality, and environmental degradation</w:t>
      </w:r>
      <w:r w:rsidR="00AB7A2F">
        <w:rPr>
          <w:rFonts w:asciiTheme="majorBidi" w:hAnsiTheme="majorBidi" w:cstheme="majorBidi"/>
        </w:rPr>
        <w:t xml:space="preserve"> </w:t>
      </w:r>
      <w:r w:rsidR="00AB7A2F" w:rsidRPr="00AB7A2F">
        <w:rPr>
          <w:rFonts w:asciiTheme="majorBidi" w:hAnsiTheme="majorBidi" w:cstheme="majorBidi"/>
          <w:b/>
          <w:bCs/>
        </w:rPr>
        <w:t>(Yasin et al., 2025)</w:t>
      </w:r>
      <w:r w:rsidRPr="00AB7A2F">
        <w:rPr>
          <w:rFonts w:asciiTheme="majorBidi" w:hAnsiTheme="majorBidi" w:cstheme="majorBidi"/>
          <w:b/>
          <w:bCs/>
        </w:rPr>
        <w:t>.</w:t>
      </w:r>
      <w:r w:rsidRPr="009D7430">
        <w:rPr>
          <w:rFonts w:asciiTheme="majorBidi" w:hAnsiTheme="majorBidi" w:cstheme="majorBidi"/>
        </w:rPr>
        <w:t xml:space="preserve"> Infected organisms may act as vectors, facilitating the spread of pathogens to neighboring farms or even to wild aquatic populations, where these diseases may not naturally occur, thereby posing a risk to native species and biodiversity </w:t>
      </w:r>
      <w:r w:rsidR="002D42D9">
        <w:rPr>
          <w:rFonts w:asciiTheme="majorBidi" w:hAnsiTheme="majorBidi" w:cstheme="majorBidi"/>
        </w:rPr>
        <w:t>(</w:t>
      </w:r>
      <w:r w:rsidR="002D42D9" w:rsidRPr="00A8154F">
        <w:rPr>
          <w:rFonts w:asciiTheme="majorBidi" w:hAnsiTheme="majorBidi" w:cstheme="majorBidi"/>
          <w:b/>
          <w:bCs/>
        </w:rPr>
        <w:t>Thrush et al., 2011;</w:t>
      </w:r>
      <w:r w:rsidR="00C902EA" w:rsidRPr="00A8154F">
        <w:rPr>
          <w:rFonts w:asciiTheme="majorBidi" w:hAnsiTheme="majorBidi" w:cstheme="majorBidi"/>
          <w:b/>
          <w:bCs/>
        </w:rPr>
        <w:t xml:space="preserve"> Bouwmeester et al., 2021;</w:t>
      </w:r>
      <w:r w:rsidR="00A8154F" w:rsidRPr="00A8154F">
        <w:rPr>
          <w:rFonts w:asciiTheme="majorBidi" w:hAnsiTheme="majorBidi" w:cstheme="majorBidi"/>
          <w:b/>
          <w:bCs/>
        </w:rPr>
        <w:t xml:space="preserve"> Dewali</w:t>
      </w:r>
      <w:r w:rsidR="00A8154F" w:rsidRPr="00D2141F">
        <w:rPr>
          <w:rFonts w:asciiTheme="majorBidi" w:hAnsiTheme="majorBidi" w:cstheme="majorBidi"/>
          <w:b/>
          <w:bCs/>
        </w:rPr>
        <w:t xml:space="preserve"> et al., 2025</w:t>
      </w:r>
      <w:r w:rsidR="002D42D9">
        <w:rPr>
          <w:rFonts w:asciiTheme="majorBidi" w:hAnsiTheme="majorBidi" w:cstheme="majorBidi"/>
        </w:rPr>
        <w:t>)</w:t>
      </w:r>
    </w:p>
    <w:p w14:paraId="05AE1286" w14:textId="63AB6ED3" w:rsidR="0023478A" w:rsidRPr="0023478A" w:rsidRDefault="0023478A" w:rsidP="00063B12">
      <w:pPr>
        <w:spacing w:line="360" w:lineRule="auto"/>
        <w:jc w:val="both"/>
        <w:rPr>
          <w:rFonts w:asciiTheme="majorBidi" w:hAnsiTheme="majorBidi" w:cstheme="majorBidi"/>
        </w:rPr>
      </w:pPr>
      <w:r w:rsidRPr="0023478A">
        <w:rPr>
          <w:rFonts w:asciiTheme="majorBidi" w:hAnsiTheme="majorBidi" w:cstheme="majorBidi"/>
        </w:rPr>
        <w:t xml:space="preserve">Intensive aquaculture systems, due to high stocking densities, often subject aquatic organisms to chronic stress. This stress compromises immune responses, rendering fish more susceptible to opportunistic infections caused by viruses, fungi, bacteria, and parasites. Such infections can spread rapidly, leading to high mortality rates and substantial economic losses. In response, aquaculture producers frequently rely on a wide range of antibiotics to treat disease outbreaks, and in some cases, even use them prophylactically on healthy organisms. Although a list of approved </w:t>
      </w:r>
      <w:r w:rsidRPr="0023478A">
        <w:rPr>
          <w:rFonts w:asciiTheme="majorBidi" w:hAnsiTheme="majorBidi" w:cstheme="majorBidi"/>
        </w:rPr>
        <w:lastRenderedPageBreak/>
        <w:t xml:space="preserve">antibiotics exists for aquaculture [39], their indiscriminate application in aquatic environments poses serious risks. These include the persistence of antibiotic residues, development of antibiotic-resistant pathogens, and potential transmission of these resistant strains to humans via the food chain, compromising public health </w:t>
      </w:r>
      <w:r w:rsidR="00063B12">
        <w:rPr>
          <w:rFonts w:asciiTheme="majorBidi" w:hAnsiTheme="majorBidi" w:cstheme="majorBidi"/>
        </w:rPr>
        <w:t>(</w:t>
      </w:r>
      <w:proofErr w:type="spellStart"/>
      <w:r w:rsidR="00063B12" w:rsidRPr="00803DE2">
        <w:rPr>
          <w:rFonts w:asciiTheme="majorBidi" w:hAnsiTheme="majorBidi" w:cstheme="majorBidi"/>
          <w:b/>
          <w:bCs/>
        </w:rPr>
        <w:t>Amillano</w:t>
      </w:r>
      <w:proofErr w:type="spellEnd"/>
      <w:r w:rsidR="00063B12" w:rsidRPr="00803DE2">
        <w:rPr>
          <w:rFonts w:asciiTheme="majorBidi" w:hAnsiTheme="majorBidi" w:cstheme="majorBidi"/>
          <w:b/>
          <w:bCs/>
        </w:rPr>
        <w:t>-Cisneros et al., 2025)</w:t>
      </w:r>
      <w:r w:rsidR="00063B12" w:rsidRPr="009D7430">
        <w:rPr>
          <w:rFonts w:asciiTheme="majorBidi" w:hAnsiTheme="majorBidi" w:cstheme="majorBidi"/>
        </w:rPr>
        <w:t>.</w:t>
      </w:r>
    </w:p>
    <w:p w14:paraId="39400A1C" w14:textId="169CF0E8" w:rsidR="0023478A" w:rsidRPr="0023478A" w:rsidRDefault="0023478A" w:rsidP="0023478A">
      <w:pPr>
        <w:spacing w:line="360" w:lineRule="auto"/>
        <w:jc w:val="both"/>
        <w:rPr>
          <w:rFonts w:asciiTheme="majorBidi" w:hAnsiTheme="majorBidi" w:cstheme="majorBidi"/>
        </w:rPr>
      </w:pPr>
      <w:r w:rsidRPr="0023478A">
        <w:rPr>
          <w:rFonts w:asciiTheme="majorBidi" w:hAnsiTheme="majorBidi" w:cstheme="majorBidi"/>
        </w:rPr>
        <w:t xml:space="preserve">One promising and sustainable approach is the use of beneficial microorganisms in fish diets to enhance growth, health, and disease resistance. Kenis et al. </w:t>
      </w:r>
      <w:r w:rsidR="00600373">
        <w:rPr>
          <w:rFonts w:asciiTheme="majorBidi" w:hAnsiTheme="majorBidi" w:cstheme="majorBidi"/>
        </w:rPr>
        <w:t>(2019)</w:t>
      </w:r>
      <w:r w:rsidRPr="0023478A">
        <w:rPr>
          <w:rFonts w:asciiTheme="majorBidi" w:hAnsiTheme="majorBidi" w:cstheme="majorBidi"/>
        </w:rPr>
        <w:t xml:space="preserve"> define microorganisms as protozoa, fungi, bacteria, viruses, or other microscopic self-replicating entities. Shams et al. </w:t>
      </w:r>
      <w:r w:rsidR="003B1648">
        <w:rPr>
          <w:rFonts w:asciiTheme="majorBidi" w:hAnsiTheme="majorBidi" w:cstheme="majorBidi"/>
        </w:rPr>
        <w:t xml:space="preserve">(2024) </w:t>
      </w:r>
      <w:r w:rsidRPr="0023478A">
        <w:rPr>
          <w:rFonts w:asciiTheme="majorBidi" w:hAnsiTheme="majorBidi" w:cstheme="majorBidi"/>
        </w:rPr>
        <w:t>further note that microorganisms are not strictly defined but generally include rapidly reproducing microscopic organisms from all three domains of life: Archaea, Bacteria, and Eukarya. Since their initial observation by Anton van Leeuwenhoek in the 17th century, microorganisms have been continually studied for their diversity and functions.</w:t>
      </w:r>
    </w:p>
    <w:p w14:paraId="68D0B5BB" w14:textId="0FE3DF6D" w:rsidR="0023478A" w:rsidRPr="00827952" w:rsidRDefault="0023478A" w:rsidP="0023478A">
      <w:pPr>
        <w:spacing w:line="360" w:lineRule="auto"/>
        <w:jc w:val="both"/>
        <w:rPr>
          <w:rFonts w:asciiTheme="majorBidi" w:hAnsiTheme="majorBidi" w:cstheme="majorBidi"/>
          <w:b/>
          <w:bCs/>
        </w:rPr>
      </w:pPr>
      <w:r w:rsidRPr="0023478A">
        <w:rPr>
          <w:rFonts w:asciiTheme="majorBidi" w:hAnsiTheme="majorBidi" w:cstheme="majorBidi"/>
        </w:rPr>
        <w:t xml:space="preserve">The term </w:t>
      </w:r>
      <w:r w:rsidRPr="00A706BF">
        <w:rPr>
          <w:rFonts w:asciiTheme="majorBidi" w:hAnsiTheme="majorBidi" w:cstheme="majorBidi"/>
        </w:rPr>
        <w:t>microbiota</w:t>
      </w:r>
      <w:r w:rsidRPr="0023478A">
        <w:rPr>
          <w:rFonts w:asciiTheme="majorBidi" w:hAnsiTheme="majorBidi" w:cstheme="majorBidi"/>
        </w:rPr>
        <w:t xml:space="preserve"> refers to the collective community of microorganisms (including viruses, bacteria, archaea, yeasts, and protozoa) inhabiting a specific ecosystem, such as the gastrointestinal tract, skin, water, or soil </w:t>
      </w:r>
      <w:r w:rsidR="00A706BF">
        <w:rPr>
          <w:rFonts w:asciiTheme="majorBidi" w:hAnsiTheme="majorBidi" w:cstheme="majorBidi"/>
        </w:rPr>
        <w:t>(</w:t>
      </w:r>
      <w:proofErr w:type="spellStart"/>
      <w:r w:rsidR="00A706BF" w:rsidRPr="00A706BF">
        <w:rPr>
          <w:rFonts w:asciiTheme="majorBidi" w:hAnsiTheme="majorBidi" w:cstheme="majorBidi"/>
          <w:b/>
          <w:bCs/>
        </w:rPr>
        <w:t>Margolles</w:t>
      </w:r>
      <w:proofErr w:type="spellEnd"/>
      <w:r w:rsidR="00A706BF" w:rsidRPr="00A706BF">
        <w:rPr>
          <w:rFonts w:asciiTheme="majorBidi" w:hAnsiTheme="majorBidi" w:cstheme="majorBidi"/>
          <w:b/>
          <w:bCs/>
        </w:rPr>
        <w:t xml:space="preserve"> and Suarez, 202</w:t>
      </w:r>
      <w:r w:rsidR="00827952">
        <w:rPr>
          <w:rFonts w:asciiTheme="majorBidi" w:hAnsiTheme="majorBidi" w:cstheme="majorBidi"/>
          <w:b/>
          <w:bCs/>
        </w:rPr>
        <w:t xml:space="preserve">1; </w:t>
      </w:r>
      <w:r w:rsidR="00827952" w:rsidRPr="00827952">
        <w:rPr>
          <w:rFonts w:asciiTheme="majorBidi" w:hAnsiTheme="majorBidi" w:cstheme="majorBidi"/>
          <w:b/>
          <w:bCs/>
        </w:rPr>
        <w:t>Hassan et al., 2025</w:t>
      </w:r>
      <w:r w:rsidR="00A706BF">
        <w:rPr>
          <w:rFonts w:asciiTheme="majorBidi" w:hAnsiTheme="majorBidi" w:cstheme="majorBidi"/>
        </w:rPr>
        <w:t>)</w:t>
      </w:r>
      <w:r w:rsidRPr="0023478A">
        <w:rPr>
          <w:rFonts w:asciiTheme="majorBidi" w:hAnsiTheme="majorBidi" w:cstheme="majorBidi"/>
        </w:rPr>
        <w:t xml:space="preserve">. In fish, gut microbiota </w:t>
      </w:r>
      <w:proofErr w:type="gramStart"/>
      <w:r w:rsidRPr="0023478A">
        <w:rPr>
          <w:rFonts w:asciiTheme="majorBidi" w:hAnsiTheme="majorBidi" w:cstheme="majorBidi"/>
        </w:rPr>
        <w:t>perform</w:t>
      </w:r>
      <w:proofErr w:type="gramEnd"/>
      <w:r w:rsidRPr="0023478A">
        <w:rPr>
          <w:rFonts w:asciiTheme="majorBidi" w:hAnsiTheme="majorBidi" w:cstheme="majorBidi"/>
        </w:rPr>
        <w:t xml:space="preserve"> crucial roles, including protection against pathogens, modulation of the immune system, and synthesis of essential metabolites such as vitamins, minerals, short-chain fatty acids, and amino acids</w:t>
      </w:r>
      <w:r w:rsidR="00827952">
        <w:rPr>
          <w:rFonts w:asciiTheme="majorBidi" w:hAnsiTheme="majorBidi" w:cstheme="majorBidi"/>
        </w:rPr>
        <w:t xml:space="preserve"> </w:t>
      </w:r>
      <w:r w:rsidRPr="0023478A">
        <w:rPr>
          <w:rFonts w:asciiTheme="majorBidi" w:hAnsiTheme="majorBidi" w:cstheme="majorBidi"/>
        </w:rPr>
        <w:t>all of which contribute to optimal growth and development</w:t>
      </w:r>
      <w:r w:rsidR="00827952">
        <w:rPr>
          <w:rFonts w:asciiTheme="majorBidi" w:hAnsiTheme="majorBidi" w:cstheme="majorBidi"/>
        </w:rPr>
        <w:t xml:space="preserve"> </w:t>
      </w:r>
      <w:r w:rsidR="00827952" w:rsidRPr="00827952">
        <w:rPr>
          <w:rFonts w:asciiTheme="majorBidi" w:hAnsiTheme="majorBidi" w:cstheme="majorBidi"/>
          <w:b/>
          <w:bCs/>
        </w:rPr>
        <w:t>(</w:t>
      </w:r>
      <w:r w:rsidR="003B5151" w:rsidRPr="003B5151">
        <w:rPr>
          <w:rFonts w:asciiTheme="majorBidi" w:hAnsiTheme="majorBidi" w:cstheme="majorBidi"/>
          <w:b/>
          <w:bCs/>
        </w:rPr>
        <w:t>Ringo</w:t>
      </w:r>
      <w:r w:rsidR="003B5151" w:rsidRPr="00827952">
        <w:rPr>
          <w:rFonts w:asciiTheme="majorBidi" w:hAnsiTheme="majorBidi" w:cstheme="majorBidi"/>
          <w:b/>
          <w:bCs/>
        </w:rPr>
        <w:t xml:space="preserve"> </w:t>
      </w:r>
      <w:r w:rsidR="00060AB1">
        <w:rPr>
          <w:rFonts w:asciiTheme="majorBidi" w:hAnsiTheme="majorBidi" w:cstheme="majorBidi"/>
          <w:b/>
          <w:bCs/>
        </w:rPr>
        <w:t>et al., 2022;</w:t>
      </w:r>
      <w:r w:rsidR="003B5151">
        <w:rPr>
          <w:rFonts w:asciiTheme="majorBidi" w:hAnsiTheme="majorBidi" w:cstheme="majorBidi"/>
          <w:b/>
          <w:bCs/>
        </w:rPr>
        <w:t xml:space="preserve"> </w:t>
      </w:r>
      <w:r w:rsidR="00827952" w:rsidRPr="00827952">
        <w:rPr>
          <w:rFonts w:asciiTheme="majorBidi" w:hAnsiTheme="majorBidi" w:cstheme="majorBidi"/>
          <w:b/>
          <w:bCs/>
        </w:rPr>
        <w:t>Dewali at el., 2025)</w:t>
      </w:r>
      <w:r w:rsidRPr="00827952">
        <w:rPr>
          <w:rFonts w:asciiTheme="majorBidi" w:hAnsiTheme="majorBidi" w:cstheme="majorBidi"/>
          <w:b/>
          <w:bCs/>
        </w:rPr>
        <w:t>.</w:t>
      </w:r>
    </w:p>
    <w:p w14:paraId="29D8A472" w14:textId="4AE50132" w:rsidR="0023478A" w:rsidRPr="0023478A" w:rsidRDefault="0023478A" w:rsidP="0023478A">
      <w:pPr>
        <w:spacing w:line="360" w:lineRule="auto"/>
        <w:jc w:val="both"/>
        <w:rPr>
          <w:rFonts w:asciiTheme="majorBidi" w:hAnsiTheme="majorBidi" w:cstheme="majorBidi"/>
        </w:rPr>
      </w:pPr>
      <w:r w:rsidRPr="0023478A">
        <w:rPr>
          <w:rFonts w:asciiTheme="majorBidi" w:hAnsiTheme="majorBidi" w:cstheme="majorBidi"/>
        </w:rPr>
        <w:t>Numerous studies have examined the composition and functions of intestinal microbiota in fish and their role in promoting health and productivity. Fish are a key component of global aquaculture, contributing over 65% to total aquaculture production, and are a critical nutritional and economic resource</w:t>
      </w:r>
      <w:r w:rsidR="008C3D40">
        <w:rPr>
          <w:rFonts w:asciiTheme="majorBidi" w:hAnsiTheme="majorBidi" w:cstheme="majorBidi"/>
        </w:rPr>
        <w:t xml:space="preserve"> </w:t>
      </w:r>
      <w:r w:rsidR="008C3D40" w:rsidRPr="008C3D40">
        <w:rPr>
          <w:rFonts w:asciiTheme="majorBidi" w:hAnsiTheme="majorBidi" w:cstheme="majorBidi"/>
          <w:b/>
          <w:bCs/>
        </w:rPr>
        <w:t>(Tacon et al., 2025</w:t>
      </w:r>
      <w:r w:rsidR="00324046">
        <w:rPr>
          <w:rFonts w:asciiTheme="majorBidi" w:hAnsiTheme="majorBidi" w:cstheme="majorBidi"/>
          <w:b/>
          <w:bCs/>
        </w:rPr>
        <w:t xml:space="preserve">; </w:t>
      </w:r>
      <w:r w:rsidR="00324046" w:rsidRPr="00324046">
        <w:rPr>
          <w:rFonts w:asciiTheme="majorBidi" w:hAnsiTheme="majorBidi" w:cstheme="majorBidi"/>
          <w:b/>
          <w:bCs/>
        </w:rPr>
        <w:t>Bisht et al., 2025</w:t>
      </w:r>
      <w:r w:rsidR="008C3D40" w:rsidRPr="008C3D40">
        <w:rPr>
          <w:rFonts w:asciiTheme="majorBidi" w:hAnsiTheme="majorBidi" w:cstheme="majorBidi"/>
          <w:b/>
          <w:bCs/>
        </w:rPr>
        <w:t>)</w:t>
      </w:r>
      <w:r w:rsidRPr="008C3D40">
        <w:rPr>
          <w:rFonts w:asciiTheme="majorBidi" w:hAnsiTheme="majorBidi" w:cstheme="majorBidi"/>
          <w:b/>
          <w:bCs/>
        </w:rPr>
        <w:t>.</w:t>
      </w:r>
      <w:r w:rsidRPr="0023478A">
        <w:rPr>
          <w:rFonts w:asciiTheme="majorBidi" w:hAnsiTheme="majorBidi" w:cstheme="majorBidi"/>
        </w:rPr>
        <w:t xml:space="preserve"> However, most research tends to focus on bacteria, yeasts, and viruses individually, without integrating their potential synergistic effects.</w:t>
      </w:r>
    </w:p>
    <w:p w14:paraId="77297743" w14:textId="1073D9C5" w:rsidR="0023478A" w:rsidRPr="0023478A" w:rsidRDefault="0023478A" w:rsidP="0023478A">
      <w:pPr>
        <w:spacing w:line="360" w:lineRule="auto"/>
        <w:jc w:val="both"/>
        <w:rPr>
          <w:rFonts w:asciiTheme="majorBidi" w:hAnsiTheme="majorBidi" w:cstheme="majorBidi"/>
        </w:rPr>
      </w:pPr>
      <w:r w:rsidRPr="0023478A">
        <w:rPr>
          <w:rFonts w:asciiTheme="majorBidi" w:hAnsiTheme="majorBidi" w:cstheme="majorBidi"/>
        </w:rPr>
        <w:t xml:space="preserve">This work aims to underscore the importance of a comprehensive and integrative understanding of the use of </w:t>
      </w:r>
      <w:r>
        <w:rPr>
          <w:rFonts w:asciiTheme="majorBidi" w:hAnsiTheme="majorBidi" w:cstheme="majorBidi"/>
        </w:rPr>
        <w:t xml:space="preserve">Probiotic </w:t>
      </w:r>
      <w:r w:rsidRPr="0023478A">
        <w:rPr>
          <w:rFonts w:asciiTheme="majorBidi" w:hAnsiTheme="majorBidi" w:cstheme="majorBidi"/>
        </w:rPr>
        <w:t>bacteria in fish</w:t>
      </w:r>
      <w:r w:rsidR="00916EC9">
        <w:rPr>
          <w:rFonts w:asciiTheme="majorBidi" w:hAnsiTheme="majorBidi" w:cstheme="majorBidi"/>
        </w:rPr>
        <w:t xml:space="preserve"> </w:t>
      </w:r>
      <w:r w:rsidR="00916EC9" w:rsidRPr="00916EC9">
        <w:rPr>
          <w:rFonts w:asciiTheme="majorBidi" w:hAnsiTheme="majorBidi" w:cstheme="majorBidi"/>
        </w:rPr>
        <w:t>(</w:t>
      </w:r>
      <w:r w:rsidR="00916EC9" w:rsidRPr="00916EC9">
        <w:rPr>
          <w:rFonts w:asciiTheme="majorBidi" w:hAnsiTheme="majorBidi" w:cstheme="majorBidi"/>
          <w:i/>
          <w:iCs/>
        </w:rPr>
        <w:t>Cyprinus carpio</w:t>
      </w:r>
      <w:r w:rsidR="00916EC9" w:rsidRPr="00916EC9">
        <w:rPr>
          <w:rFonts w:asciiTheme="majorBidi" w:hAnsiTheme="majorBidi" w:cstheme="majorBidi"/>
        </w:rPr>
        <w:t>)</w:t>
      </w:r>
      <w:r w:rsidRPr="0023478A">
        <w:rPr>
          <w:rFonts w:asciiTheme="majorBidi" w:hAnsiTheme="majorBidi" w:cstheme="majorBidi"/>
        </w:rPr>
        <w:t xml:space="preserve"> diets as a sustainable alternative to current practices. These </w:t>
      </w:r>
      <w:r w:rsidR="00A861EF">
        <w:rPr>
          <w:rFonts w:asciiTheme="majorBidi" w:hAnsiTheme="majorBidi" w:cstheme="majorBidi"/>
        </w:rPr>
        <w:t>bacteria</w:t>
      </w:r>
      <w:r w:rsidRPr="0023478A">
        <w:rPr>
          <w:rFonts w:asciiTheme="majorBidi" w:hAnsiTheme="majorBidi" w:cstheme="majorBidi"/>
        </w:rPr>
        <w:t xml:space="preserve"> can be sourced from various environments, including fermented terrestrial foods, soil, aquatic sediments, water, different host species or taxa, and even from the same species of fish. Their application represents a promising strategy to enhance cultivation conditions and reduce reliance on antibiotics.</w:t>
      </w:r>
    </w:p>
    <w:p w14:paraId="56BF247E" w14:textId="5819CFE0" w:rsidR="00D4177C" w:rsidRPr="00D4177C" w:rsidRDefault="00D4177C" w:rsidP="00D4177C">
      <w:pPr>
        <w:spacing w:line="360" w:lineRule="auto"/>
        <w:jc w:val="both"/>
        <w:rPr>
          <w:rFonts w:asciiTheme="majorBidi" w:hAnsiTheme="majorBidi" w:cstheme="majorBidi"/>
          <w:b/>
          <w:bCs/>
        </w:rPr>
      </w:pPr>
      <w:r w:rsidRPr="00D4177C">
        <w:rPr>
          <w:rFonts w:asciiTheme="majorBidi" w:hAnsiTheme="majorBidi" w:cstheme="majorBidi"/>
          <w:b/>
          <w:bCs/>
        </w:rPr>
        <w:lastRenderedPageBreak/>
        <w:t xml:space="preserve">Materials </w:t>
      </w:r>
      <w:r>
        <w:rPr>
          <w:rFonts w:asciiTheme="majorBidi" w:hAnsiTheme="majorBidi" w:cstheme="majorBidi"/>
          <w:b/>
          <w:bCs/>
        </w:rPr>
        <w:t>a</w:t>
      </w:r>
      <w:r w:rsidRPr="00D4177C">
        <w:rPr>
          <w:rFonts w:asciiTheme="majorBidi" w:hAnsiTheme="majorBidi" w:cstheme="majorBidi"/>
          <w:b/>
          <w:bCs/>
        </w:rPr>
        <w:t>nd Methods</w:t>
      </w:r>
    </w:p>
    <w:p w14:paraId="52DA8747" w14:textId="21A4DADC" w:rsidR="00780C41" w:rsidRPr="00780C41" w:rsidRDefault="00780C41" w:rsidP="00522C0B">
      <w:pPr>
        <w:spacing w:line="360" w:lineRule="auto"/>
        <w:jc w:val="both"/>
        <w:rPr>
          <w:rFonts w:asciiTheme="majorBidi" w:hAnsiTheme="majorBidi" w:cstheme="majorBidi"/>
        </w:rPr>
      </w:pPr>
      <w:r w:rsidRPr="00780C41">
        <w:rPr>
          <w:rFonts w:asciiTheme="majorBidi" w:hAnsiTheme="majorBidi" w:cstheme="majorBidi"/>
        </w:rPr>
        <w:t xml:space="preserve">The present study was conducted in 2024 at the Department of Zoology, DSB Campus, Nainital, Uttarakhand, India, to evaluate the impact of probiotics on water quality parameters in </w:t>
      </w:r>
      <w:r w:rsidRPr="00780C41">
        <w:rPr>
          <w:rFonts w:asciiTheme="majorBidi" w:hAnsiTheme="majorBidi" w:cstheme="majorBidi"/>
          <w:i/>
          <w:iCs/>
        </w:rPr>
        <w:t>Cyprinus carpio</w:t>
      </w:r>
      <w:r w:rsidRPr="00780C41">
        <w:rPr>
          <w:rFonts w:asciiTheme="majorBidi" w:hAnsiTheme="majorBidi" w:cstheme="majorBidi"/>
        </w:rPr>
        <w:t xml:space="preserve"> culture ponds. Two ponds were selected</w:t>
      </w:r>
      <w:r>
        <w:rPr>
          <w:rFonts w:asciiTheme="majorBidi" w:hAnsiTheme="majorBidi" w:cstheme="majorBidi"/>
        </w:rPr>
        <w:t xml:space="preserve"> </w:t>
      </w:r>
      <w:r w:rsidRPr="00780C41">
        <w:rPr>
          <w:rFonts w:asciiTheme="majorBidi" w:hAnsiTheme="majorBidi" w:cstheme="majorBidi"/>
        </w:rPr>
        <w:t xml:space="preserve">one served as a control pond without probiotic treatment, while the other was designated as an experimental pond where a commercially available probiotic formulation </w:t>
      </w:r>
      <w:r w:rsidR="00D12533">
        <w:rPr>
          <w:rFonts w:asciiTheme="majorBidi" w:hAnsiTheme="majorBidi" w:cstheme="majorBidi"/>
        </w:rPr>
        <w:t>(</w:t>
      </w:r>
      <w:r w:rsidR="00D6187F">
        <w:rPr>
          <w:rFonts w:asciiTheme="majorBidi" w:hAnsiTheme="majorBidi" w:cstheme="majorBidi"/>
        </w:rPr>
        <w:t xml:space="preserve">Refit </w:t>
      </w:r>
      <w:r w:rsidR="00D12533">
        <w:rPr>
          <w:rFonts w:asciiTheme="majorBidi" w:hAnsiTheme="majorBidi" w:cstheme="majorBidi"/>
        </w:rPr>
        <w:t>Aqua Prob+)</w:t>
      </w:r>
      <w:r w:rsidR="00927D30">
        <w:rPr>
          <w:rFonts w:asciiTheme="majorBidi" w:hAnsiTheme="majorBidi" w:cstheme="majorBidi"/>
        </w:rPr>
        <w:t xml:space="preserve"> </w:t>
      </w:r>
      <w:r w:rsidRPr="00780C41">
        <w:rPr>
          <w:rFonts w:asciiTheme="majorBidi" w:hAnsiTheme="majorBidi" w:cstheme="majorBidi"/>
        </w:rPr>
        <w:t xml:space="preserve">was applied. </w:t>
      </w:r>
      <w:r w:rsidRPr="00780C41">
        <w:rPr>
          <w:rFonts w:asciiTheme="majorBidi" w:hAnsiTheme="majorBidi" w:cstheme="majorBidi"/>
          <w:i/>
          <w:iCs/>
        </w:rPr>
        <w:t>Cyprinus carpio</w:t>
      </w:r>
      <w:r w:rsidRPr="00780C41">
        <w:rPr>
          <w:rFonts w:asciiTheme="majorBidi" w:hAnsiTheme="majorBidi" w:cstheme="majorBidi"/>
        </w:rPr>
        <w:t xml:space="preserve"> was chosen for this study due to its economic significance in freshwater aquaculture and its sensitivity to environmental fluctuations. The culture period lasted six months, during which water quality parameters were regularly monitored.</w:t>
      </w:r>
      <w:r w:rsidR="00522C0B">
        <w:rPr>
          <w:rFonts w:asciiTheme="majorBidi" w:hAnsiTheme="majorBidi" w:cstheme="majorBidi"/>
        </w:rPr>
        <w:t xml:space="preserve"> </w:t>
      </w:r>
      <w:r w:rsidRPr="00780C41">
        <w:rPr>
          <w:rFonts w:asciiTheme="majorBidi" w:hAnsiTheme="majorBidi" w:cstheme="majorBidi"/>
        </w:rPr>
        <w:t xml:space="preserve">Water samples were collected monthly from both ponds at four predetermined locations to ensure representative measurements. The parameters analyzed included temperature, pH, salinity, dissolved oxygen (DO), alkalinity, hardness and </w:t>
      </w:r>
      <w:r w:rsidR="004B2EAF" w:rsidRPr="00780C41">
        <w:rPr>
          <w:rFonts w:asciiTheme="majorBidi" w:hAnsiTheme="majorBidi" w:cstheme="majorBidi"/>
        </w:rPr>
        <w:t>ammonia</w:t>
      </w:r>
      <w:r w:rsidR="004B2EAF">
        <w:rPr>
          <w:rFonts w:asciiTheme="majorBidi" w:hAnsiTheme="majorBidi" w:cstheme="majorBidi"/>
        </w:rPr>
        <w:t xml:space="preserve">. </w:t>
      </w:r>
      <w:r w:rsidR="004B2EAF" w:rsidRPr="00780C41">
        <w:rPr>
          <w:rFonts w:asciiTheme="majorBidi" w:hAnsiTheme="majorBidi" w:cstheme="majorBidi"/>
        </w:rPr>
        <w:t xml:space="preserve"> </w:t>
      </w:r>
      <w:r w:rsidRPr="00780C41">
        <w:rPr>
          <w:rFonts w:asciiTheme="majorBidi" w:hAnsiTheme="majorBidi" w:cstheme="majorBidi"/>
        </w:rPr>
        <w:t>Temperature was recorded on-site using a mercury thermometer with an accuracy of 0.1°C, as temperature fluctuations influence fish metabolism, microbial activity, and dissolved oxygen levels. The pH of the water was measured using a digital pH meter to determine its acidity or alkalinity, which plays a crucial role in nutrient availability and fish health. Salinity was assessed using a hand-held refractometer since variations in salinity can impact fish osmoregulation and microbial community composition. DO, total ammonia, alkalinity, and hardness were analyzed in the laboratory following standard procedures recommended by the American Public Health Association (APHA) to ensure accuracy and reliability.</w:t>
      </w:r>
    </w:p>
    <w:p w14:paraId="2484A089" w14:textId="5C41801F" w:rsidR="00780C41" w:rsidRDefault="00780C41" w:rsidP="00780C41">
      <w:pPr>
        <w:spacing w:line="360" w:lineRule="auto"/>
        <w:jc w:val="both"/>
        <w:rPr>
          <w:rFonts w:asciiTheme="majorBidi" w:hAnsiTheme="majorBidi" w:cstheme="majorBidi"/>
        </w:rPr>
      </w:pPr>
      <w:r w:rsidRPr="00780C41">
        <w:rPr>
          <w:rFonts w:asciiTheme="majorBidi" w:hAnsiTheme="majorBidi" w:cstheme="majorBidi"/>
        </w:rPr>
        <w:t>Pond water levels were maintained between 1.0 and 1.2 meters, and continuous aeration was provided throughout the study period. In the control pond, no probiotics were applied, and a 10–20% water exchange was carried out every 15 days for the first 90 days, followed by a 70% water exchange weekly until harvest to maintain water quality. In contrast, the experimental pond was treated with probiotics at the recommended dosage, and only 5–10% water exchange was performed, as probiotics were expected to enhance microbial balance, improve nutrient cycling, and reduce ammonia accumulation, thereby minimizing the need for frequent water exchange. Probiotics were used based on their well-documented benefits in aquaculture, including their ability to promote beneficial microbial communities, suppress pathogenic bacteria, enhance water quality and support fish health. Ethical guidelines for aquaculture research were strictly followed throughout the study to ensure the well-being of the cultured fish.</w:t>
      </w:r>
    </w:p>
    <w:p w14:paraId="77BCE94A" w14:textId="77777777" w:rsidR="00CF799C" w:rsidRDefault="00D036D3" w:rsidP="00CF799C">
      <w:pPr>
        <w:spacing w:line="360" w:lineRule="auto"/>
        <w:jc w:val="both"/>
        <w:rPr>
          <w:rFonts w:asciiTheme="majorBidi" w:hAnsiTheme="majorBidi" w:cstheme="majorBidi"/>
        </w:rPr>
      </w:pPr>
      <w:r w:rsidRPr="00D036D3">
        <w:rPr>
          <w:rFonts w:asciiTheme="majorBidi" w:hAnsiTheme="majorBidi" w:cstheme="majorBidi"/>
        </w:rPr>
        <w:lastRenderedPageBreak/>
        <w:t xml:space="preserve">Growth Performance Every week, five fish were selected randomly from each group and sedated using MS222 at 20 </w:t>
      </w:r>
      <w:proofErr w:type="spellStart"/>
      <w:r w:rsidRPr="00D036D3">
        <w:rPr>
          <w:rFonts w:asciiTheme="majorBidi" w:hAnsiTheme="majorBidi" w:cstheme="majorBidi"/>
        </w:rPr>
        <w:t>mgL</w:t>
      </w:r>
      <w:proofErr w:type="spellEnd"/>
      <w:r w:rsidRPr="00D036D3">
        <w:rPr>
          <w:rFonts w:asciiTheme="majorBidi" w:hAnsiTheme="majorBidi" w:cstheme="majorBidi"/>
        </w:rPr>
        <w:t xml:space="preserve"> 1 buffered with two parts sodium bicarbonate prepared in a 4 L aquarium. Once the fingerling was slightly sedated, each fish was brought out to measure its weight (g) using a laboratory scale. Once measured, each fish was transferred into a clean freshwater tank with aeration provided to recover and moved back into its respective group. The growth performance of the tilapia fingerlings was calculated using the following equations.</w:t>
      </w:r>
    </w:p>
    <w:p w14:paraId="129616DF" w14:textId="20E4772E" w:rsidR="007026C2" w:rsidRPr="00CF799C" w:rsidRDefault="00745C0A" w:rsidP="00B76F57">
      <w:pPr>
        <w:spacing w:line="360" w:lineRule="auto"/>
        <w:jc w:val="center"/>
        <w:rPr>
          <w:rFonts w:asciiTheme="majorBidi" w:hAnsiTheme="majorBidi" w:cstheme="majorBidi"/>
        </w:rPr>
      </w:pPr>
      <m:oMathPara>
        <m:oMath>
          <m:r>
            <m:rPr>
              <m:sty m:val="p"/>
            </m:rPr>
            <w:rPr>
              <w:rFonts w:ascii="Cambria Math" w:hAnsi="Cambria Math" w:cstheme="majorBidi"/>
            </w:rPr>
            <m:t xml:space="preserve">weight Gain </m:t>
          </m:r>
          <m:d>
            <m:dPr>
              <m:ctrlPr>
                <w:rPr>
                  <w:rFonts w:ascii="Cambria Math" w:hAnsi="Cambria Math" w:cstheme="majorBidi"/>
                  <w:iCs/>
                </w:rPr>
              </m:ctrlPr>
            </m:dPr>
            <m:e>
              <m:r>
                <m:rPr>
                  <m:sty m:val="p"/>
                </m:rPr>
                <w:rPr>
                  <w:rFonts w:ascii="Cambria Math" w:hAnsi="Cambria Math" w:cstheme="majorBidi"/>
                </w:rPr>
                <m:t>%</m:t>
              </m:r>
            </m:e>
          </m:d>
          <m:r>
            <m:rPr>
              <m:sty m:val="p"/>
            </m:rPr>
            <w:rPr>
              <w:rFonts w:ascii="Cambria Math" w:hAnsi="Cambria Math" w:cstheme="majorBidi"/>
            </w:rPr>
            <m:t>=</m:t>
          </m:r>
          <m:f>
            <m:fPr>
              <m:ctrlPr>
                <w:rPr>
                  <w:rFonts w:ascii="Cambria Math" w:hAnsi="Cambria Math" w:cstheme="majorBidi"/>
                  <w:iCs/>
                </w:rPr>
              </m:ctrlPr>
            </m:fPr>
            <m:num>
              <m:r>
                <m:rPr>
                  <m:sty m:val="p"/>
                </m:rPr>
                <w:rPr>
                  <w:rFonts w:ascii="Cambria Math" w:hAnsi="Cambria Math" w:cstheme="majorBidi"/>
                </w:rPr>
                <m:t>Mean final Weight-Mean initial Weight</m:t>
              </m:r>
            </m:num>
            <m:den>
              <m:r>
                <m:rPr>
                  <m:sty m:val="p"/>
                </m:rPr>
                <w:rPr>
                  <w:rFonts w:ascii="Cambria Math" w:hAnsi="Cambria Math" w:cstheme="majorBidi"/>
                </w:rPr>
                <m:t>Mean final Weight</m:t>
              </m:r>
            </m:den>
          </m:f>
          <m:r>
            <m:rPr>
              <m:sty m:val="p"/>
            </m:rPr>
            <w:rPr>
              <w:rFonts w:ascii="Cambria Math" w:hAnsi="Cambria Math" w:cstheme="majorBidi"/>
            </w:rPr>
            <m:t>×100</m:t>
          </m:r>
        </m:oMath>
      </m:oMathPara>
    </w:p>
    <w:p w14:paraId="08870BCB" w14:textId="2F13BE47" w:rsidR="00730EC5" w:rsidRPr="00745C0A" w:rsidRDefault="00730EC5" w:rsidP="00B76F57">
      <w:pPr>
        <w:spacing w:line="360" w:lineRule="auto"/>
        <w:jc w:val="center"/>
        <w:rPr>
          <w:rFonts w:asciiTheme="majorBidi" w:hAnsiTheme="majorBidi" w:cstheme="majorBidi"/>
          <w:iCs/>
        </w:rPr>
      </w:pPr>
      <m:oMathPara>
        <m:oMath>
          <m:r>
            <m:rPr>
              <m:sty m:val="p"/>
            </m:rPr>
            <w:rPr>
              <w:rFonts w:ascii="Cambria Math" w:hAnsi="Cambria Math" w:cstheme="majorBidi"/>
            </w:rPr>
            <m:t>Specific Growth Rate</m:t>
          </m:r>
          <m:d>
            <m:dPr>
              <m:ctrlPr>
                <w:rPr>
                  <w:rFonts w:ascii="Cambria Math" w:hAnsi="Cambria Math" w:cstheme="majorBidi"/>
                  <w:iCs/>
                </w:rPr>
              </m:ctrlPr>
            </m:dPr>
            <m:e>
              <m:r>
                <m:rPr>
                  <m:sty m:val="p"/>
                </m:rPr>
                <w:rPr>
                  <w:rFonts w:ascii="Cambria Math" w:hAnsi="Cambria Math" w:cstheme="majorBidi"/>
                </w:rPr>
                <m:t>%</m:t>
              </m:r>
            </m:e>
          </m:d>
          <m:r>
            <m:rPr>
              <m:sty m:val="p"/>
            </m:rPr>
            <w:rPr>
              <w:rFonts w:ascii="Cambria Math" w:hAnsi="Cambria Math" w:cstheme="majorBidi"/>
            </w:rPr>
            <m:t>=</m:t>
          </m:r>
          <m:f>
            <m:fPr>
              <m:ctrlPr>
                <w:rPr>
                  <w:rFonts w:ascii="Cambria Math" w:hAnsi="Cambria Math" w:cstheme="majorBidi"/>
                  <w:iCs/>
                </w:rPr>
              </m:ctrlPr>
            </m:fPr>
            <m:num>
              <m:r>
                <m:rPr>
                  <m:sty m:val="p"/>
                </m:rPr>
                <w:rPr>
                  <w:rFonts w:ascii="Cambria Math" w:hAnsi="Cambria Math" w:cstheme="majorBidi"/>
                </w:rPr>
                <m:t>Mean final Weight-Mean initial Weight</m:t>
              </m:r>
            </m:num>
            <m:den>
              <m:r>
                <m:rPr>
                  <m:sty m:val="p"/>
                </m:rPr>
                <w:rPr>
                  <w:rFonts w:ascii="Cambria Math" w:hAnsi="Cambria Math" w:cstheme="majorBidi"/>
                </w:rPr>
                <m:t>Number of cultured Days</m:t>
              </m:r>
            </m:den>
          </m:f>
          <m:r>
            <m:rPr>
              <m:sty m:val="p"/>
            </m:rPr>
            <w:rPr>
              <w:rFonts w:ascii="Cambria Math" w:hAnsi="Cambria Math" w:cstheme="majorBidi"/>
            </w:rPr>
            <m:t>×100</m:t>
          </m:r>
        </m:oMath>
      </m:oMathPara>
    </w:p>
    <w:p w14:paraId="36DBB28B" w14:textId="77777777" w:rsidR="00370252" w:rsidRDefault="00263357" w:rsidP="00370252">
      <w:pPr>
        <w:spacing w:line="360" w:lineRule="auto"/>
        <w:ind w:left="720"/>
        <w:jc w:val="center"/>
        <w:rPr>
          <w:rFonts w:asciiTheme="majorBidi" w:hAnsiTheme="majorBidi" w:cstheme="majorBidi"/>
        </w:rPr>
      </w:pPr>
      <w:r w:rsidRPr="00263357">
        <w:rPr>
          <w:rFonts w:asciiTheme="majorBidi" w:hAnsiTheme="majorBidi" w:cstheme="majorBidi"/>
        </w:rPr>
        <w:t>Total Feed Intake (g)</w:t>
      </w:r>
      <w:r w:rsidR="000D4A51" w:rsidRPr="00332B54">
        <w:rPr>
          <w:rFonts w:asciiTheme="majorBidi" w:hAnsiTheme="majorBidi" w:cstheme="majorBidi"/>
        </w:rPr>
        <w:t xml:space="preserve"> </w:t>
      </w:r>
      <w:r w:rsidRPr="00263357">
        <w:rPr>
          <w:rFonts w:asciiTheme="majorBidi" w:hAnsiTheme="majorBidi" w:cstheme="majorBidi"/>
        </w:rPr>
        <w:t>=Total</w:t>
      </w:r>
      <w:r w:rsidR="00122543" w:rsidRPr="00332B54">
        <w:rPr>
          <w:rFonts w:asciiTheme="majorBidi" w:hAnsiTheme="majorBidi" w:cstheme="majorBidi"/>
        </w:rPr>
        <w:t xml:space="preserve"> amount of </w:t>
      </w:r>
      <w:r w:rsidR="009D4F60" w:rsidRPr="00332B54">
        <w:rPr>
          <w:rFonts w:asciiTheme="majorBidi" w:hAnsiTheme="majorBidi" w:cstheme="majorBidi"/>
        </w:rPr>
        <w:t xml:space="preserve">consumed </w:t>
      </w:r>
      <w:r w:rsidR="009D4F60" w:rsidRPr="00263357">
        <w:rPr>
          <w:rFonts w:asciiTheme="majorBidi" w:hAnsiTheme="majorBidi" w:cstheme="majorBidi"/>
        </w:rPr>
        <w:t>Food</w:t>
      </w:r>
      <w:r w:rsidR="00122543" w:rsidRPr="00332B54">
        <w:rPr>
          <w:rFonts w:asciiTheme="majorBidi" w:hAnsiTheme="majorBidi" w:cstheme="majorBidi"/>
        </w:rPr>
        <w:t xml:space="preserve"> </w:t>
      </w:r>
      <w:r w:rsidRPr="00263357">
        <w:rPr>
          <w:rFonts w:asciiTheme="majorBidi" w:hAnsiTheme="majorBidi" w:cstheme="majorBidi"/>
        </w:rPr>
        <w:t>in</w:t>
      </w:r>
      <w:r w:rsidR="00336D19" w:rsidRPr="00332B54">
        <w:rPr>
          <w:rFonts w:asciiTheme="majorBidi" w:hAnsiTheme="majorBidi" w:cstheme="majorBidi"/>
        </w:rPr>
        <w:t xml:space="preserve"> each </w:t>
      </w:r>
      <w:r w:rsidR="009D4F60" w:rsidRPr="00332B54">
        <w:rPr>
          <w:rFonts w:asciiTheme="majorBidi" w:hAnsiTheme="majorBidi" w:cstheme="majorBidi"/>
        </w:rPr>
        <w:t>group</w:t>
      </w:r>
      <w:r w:rsidRPr="00263357">
        <w:rPr>
          <w:rFonts w:asciiTheme="majorBidi" w:hAnsiTheme="majorBidi" w:cstheme="majorBidi"/>
        </w:rPr>
        <w:t> </w:t>
      </w:r>
      <w:r w:rsidR="000D4A51" w:rsidRPr="00332B54">
        <w:rPr>
          <w:rFonts w:asciiTheme="majorBidi" w:hAnsiTheme="majorBidi" w:cstheme="majorBidi"/>
        </w:rPr>
        <w:t xml:space="preserve">within </w:t>
      </w:r>
      <w:r w:rsidR="00332B54" w:rsidRPr="00332B54">
        <w:rPr>
          <w:rFonts w:asciiTheme="majorBidi" w:hAnsiTheme="majorBidi" w:cstheme="majorBidi"/>
        </w:rPr>
        <w:t xml:space="preserve">experimental </w:t>
      </w:r>
      <w:r w:rsidR="00332B54" w:rsidRPr="00263357">
        <w:rPr>
          <w:rFonts w:asciiTheme="majorBidi" w:hAnsiTheme="majorBidi" w:cstheme="majorBidi"/>
        </w:rPr>
        <w:t>Weeks</w:t>
      </w:r>
    </w:p>
    <w:p w14:paraId="46255966" w14:textId="4AA1A8F6" w:rsidR="00263357" w:rsidRPr="00263357" w:rsidRDefault="00332B54" w:rsidP="00370252">
      <w:pPr>
        <w:spacing w:line="360" w:lineRule="auto"/>
        <w:ind w:left="720"/>
        <w:jc w:val="center"/>
        <w:rPr>
          <w:rFonts w:asciiTheme="majorBidi" w:hAnsiTheme="majorBidi" w:cstheme="majorBidi"/>
        </w:rPr>
      </w:pPr>
      <m:oMathPara>
        <m:oMath>
          <m:r>
            <m:rPr>
              <m:sty m:val="p"/>
            </m:rPr>
            <w:rPr>
              <w:rFonts w:ascii="Cambria Math" w:hAnsi="Cambria Math" w:cstheme="majorBidi"/>
            </w:rPr>
            <m:t>Feed Conversion Ratio (FCR) =</m:t>
          </m:r>
          <m:f>
            <m:fPr>
              <m:ctrlPr>
                <w:rPr>
                  <w:rFonts w:ascii="Cambria Math" w:hAnsi="Cambria Math" w:cstheme="majorBidi"/>
                  <w:iCs/>
                </w:rPr>
              </m:ctrlPr>
            </m:fPr>
            <m:num>
              <m:r>
                <m:rPr>
                  <m:sty m:val="p"/>
                </m:rPr>
                <w:rPr>
                  <w:rFonts w:ascii="Cambria Math" w:hAnsi="Cambria Math" w:cstheme="majorBidi"/>
                </w:rPr>
                <m:t>Total food intake(g)</m:t>
              </m:r>
            </m:num>
            <m:den>
              <m:r>
                <m:rPr>
                  <m:sty m:val="p"/>
                </m:rPr>
                <w:rPr>
                  <w:rFonts w:ascii="Cambria Math" w:hAnsi="Cambria Math" w:cstheme="majorBidi"/>
                </w:rPr>
                <m:t>Total  weight gain(g)</m:t>
              </m:r>
            </m:den>
          </m:f>
        </m:oMath>
      </m:oMathPara>
    </w:p>
    <w:p w14:paraId="2EA39C0E" w14:textId="3F6461B3" w:rsidR="00263357" w:rsidRPr="00263357" w:rsidRDefault="00E2103E" w:rsidP="00FF0709">
      <w:pPr>
        <w:spacing w:line="360" w:lineRule="auto"/>
        <w:jc w:val="center"/>
        <w:rPr>
          <w:rFonts w:asciiTheme="majorBidi" w:hAnsiTheme="majorBidi" w:cstheme="majorBidi"/>
        </w:rPr>
      </w:pPr>
      <m:oMathPara>
        <m:oMath>
          <m:r>
            <m:rPr>
              <m:sty m:val="p"/>
            </m:rPr>
            <w:rPr>
              <w:rFonts w:ascii="Cambria Math" w:hAnsi="Cambria Math" w:cstheme="majorBidi"/>
            </w:rPr>
            <m:t>Survival Rate (%)=</m:t>
          </m:r>
          <m:f>
            <m:fPr>
              <m:ctrlPr>
                <w:rPr>
                  <w:rFonts w:ascii="Cambria Math" w:hAnsi="Cambria Math" w:cstheme="majorBidi"/>
                  <w:iCs/>
                </w:rPr>
              </m:ctrlPr>
            </m:fPr>
            <m:num>
              <m:r>
                <m:rPr>
                  <m:sty m:val="p"/>
                </m:rPr>
                <w:rPr>
                  <w:rFonts w:ascii="Cambria Math" w:hAnsi="Cambria Math" w:cstheme="majorBidi"/>
                </w:rPr>
                <m:t>Total numbers of harvested fish</m:t>
              </m:r>
            </m:num>
            <m:den>
              <m:r>
                <m:rPr>
                  <m:sty m:val="p"/>
                </m:rPr>
                <w:rPr>
                  <w:rFonts w:ascii="Cambria Math" w:hAnsi="Cambria Math" w:cstheme="majorBidi"/>
                </w:rPr>
                <m:t>numbers of stocked fish</m:t>
              </m:r>
            </m:den>
          </m:f>
          <m:r>
            <m:rPr>
              <m:sty m:val="p"/>
            </m:rPr>
            <w:rPr>
              <w:rFonts w:ascii="Cambria Math" w:hAnsi="Cambria Math" w:cstheme="majorBidi"/>
            </w:rPr>
            <m:t>×100</m:t>
          </m:r>
        </m:oMath>
      </m:oMathPara>
    </w:p>
    <w:p w14:paraId="0D2B2102" w14:textId="3F5BBDAC" w:rsidR="00367868" w:rsidRDefault="00367868" w:rsidP="00FF0709">
      <w:pPr>
        <w:spacing w:line="360" w:lineRule="auto"/>
        <w:jc w:val="center"/>
        <w:rPr>
          <w:rFonts w:asciiTheme="majorBidi" w:hAnsiTheme="majorBidi" w:cstheme="majorBidi"/>
        </w:rPr>
      </w:pPr>
    </w:p>
    <w:p w14:paraId="5014805E" w14:textId="1A0A0326" w:rsidR="00CD5C6B" w:rsidRDefault="00AE605E" w:rsidP="00706876">
      <w:pPr>
        <w:spacing w:line="360" w:lineRule="auto"/>
        <w:jc w:val="both"/>
        <w:rPr>
          <w:rFonts w:asciiTheme="majorBidi" w:hAnsiTheme="majorBidi" w:cstheme="majorBidi"/>
          <w:b/>
          <w:bCs/>
        </w:rPr>
      </w:pPr>
      <w:r>
        <w:rPr>
          <w:rFonts w:asciiTheme="majorBidi" w:hAnsiTheme="majorBidi" w:cstheme="majorBidi"/>
          <w:b/>
          <w:bCs/>
        </w:rPr>
        <w:t>Result</w:t>
      </w:r>
      <w:r w:rsidR="00706876">
        <w:rPr>
          <w:rFonts w:asciiTheme="majorBidi" w:hAnsiTheme="majorBidi" w:cstheme="majorBidi"/>
          <w:b/>
          <w:bCs/>
        </w:rPr>
        <w:t xml:space="preserve"> and </w:t>
      </w:r>
      <w:r w:rsidR="00AC5786">
        <w:rPr>
          <w:rFonts w:asciiTheme="majorBidi" w:hAnsiTheme="majorBidi" w:cstheme="majorBidi"/>
          <w:b/>
          <w:bCs/>
        </w:rPr>
        <w:t>D</w:t>
      </w:r>
      <w:r w:rsidR="00706876">
        <w:rPr>
          <w:rFonts w:asciiTheme="majorBidi" w:hAnsiTheme="majorBidi" w:cstheme="majorBidi"/>
          <w:b/>
          <w:bCs/>
        </w:rPr>
        <w:t>iscussion</w:t>
      </w:r>
    </w:p>
    <w:p w14:paraId="6C4B10BD" w14:textId="77777777" w:rsidR="00EE1639" w:rsidRPr="000F503C" w:rsidRDefault="00EE1639" w:rsidP="00EE1639">
      <w:pPr>
        <w:spacing w:line="360" w:lineRule="auto"/>
        <w:jc w:val="both"/>
        <w:rPr>
          <w:rFonts w:asciiTheme="majorBidi" w:hAnsiTheme="majorBidi" w:cstheme="majorBidi"/>
        </w:rPr>
      </w:pPr>
      <w:r w:rsidRPr="000F503C">
        <w:rPr>
          <w:rFonts w:asciiTheme="majorBidi" w:hAnsiTheme="majorBidi" w:cstheme="majorBidi"/>
        </w:rPr>
        <w:t>Table</w:t>
      </w:r>
      <w:r>
        <w:rPr>
          <w:rFonts w:asciiTheme="majorBidi" w:hAnsiTheme="majorBidi" w:cstheme="majorBidi"/>
        </w:rPr>
        <w:t xml:space="preserve"> 1: </w:t>
      </w:r>
      <w:r w:rsidRPr="000F503C">
        <w:rPr>
          <w:rFonts w:asciiTheme="majorBidi" w:hAnsiTheme="majorBidi" w:cstheme="majorBidi"/>
        </w:rPr>
        <w:t xml:space="preserve">comparison between the control tank (T1) and the probiotic-treated tank (T2), showing the potential benefits of probiotic supplementation for maintaining water quality parameters that are essential for the optimal growth and health of </w:t>
      </w:r>
      <w:r w:rsidRPr="000F503C">
        <w:rPr>
          <w:rFonts w:asciiTheme="majorBidi" w:hAnsiTheme="majorBidi" w:cstheme="majorBidi"/>
          <w:i/>
          <w:iCs/>
        </w:rPr>
        <w:t>Cyprinus carpio</w:t>
      </w:r>
      <w:r w:rsidRPr="000F503C">
        <w:rPr>
          <w:rFonts w:asciiTheme="majorBidi" w:hAnsiTheme="majorBidi" w:cstheme="majorBidi"/>
        </w:rPr>
        <w:t>.</w:t>
      </w:r>
    </w:p>
    <w:p w14:paraId="05A37EFB" w14:textId="77777777" w:rsidR="00EE1639" w:rsidRDefault="00EE1639" w:rsidP="00706876">
      <w:pPr>
        <w:spacing w:line="360" w:lineRule="auto"/>
        <w:jc w:val="both"/>
        <w:rPr>
          <w:rFonts w:asciiTheme="majorBidi" w:hAnsiTheme="majorBidi" w:cstheme="majorBidi"/>
          <w:b/>
          <w:bCs/>
        </w:rPr>
      </w:pPr>
    </w:p>
    <w:tbl>
      <w:tblPr>
        <w:tblStyle w:val="TableGrid"/>
        <w:tblW w:w="10219" w:type="dxa"/>
        <w:jc w:val="center"/>
        <w:tblLook w:val="04A0" w:firstRow="1" w:lastRow="0" w:firstColumn="1" w:lastColumn="0" w:noHBand="0" w:noVBand="1"/>
      </w:tblPr>
      <w:tblGrid>
        <w:gridCol w:w="1944"/>
        <w:gridCol w:w="528"/>
        <w:gridCol w:w="516"/>
        <w:gridCol w:w="516"/>
        <w:gridCol w:w="516"/>
        <w:gridCol w:w="516"/>
        <w:gridCol w:w="516"/>
        <w:gridCol w:w="516"/>
        <w:gridCol w:w="516"/>
        <w:gridCol w:w="516"/>
        <w:gridCol w:w="516"/>
        <w:gridCol w:w="516"/>
        <w:gridCol w:w="516"/>
        <w:gridCol w:w="516"/>
        <w:gridCol w:w="516"/>
        <w:gridCol w:w="516"/>
        <w:gridCol w:w="516"/>
        <w:gridCol w:w="7"/>
      </w:tblGrid>
      <w:tr w:rsidR="001E1903" w:rsidRPr="00342CA6" w14:paraId="536BE17C" w14:textId="77777777" w:rsidTr="000F503C">
        <w:trPr>
          <w:trHeight w:val="485"/>
          <w:jc w:val="center"/>
        </w:trPr>
        <w:tc>
          <w:tcPr>
            <w:tcW w:w="2149" w:type="dxa"/>
          </w:tcPr>
          <w:p w14:paraId="18534E60" w14:textId="02179BDF" w:rsidR="001F054D" w:rsidRPr="00342CA6" w:rsidRDefault="001F054D" w:rsidP="008F5744">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Physical parameters</w:t>
            </w:r>
          </w:p>
        </w:tc>
        <w:tc>
          <w:tcPr>
            <w:tcW w:w="1039" w:type="dxa"/>
            <w:gridSpan w:val="2"/>
          </w:tcPr>
          <w:p w14:paraId="6F8D4312" w14:textId="6310F1CF" w:rsidR="001F054D" w:rsidRPr="00342CA6" w:rsidRDefault="001F054D" w:rsidP="00BE2BB2">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May</w:t>
            </w:r>
          </w:p>
        </w:tc>
        <w:tc>
          <w:tcPr>
            <w:tcW w:w="1003" w:type="dxa"/>
            <w:gridSpan w:val="2"/>
          </w:tcPr>
          <w:p w14:paraId="476F4801" w14:textId="1C197D0D" w:rsidR="001F054D" w:rsidRPr="00342CA6" w:rsidRDefault="001F054D" w:rsidP="00BE2BB2">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June</w:t>
            </w:r>
          </w:p>
        </w:tc>
        <w:tc>
          <w:tcPr>
            <w:tcW w:w="1003" w:type="dxa"/>
            <w:gridSpan w:val="2"/>
          </w:tcPr>
          <w:p w14:paraId="47D9EBD9" w14:textId="18DF0FF3" w:rsidR="001F054D" w:rsidRPr="00342CA6" w:rsidRDefault="001F054D" w:rsidP="00BE2BB2">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July</w:t>
            </w:r>
          </w:p>
        </w:tc>
        <w:tc>
          <w:tcPr>
            <w:tcW w:w="1003" w:type="dxa"/>
            <w:gridSpan w:val="2"/>
          </w:tcPr>
          <w:p w14:paraId="0CD7ADFE" w14:textId="4073A7E8" w:rsidR="001F054D" w:rsidRPr="00342CA6" w:rsidRDefault="001F054D" w:rsidP="00BE2BB2">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Aug</w:t>
            </w:r>
          </w:p>
        </w:tc>
        <w:tc>
          <w:tcPr>
            <w:tcW w:w="1005" w:type="dxa"/>
            <w:gridSpan w:val="2"/>
          </w:tcPr>
          <w:p w14:paraId="0E39AFBD" w14:textId="2FFD45D3" w:rsidR="001F054D" w:rsidRPr="00342CA6" w:rsidRDefault="001F054D" w:rsidP="00BE2BB2">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Sep</w:t>
            </w:r>
          </w:p>
        </w:tc>
        <w:tc>
          <w:tcPr>
            <w:tcW w:w="1004" w:type="dxa"/>
            <w:gridSpan w:val="2"/>
          </w:tcPr>
          <w:p w14:paraId="56179936" w14:textId="226C81A0" w:rsidR="001F054D" w:rsidRPr="00342CA6" w:rsidRDefault="001F054D" w:rsidP="00BE2BB2">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Oct</w:t>
            </w:r>
          </w:p>
        </w:tc>
        <w:tc>
          <w:tcPr>
            <w:tcW w:w="1003" w:type="dxa"/>
            <w:gridSpan w:val="2"/>
          </w:tcPr>
          <w:p w14:paraId="625D8541" w14:textId="37B5A606" w:rsidR="001F054D" w:rsidRPr="00342CA6" w:rsidRDefault="001F054D" w:rsidP="00BE2BB2">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Nov</w:t>
            </w:r>
          </w:p>
        </w:tc>
        <w:tc>
          <w:tcPr>
            <w:tcW w:w="1010" w:type="dxa"/>
            <w:gridSpan w:val="3"/>
          </w:tcPr>
          <w:p w14:paraId="38CE0A3F" w14:textId="4EAF1849" w:rsidR="001F054D" w:rsidRPr="00342CA6" w:rsidRDefault="001F054D" w:rsidP="00BE2BB2">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Dec</w:t>
            </w:r>
          </w:p>
        </w:tc>
      </w:tr>
      <w:tr w:rsidR="001E1903" w:rsidRPr="00342CA6" w14:paraId="494932A2" w14:textId="5D29D3ED" w:rsidTr="000F503C">
        <w:trPr>
          <w:gridAfter w:val="1"/>
          <w:wAfter w:w="8" w:type="dxa"/>
          <w:trHeight w:val="485"/>
          <w:jc w:val="center"/>
        </w:trPr>
        <w:tc>
          <w:tcPr>
            <w:tcW w:w="2149" w:type="dxa"/>
          </w:tcPr>
          <w:p w14:paraId="6CB640A3" w14:textId="050B6228" w:rsidR="001F054D" w:rsidRPr="00342CA6" w:rsidRDefault="00E1656A" w:rsidP="008F5744">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Tanks</w:t>
            </w:r>
          </w:p>
        </w:tc>
        <w:tc>
          <w:tcPr>
            <w:tcW w:w="535" w:type="dxa"/>
            <w:vAlign w:val="center"/>
          </w:tcPr>
          <w:p w14:paraId="26DAB151" w14:textId="2E4375C6"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T1</w:t>
            </w:r>
          </w:p>
        </w:tc>
        <w:tc>
          <w:tcPr>
            <w:tcW w:w="504" w:type="dxa"/>
            <w:vAlign w:val="center"/>
          </w:tcPr>
          <w:p w14:paraId="56D5CEE2" w14:textId="6D09EAD1"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T2</w:t>
            </w:r>
          </w:p>
        </w:tc>
        <w:tc>
          <w:tcPr>
            <w:tcW w:w="501" w:type="dxa"/>
            <w:vAlign w:val="center"/>
          </w:tcPr>
          <w:p w14:paraId="6C5E9F9A" w14:textId="3082557A"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T1</w:t>
            </w:r>
          </w:p>
        </w:tc>
        <w:tc>
          <w:tcPr>
            <w:tcW w:w="502" w:type="dxa"/>
            <w:vAlign w:val="center"/>
          </w:tcPr>
          <w:p w14:paraId="1BAC1383" w14:textId="1316056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T2</w:t>
            </w:r>
          </w:p>
        </w:tc>
        <w:tc>
          <w:tcPr>
            <w:tcW w:w="501" w:type="dxa"/>
            <w:vAlign w:val="center"/>
          </w:tcPr>
          <w:p w14:paraId="2ED12CE5" w14:textId="4EDA49B0"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T1</w:t>
            </w:r>
          </w:p>
        </w:tc>
        <w:tc>
          <w:tcPr>
            <w:tcW w:w="502" w:type="dxa"/>
            <w:vAlign w:val="center"/>
          </w:tcPr>
          <w:p w14:paraId="012E735A" w14:textId="2749B5C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T2</w:t>
            </w:r>
          </w:p>
        </w:tc>
        <w:tc>
          <w:tcPr>
            <w:tcW w:w="501" w:type="dxa"/>
            <w:vAlign w:val="center"/>
          </w:tcPr>
          <w:p w14:paraId="5F41FE99" w14:textId="51CFB97C"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T1</w:t>
            </w:r>
          </w:p>
        </w:tc>
        <w:tc>
          <w:tcPr>
            <w:tcW w:w="502" w:type="dxa"/>
            <w:vAlign w:val="center"/>
          </w:tcPr>
          <w:p w14:paraId="7D52F306" w14:textId="290B9F3E"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T2</w:t>
            </w:r>
          </w:p>
        </w:tc>
        <w:tc>
          <w:tcPr>
            <w:tcW w:w="502" w:type="dxa"/>
            <w:vAlign w:val="center"/>
          </w:tcPr>
          <w:p w14:paraId="29B41713" w14:textId="6192E712"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T1</w:t>
            </w:r>
          </w:p>
        </w:tc>
        <w:tc>
          <w:tcPr>
            <w:tcW w:w="503" w:type="dxa"/>
            <w:vAlign w:val="center"/>
          </w:tcPr>
          <w:p w14:paraId="3B7A1519" w14:textId="5BB77E0C"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T2</w:t>
            </w:r>
          </w:p>
        </w:tc>
        <w:tc>
          <w:tcPr>
            <w:tcW w:w="501" w:type="dxa"/>
            <w:vAlign w:val="center"/>
          </w:tcPr>
          <w:p w14:paraId="7CE5EB1F" w14:textId="296B6A67"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T1</w:t>
            </w:r>
          </w:p>
        </w:tc>
        <w:tc>
          <w:tcPr>
            <w:tcW w:w="503" w:type="dxa"/>
            <w:vAlign w:val="center"/>
          </w:tcPr>
          <w:p w14:paraId="1AC5FA7D" w14:textId="18DDB54E"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T2</w:t>
            </w:r>
          </w:p>
        </w:tc>
        <w:tc>
          <w:tcPr>
            <w:tcW w:w="501" w:type="dxa"/>
            <w:vAlign w:val="center"/>
          </w:tcPr>
          <w:p w14:paraId="1B79FF72" w14:textId="0C813A8B"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T1</w:t>
            </w:r>
          </w:p>
        </w:tc>
        <w:tc>
          <w:tcPr>
            <w:tcW w:w="502" w:type="dxa"/>
            <w:vAlign w:val="center"/>
          </w:tcPr>
          <w:p w14:paraId="07239A9E" w14:textId="54AFABBB"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T2</w:t>
            </w:r>
          </w:p>
        </w:tc>
        <w:tc>
          <w:tcPr>
            <w:tcW w:w="501" w:type="dxa"/>
            <w:vAlign w:val="center"/>
          </w:tcPr>
          <w:p w14:paraId="32498391" w14:textId="725BF87A"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T1</w:t>
            </w:r>
          </w:p>
        </w:tc>
        <w:tc>
          <w:tcPr>
            <w:tcW w:w="501" w:type="dxa"/>
            <w:vAlign w:val="center"/>
          </w:tcPr>
          <w:p w14:paraId="28B415CC" w14:textId="4D584E77"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T2</w:t>
            </w:r>
          </w:p>
        </w:tc>
      </w:tr>
      <w:tr w:rsidR="001E1903" w:rsidRPr="00342CA6" w14:paraId="576A3320" w14:textId="266F7F72" w:rsidTr="000F503C">
        <w:trPr>
          <w:gridAfter w:val="1"/>
          <w:wAfter w:w="8" w:type="dxa"/>
          <w:trHeight w:val="485"/>
          <w:jc w:val="center"/>
        </w:trPr>
        <w:tc>
          <w:tcPr>
            <w:tcW w:w="2149" w:type="dxa"/>
          </w:tcPr>
          <w:p w14:paraId="18284C57" w14:textId="5EC367CB" w:rsidR="001F054D" w:rsidRPr="00342CA6" w:rsidRDefault="001F054D" w:rsidP="008F5744">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pH</w:t>
            </w:r>
          </w:p>
        </w:tc>
        <w:tc>
          <w:tcPr>
            <w:tcW w:w="535" w:type="dxa"/>
            <w:vAlign w:val="center"/>
          </w:tcPr>
          <w:p w14:paraId="5D057720" w14:textId="3DE8D528"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7.2</w:t>
            </w:r>
          </w:p>
        </w:tc>
        <w:tc>
          <w:tcPr>
            <w:tcW w:w="504" w:type="dxa"/>
            <w:vAlign w:val="center"/>
          </w:tcPr>
          <w:p w14:paraId="708AA191" w14:textId="28462BE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7.4</w:t>
            </w:r>
          </w:p>
        </w:tc>
        <w:tc>
          <w:tcPr>
            <w:tcW w:w="501" w:type="dxa"/>
            <w:vAlign w:val="center"/>
          </w:tcPr>
          <w:p w14:paraId="5BEE7B1C" w14:textId="270E5A77"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7.2</w:t>
            </w:r>
          </w:p>
        </w:tc>
        <w:tc>
          <w:tcPr>
            <w:tcW w:w="502" w:type="dxa"/>
            <w:vAlign w:val="center"/>
          </w:tcPr>
          <w:p w14:paraId="546EA2FE" w14:textId="6CB14724"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7.4</w:t>
            </w:r>
          </w:p>
        </w:tc>
        <w:tc>
          <w:tcPr>
            <w:tcW w:w="501" w:type="dxa"/>
            <w:vAlign w:val="center"/>
          </w:tcPr>
          <w:p w14:paraId="35B7F871" w14:textId="68032DF5"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7.2</w:t>
            </w:r>
          </w:p>
        </w:tc>
        <w:tc>
          <w:tcPr>
            <w:tcW w:w="502" w:type="dxa"/>
            <w:vAlign w:val="center"/>
          </w:tcPr>
          <w:p w14:paraId="4989E923" w14:textId="5D06EFD6"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7.4</w:t>
            </w:r>
          </w:p>
        </w:tc>
        <w:tc>
          <w:tcPr>
            <w:tcW w:w="501" w:type="dxa"/>
            <w:vAlign w:val="center"/>
          </w:tcPr>
          <w:p w14:paraId="1B96F8F8" w14:textId="6E2BCACB"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7.2</w:t>
            </w:r>
          </w:p>
        </w:tc>
        <w:tc>
          <w:tcPr>
            <w:tcW w:w="502" w:type="dxa"/>
            <w:vAlign w:val="center"/>
          </w:tcPr>
          <w:p w14:paraId="0B9D7063" w14:textId="210FB6B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7.4</w:t>
            </w:r>
          </w:p>
        </w:tc>
        <w:tc>
          <w:tcPr>
            <w:tcW w:w="502" w:type="dxa"/>
            <w:vAlign w:val="center"/>
          </w:tcPr>
          <w:p w14:paraId="6DC2DD84" w14:textId="4FC705AB"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7.2</w:t>
            </w:r>
          </w:p>
        </w:tc>
        <w:tc>
          <w:tcPr>
            <w:tcW w:w="503" w:type="dxa"/>
            <w:vAlign w:val="center"/>
          </w:tcPr>
          <w:p w14:paraId="63AB83CF" w14:textId="2131542E"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7.4</w:t>
            </w:r>
          </w:p>
        </w:tc>
        <w:tc>
          <w:tcPr>
            <w:tcW w:w="501" w:type="dxa"/>
            <w:vAlign w:val="center"/>
          </w:tcPr>
          <w:p w14:paraId="67B90251" w14:textId="7C772121"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7.2</w:t>
            </w:r>
          </w:p>
        </w:tc>
        <w:tc>
          <w:tcPr>
            <w:tcW w:w="503" w:type="dxa"/>
            <w:vAlign w:val="center"/>
          </w:tcPr>
          <w:p w14:paraId="5B9E9B56" w14:textId="013EE694"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7.4</w:t>
            </w:r>
          </w:p>
        </w:tc>
        <w:tc>
          <w:tcPr>
            <w:tcW w:w="501" w:type="dxa"/>
            <w:vAlign w:val="center"/>
          </w:tcPr>
          <w:p w14:paraId="3F9AD6E3" w14:textId="65206B58"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7.2</w:t>
            </w:r>
          </w:p>
        </w:tc>
        <w:tc>
          <w:tcPr>
            <w:tcW w:w="502" w:type="dxa"/>
            <w:vAlign w:val="center"/>
          </w:tcPr>
          <w:p w14:paraId="694F6E34" w14:textId="27C2F5EC"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7.4</w:t>
            </w:r>
          </w:p>
        </w:tc>
        <w:tc>
          <w:tcPr>
            <w:tcW w:w="501" w:type="dxa"/>
            <w:vAlign w:val="center"/>
          </w:tcPr>
          <w:p w14:paraId="323286CD" w14:textId="7D6133B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7.2</w:t>
            </w:r>
          </w:p>
        </w:tc>
        <w:tc>
          <w:tcPr>
            <w:tcW w:w="501" w:type="dxa"/>
            <w:vAlign w:val="center"/>
          </w:tcPr>
          <w:p w14:paraId="1E790F1C" w14:textId="1509597C"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7.4</w:t>
            </w:r>
          </w:p>
        </w:tc>
      </w:tr>
      <w:tr w:rsidR="001E1903" w:rsidRPr="00342CA6" w14:paraId="5A12BA51" w14:textId="05331289" w:rsidTr="000F503C">
        <w:trPr>
          <w:gridAfter w:val="1"/>
          <w:wAfter w:w="8" w:type="dxa"/>
          <w:trHeight w:val="485"/>
          <w:jc w:val="center"/>
        </w:trPr>
        <w:tc>
          <w:tcPr>
            <w:tcW w:w="2149" w:type="dxa"/>
          </w:tcPr>
          <w:p w14:paraId="2038257F" w14:textId="0971AFEB" w:rsidR="001F054D" w:rsidRPr="00342CA6" w:rsidRDefault="001F054D" w:rsidP="008F5744">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Turbidity (NTU)</w:t>
            </w:r>
          </w:p>
        </w:tc>
        <w:tc>
          <w:tcPr>
            <w:tcW w:w="535" w:type="dxa"/>
            <w:vAlign w:val="center"/>
          </w:tcPr>
          <w:p w14:paraId="25034EEE" w14:textId="72E19D1D"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15</w:t>
            </w:r>
          </w:p>
        </w:tc>
        <w:tc>
          <w:tcPr>
            <w:tcW w:w="504" w:type="dxa"/>
            <w:vAlign w:val="center"/>
          </w:tcPr>
          <w:p w14:paraId="606F8BBA" w14:textId="54554D6E"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15</w:t>
            </w:r>
          </w:p>
        </w:tc>
        <w:tc>
          <w:tcPr>
            <w:tcW w:w="501" w:type="dxa"/>
            <w:vAlign w:val="center"/>
          </w:tcPr>
          <w:p w14:paraId="2FFDE466" w14:textId="67886461"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15</w:t>
            </w:r>
          </w:p>
        </w:tc>
        <w:tc>
          <w:tcPr>
            <w:tcW w:w="502" w:type="dxa"/>
            <w:vAlign w:val="center"/>
          </w:tcPr>
          <w:p w14:paraId="646EFB78" w14:textId="767FBAE5"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20</w:t>
            </w:r>
          </w:p>
        </w:tc>
        <w:tc>
          <w:tcPr>
            <w:tcW w:w="501" w:type="dxa"/>
            <w:vAlign w:val="center"/>
          </w:tcPr>
          <w:p w14:paraId="0AF7D97B" w14:textId="1D31E558"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20</w:t>
            </w:r>
          </w:p>
        </w:tc>
        <w:tc>
          <w:tcPr>
            <w:tcW w:w="502" w:type="dxa"/>
            <w:vAlign w:val="center"/>
          </w:tcPr>
          <w:p w14:paraId="316DC16B" w14:textId="1E382814"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20</w:t>
            </w:r>
          </w:p>
        </w:tc>
        <w:tc>
          <w:tcPr>
            <w:tcW w:w="501" w:type="dxa"/>
            <w:vAlign w:val="center"/>
          </w:tcPr>
          <w:p w14:paraId="633626FC" w14:textId="6B66493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20</w:t>
            </w:r>
          </w:p>
        </w:tc>
        <w:tc>
          <w:tcPr>
            <w:tcW w:w="502" w:type="dxa"/>
            <w:vAlign w:val="center"/>
          </w:tcPr>
          <w:p w14:paraId="37DD3559" w14:textId="4E1323BC"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20</w:t>
            </w:r>
          </w:p>
        </w:tc>
        <w:tc>
          <w:tcPr>
            <w:tcW w:w="502" w:type="dxa"/>
            <w:vAlign w:val="center"/>
          </w:tcPr>
          <w:p w14:paraId="615EEF11" w14:textId="22BA9C7A"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15</w:t>
            </w:r>
          </w:p>
        </w:tc>
        <w:tc>
          <w:tcPr>
            <w:tcW w:w="503" w:type="dxa"/>
            <w:vAlign w:val="center"/>
          </w:tcPr>
          <w:p w14:paraId="65AD7CF1" w14:textId="6C11B12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15</w:t>
            </w:r>
          </w:p>
        </w:tc>
        <w:tc>
          <w:tcPr>
            <w:tcW w:w="501" w:type="dxa"/>
            <w:vAlign w:val="center"/>
          </w:tcPr>
          <w:p w14:paraId="12063F89" w14:textId="7DC65E9D"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15</w:t>
            </w:r>
          </w:p>
        </w:tc>
        <w:tc>
          <w:tcPr>
            <w:tcW w:w="503" w:type="dxa"/>
            <w:vAlign w:val="center"/>
          </w:tcPr>
          <w:p w14:paraId="5052B31F" w14:textId="3E289C74"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20</w:t>
            </w:r>
          </w:p>
        </w:tc>
        <w:tc>
          <w:tcPr>
            <w:tcW w:w="501" w:type="dxa"/>
            <w:vAlign w:val="center"/>
          </w:tcPr>
          <w:p w14:paraId="14C034E0" w14:textId="3706EBE0"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20</w:t>
            </w:r>
          </w:p>
        </w:tc>
        <w:tc>
          <w:tcPr>
            <w:tcW w:w="502" w:type="dxa"/>
            <w:vAlign w:val="center"/>
          </w:tcPr>
          <w:p w14:paraId="4F52687E" w14:textId="1F93D322"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20</w:t>
            </w:r>
          </w:p>
        </w:tc>
        <w:tc>
          <w:tcPr>
            <w:tcW w:w="501" w:type="dxa"/>
            <w:vAlign w:val="center"/>
          </w:tcPr>
          <w:p w14:paraId="2CB94181" w14:textId="05178244"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20</w:t>
            </w:r>
          </w:p>
        </w:tc>
        <w:tc>
          <w:tcPr>
            <w:tcW w:w="501" w:type="dxa"/>
            <w:vAlign w:val="center"/>
          </w:tcPr>
          <w:p w14:paraId="135AD056" w14:textId="71ED260B"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20</w:t>
            </w:r>
          </w:p>
        </w:tc>
      </w:tr>
      <w:tr w:rsidR="001E1903" w:rsidRPr="00342CA6" w14:paraId="79207F87" w14:textId="56B6A6E7" w:rsidTr="000F503C">
        <w:trPr>
          <w:gridAfter w:val="1"/>
          <w:wAfter w:w="8" w:type="dxa"/>
          <w:trHeight w:val="485"/>
          <w:jc w:val="center"/>
        </w:trPr>
        <w:tc>
          <w:tcPr>
            <w:tcW w:w="2149" w:type="dxa"/>
          </w:tcPr>
          <w:p w14:paraId="1B82A812" w14:textId="69767454" w:rsidR="001F054D" w:rsidRPr="00342CA6" w:rsidRDefault="001F054D" w:rsidP="008F5744">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lastRenderedPageBreak/>
              <w:t>Chloride (mg/L)</w:t>
            </w:r>
          </w:p>
        </w:tc>
        <w:tc>
          <w:tcPr>
            <w:tcW w:w="535" w:type="dxa"/>
            <w:vAlign w:val="center"/>
          </w:tcPr>
          <w:p w14:paraId="7E766A91" w14:textId="4F4EC707"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c>
          <w:tcPr>
            <w:tcW w:w="504" w:type="dxa"/>
            <w:vAlign w:val="center"/>
          </w:tcPr>
          <w:p w14:paraId="4FBA1C8B" w14:textId="1C362851"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c>
          <w:tcPr>
            <w:tcW w:w="501" w:type="dxa"/>
            <w:vAlign w:val="center"/>
          </w:tcPr>
          <w:p w14:paraId="6F996621" w14:textId="64B57DEB"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c>
          <w:tcPr>
            <w:tcW w:w="502" w:type="dxa"/>
            <w:vAlign w:val="center"/>
          </w:tcPr>
          <w:p w14:paraId="3BFDBE20" w14:textId="21ACA00D"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c>
          <w:tcPr>
            <w:tcW w:w="501" w:type="dxa"/>
            <w:vAlign w:val="center"/>
          </w:tcPr>
          <w:p w14:paraId="1FE32714" w14:textId="7684D9FA"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c>
          <w:tcPr>
            <w:tcW w:w="502" w:type="dxa"/>
            <w:vAlign w:val="center"/>
          </w:tcPr>
          <w:p w14:paraId="0C25EAB5" w14:textId="61AB420E"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c>
          <w:tcPr>
            <w:tcW w:w="501" w:type="dxa"/>
            <w:vAlign w:val="center"/>
          </w:tcPr>
          <w:p w14:paraId="465B1CA3" w14:textId="02120535"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c>
          <w:tcPr>
            <w:tcW w:w="502" w:type="dxa"/>
            <w:vAlign w:val="center"/>
          </w:tcPr>
          <w:p w14:paraId="46FF104E" w14:textId="085E67DF"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c>
          <w:tcPr>
            <w:tcW w:w="502" w:type="dxa"/>
            <w:vAlign w:val="center"/>
          </w:tcPr>
          <w:p w14:paraId="685EDB0B" w14:textId="31D96ECE"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c>
          <w:tcPr>
            <w:tcW w:w="503" w:type="dxa"/>
            <w:vAlign w:val="center"/>
          </w:tcPr>
          <w:p w14:paraId="16EC3748" w14:textId="7D7CA395"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c>
          <w:tcPr>
            <w:tcW w:w="501" w:type="dxa"/>
            <w:vAlign w:val="center"/>
          </w:tcPr>
          <w:p w14:paraId="1A06185B" w14:textId="319C87A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c>
          <w:tcPr>
            <w:tcW w:w="503" w:type="dxa"/>
            <w:vAlign w:val="center"/>
          </w:tcPr>
          <w:p w14:paraId="0625E706" w14:textId="5D0D340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c>
          <w:tcPr>
            <w:tcW w:w="501" w:type="dxa"/>
            <w:vAlign w:val="center"/>
          </w:tcPr>
          <w:p w14:paraId="76E108FD" w14:textId="5E922EB6"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c>
          <w:tcPr>
            <w:tcW w:w="502" w:type="dxa"/>
            <w:vAlign w:val="center"/>
          </w:tcPr>
          <w:p w14:paraId="2974699A" w14:textId="2916D61C"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c>
          <w:tcPr>
            <w:tcW w:w="501" w:type="dxa"/>
            <w:vAlign w:val="center"/>
          </w:tcPr>
          <w:p w14:paraId="3222B903" w14:textId="6C20A96A"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c>
          <w:tcPr>
            <w:tcW w:w="501" w:type="dxa"/>
            <w:vAlign w:val="center"/>
          </w:tcPr>
          <w:p w14:paraId="382DE334" w14:textId="3C103F05"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30</w:t>
            </w:r>
          </w:p>
        </w:tc>
      </w:tr>
      <w:tr w:rsidR="001E1903" w:rsidRPr="00342CA6" w14:paraId="4066F532" w14:textId="06BE99FC" w:rsidTr="000F503C">
        <w:trPr>
          <w:gridAfter w:val="1"/>
          <w:wAfter w:w="8" w:type="dxa"/>
          <w:trHeight w:val="485"/>
          <w:jc w:val="center"/>
        </w:trPr>
        <w:tc>
          <w:tcPr>
            <w:tcW w:w="2149" w:type="dxa"/>
          </w:tcPr>
          <w:p w14:paraId="6EC95D45" w14:textId="0059AFEF" w:rsidR="001F054D" w:rsidRPr="00342CA6" w:rsidRDefault="001F054D" w:rsidP="008F5744">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Total hardness(mg/L)</w:t>
            </w:r>
          </w:p>
        </w:tc>
        <w:tc>
          <w:tcPr>
            <w:tcW w:w="535" w:type="dxa"/>
            <w:vAlign w:val="center"/>
          </w:tcPr>
          <w:p w14:paraId="3E0C0A64" w14:textId="28C3908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150</w:t>
            </w:r>
          </w:p>
        </w:tc>
        <w:tc>
          <w:tcPr>
            <w:tcW w:w="504" w:type="dxa"/>
            <w:vAlign w:val="center"/>
          </w:tcPr>
          <w:p w14:paraId="2D9C019A" w14:textId="718C9CEB"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160</w:t>
            </w:r>
          </w:p>
        </w:tc>
        <w:tc>
          <w:tcPr>
            <w:tcW w:w="501" w:type="dxa"/>
            <w:vAlign w:val="center"/>
          </w:tcPr>
          <w:p w14:paraId="7A2D5D5B" w14:textId="3A6CC710"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150</w:t>
            </w:r>
          </w:p>
        </w:tc>
        <w:tc>
          <w:tcPr>
            <w:tcW w:w="502" w:type="dxa"/>
            <w:vAlign w:val="center"/>
          </w:tcPr>
          <w:p w14:paraId="1BC18E04" w14:textId="7A1D9164"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160</w:t>
            </w:r>
          </w:p>
        </w:tc>
        <w:tc>
          <w:tcPr>
            <w:tcW w:w="501" w:type="dxa"/>
            <w:vAlign w:val="center"/>
          </w:tcPr>
          <w:p w14:paraId="6EF76E93" w14:textId="5B5FAEB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160</w:t>
            </w:r>
          </w:p>
        </w:tc>
        <w:tc>
          <w:tcPr>
            <w:tcW w:w="502" w:type="dxa"/>
            <w:vAlign w:val="center"/>
          </w:tcPr>
          <w:p w14:paraId="6DC4FA37" w14:textId="00BDEF2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160</w:t>
            </w:r>
          </w:p>
        </w:tc>
        <w:tc>
          <w:tcPr>
            <w:tcW w:w="501" w:type="dxa"/>
            <w:vAlign w:val="center"/>
          </w:tcPr>
          <w:p w14:paraId="56E0A7A5" w14:textId="118C9B1D"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150</w:t>
            </w:r>
          </w:p>
        </w:tc>
        <w:tc>
          <w:tcPr>
            <w:tcW w:w="502" w:type="dxa"/>
            <w:vAlign w:val="center"/>
          </w:tcPr>
          <w:p w14:paraId="6C86BDBF" w14:textId="5A27693F"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150</w:t>
            </w:r>
          </w:p>
        </w:tc>
        <w:tc>
          <w:tcPr>
            <w:tcW w:w="502" w:type="dxa"/>
            <w:vAlign w:val="center"/>
          </w:tcPr>
          <w:p w14:paraId="2559EBD9" w14:textId="564E71DD"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150</w:t>
            </w:r>
          </w:p>
        </w:tc>
        <w:tc>
          <w:tcPr>
            <w:tcW w:w="503" w:type="dxa"/>
            <w:vAlign w:val="center"/>
          </w:tcPr>
          <w:p w14:paraId="7736CD96" w14:textId="1A731D54"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160</w:t>
            </w:r>
          </w:p>
        </w:tc>
        <w:tc>
          <w:tcPr>
            <w:tcW w:w="501" w:type="dxa"/>
            <w:vAlign w:val="center"/>
          </w:tcPr>
          <w:p w14:paraId="05B9B3C9" w14:textId="4D38E486"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150</w:t>
            </w:r>
          </w:p>
        </w:tc>
        <w:tc>
          <w:tcPr>
            <w:tcW w:w="503" w:type="dxa"/>
            <w:vAlign w:val="center"/>
          </w:tcPr>
          <w:p w14:paraId="670A2986" w14:textId="1AA3CDB0"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160</w:t>
            </w:r>
          </w:p>
        </w:tc>
        <w:tc>
          <w:tcPr>
            <w:tcW w:w="501" w:type="dxa"/>
            <w:vAlign w:val="center"/>
          </w:tcPr>
          <w:p w14:paraId="4032D23A" w14:textId="191686B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160</w:t>
            </w:r>
          </w:p>
        </w:tc>
        <w:tc>
          <w:tcPr>
            <w:tcW w:w="502" w:type="dxa"/>
            <w:vAlign w:val="center"/>
          </w:tcPr>
          <w:p w14:paraId="0C1D79E3" w14:textId="103B1A0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160</w:t>
            </w:r>
          </w:p>
        </w:tc>
        <w:tc>
          <w:tcPr>
            <w:tcW w:w="501" w:type="dxa"/>
            <w:vAlign w:val="center"/>
          </w:tcPr>
          <w:p w14:paraId="78B7DB5A" w14:textId="46619E6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150</w:t>
            </w:r>
          </w:p>
        </w:tc>
        <w:tc>
          <w:tcPr>
            <w:tcW w:w="501" w:type="dxa"/>
            <w:vAlign w:val="center"/>
          </w:tcPr>
          <w:p w14:paraId="5925FB3D" w14:textId="2A06FA4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150</w:t>
            </w:r>
          </w:p>
        </w:tc>
      </w:tr>
      <w:tr w:rsidR="001E1903" w:rsidRPr="00342CA6" w14:paraId="71B50C60" w14:textId="0C772545" w:rsidTr="000F503C">
        <w:trPr>
          <w:gridAfter w:val="1"/>
          <w:wAfter w:w="8" w:type="dxa"/>
          <w:trHeight w:val="485"/>
          <w:jc w:val="center"/>
        </w:trPr>
        <w:tc>
          <w:tcPr>
            <w:tcW w:w="2149" w:type="dxa"/>
          </w:tcPr>
          <w:p w14:paraId="493305B5" w14:textId="0BBF0924" w:rsidR="001F054D" w:rsidRPr="00342CA6" w:rsidRDefault="001F054D" w:rsidP="008F5744">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Floride(mg/L)</w:t>
            </w:r>
          </w:p>
        </w:tc>
        <w:tc>
          <w:tcPr>
            <w:tcW w:w="535" w:type="dxa"/>
            <w:vAlign w:val="center"/>
          </w:tcPr>
          <w:p w14:paraId="456EC845" w14:textId="34FD86B1"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c>
          <w:tcPr>
            <w:tcW w:w="504" w:type="dxa"/>
            <w:vAlign w:val="center"/>
          </w:tcPr>
          <w:p w14:paraId="7B1929C2" w14:textId="7D250C90"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c>
          <w:tcPr>
            <w:tcW w:w="501" w:type="dxa"/>
            <w:vAlign w:val="center"/>
          </w:tcPr>
          <w:p w14:paraId="75178A16" w14:textId="115FEF78"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c>
          <w:tcPr>
            <w:tcW w:w="502" w:type="dxa"/>
            <w:vAlign w:val="center"/>
          </w:tcPr>
          <w:p w14:paraId="6F558A6B" w14:textId="28728B8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c>
          <w:tcPr>
            <w:tcW w:w="501" w:type="dxa"/>
            <w:vAlign w:val="center"/>
          </w:tcPr>
          <w:p w14:paraId="4605DEE6" w14:textId="4D5EEDEA"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c>
          <w:tcPr>
            <w:tcW w:w="502" w:type="dxa"/>
            <w:vAlign w:val="center"/>
          </w:tcPr>
          <w:p w14:paraId="31B1CAFF" w14:textId="4DDA153B"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1" w:type="dxa"/>
            <w:vAlign w:val="center"/>
          </w:tcPr>
          <w:p w14:paraId="7BA03A1C" w14:textId="426D4F80"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c>
          <w:tcPr>
            <w:tcW w:w="502" w:type="dxa"/>
            <w:vAlign w:val="center"/>
          </w:tcPr>
          <w:p w14:paraId="52DC47AD" w14:textId="768FBDE2"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c>
          <w:tcPr>
            <w:tcW w:w="502" w:type="dxa"/>
            <w:vAlign w:val="center"/>
          </w:tcPr>
          <w:p w14:paraId="6A45039B" w14:textId="68BBA731"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c>
          <w:tcPr>
            <w:tcW w:w="503" w:type="dxa"/>
            <w:vAlign w:val="center"/>
          </w:tcPr>
          <w:p w14:paraId="35B95CBA" w14:textId="0209EE41"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c>
          <w:tcPr>
            <w:tcW w:w="501" w:type="dxa"/>
            <w:vAlign w:val="center"/>
          </w:tcPr>
          <w:p w14:paraId="74A83A48" w14:textId="5205D2DC"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c>
          <w:tcPr>
            <w:tcW w:w="503" w:type="dxa"/>
            <w:vAlign w:val="center"/>
          </w:tcPr>
          <w:p w14:paraId="33C142C6" w14:textId="447711F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c>
          <w:tcPr>
            <w:tcW w:w="501" w:type="dxa"/>
            <w:vAlign w:val="center"/>
          </w:tcPr>
          <w:p w14:paraId="74D0C85A" w14:textId="26F86175"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c>
          <w:tcPr>
            <w:tcW w:w="502" w:type="dxa"/>
            <w:vAlign w:val="center"/>
          </w:tcPr>
          <w:p w14:paraId="2FB54ED7" w14:textId="21BF989A"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1" w:type="dxa"/>
            <w:vAlign w:val="center"/>
          </w:tcPr>
          <w:p w14:paraId="08A309A1" w14:textId="4E4E1048"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c>
          <w:tcPr>
            <w:tcW w:w="501" w:type="dxa"/>
            <w:vAlign w:val="center"/>
          </w:tcPr>
          <w:p w14:paraId="51DD7985" w14:textId="23D366CF"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r>
      <w:tr w:rsidR="001E1903" w:rsidRPr="00342CA6" w14:paraId="4E119230" w14:textId="011F420C" w:rsidTr="000F503C">
        <w:trPr>
          <w:gridAfter w:val="1"/>
          <w:wAfter w:w="8" w:type="dxa"/>
          <w:trHeight w:val="485"/>
          <w:jc w:val="center"/>
        </w:trPr>
        <w:tc>
          <w:tcPr>
            <w:tcW w:w="2149" w:type="dxa"/>
          </w:tcPr>
          <w:p w14:paraId="49A8A321" w14:textId="3ACE6F17" w:rsidR="001F054D" w:rsidRPr="00342CA6" w:rsidRDefault="001F054D" w:rsidP="008F5744">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Nitrate(mg/L)</w:t>
            </w:r>
          </w:p>
        </w:tc>
        <w:tc>
          <w:tcPr>
            <w:tcW w:w="535" w:type="dxa"/>
            <w:vAlign w:val="center"/>
          </w:tcPr>
          <w:p w14:paraId="65870453" w14:textId="037485E2"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95</w:t>
            </w:r>
          </w:p>
        </w:tc>
        <w:tc>
          <w:tcPr>
            <w:tcW w:w="504" w:type="dxa"/>
            <w:vAlign w:val="center"/>
          </w:tcPr>
          <w:p w14:paraId="471461E5" w14:textId="2840EF77"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95</w:t>
            </w:r>
          </w:p>
        </w:tc>
        <w:tc>
          <w:tcPr>
            <w:tcW w:w="501" w:type="dxa"/>
            <w:vAlign w:val="center"/>
          </w:tcPr>
          <w:p w14:paraId="4BF52D0A" w14:textId="5E2F8331"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95</w:t>
            </w:r>
          </w:p>
        </w:tc>
        <w:tc>
          <w:tcPr>
            <w:tcW w:w="502" w:type="dxa"/>
            <w:vAlign w:val="center"/>
          </w:tcPr>
          <w:p w14:paraId="160D8879" w14:textId="5FC8DC45"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55</w:t>
            </w:r>
          </w:p>
        </w:tc>
        <w:tc>
          <w:tcPr>
            <w:tcW w:w="501" w:type="dxa"/>
            <w:vAlign w:val="center"/>
          </w:tcPr>
          <w:p w14:paraId="07BDCE1B" w14:textId="37B72B5E"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95</w:t>
            </w:r>
          </w:p>
        </w:tc>
        <w:tc>
          <w:tcPr>
            <w:tcW w:w="502" w:type="dxa"/>
            <w:vAlign w:val="center"/>
          </w:tcPr>
          <w:p w14:paraId="1B115DED" w14:textId="090788FF"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100</w:t>
            </w:r>
          </w:p>
        </w:tc>
        <w:tc>
          <w:tcPr>
            <w:tcW w:w="501" w:type="dxa"/>
            <w:vAlign w:val="center"/>
          </w:tcPr>
          <w:p w14:paraId="5E2EADF0" w14:textId="011F5BEF"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95</w:t>
            </w:r>
          </w:p>
        </w:tc>
        <w:tc>
          <w:tcPr>
            <w:tcW w:w="502" w:type="dxa"/>
            <w:vAlign w:val="center"/>
          </w:tcPr>
          <w:p w14:paraId="6EA81D2A" w14:textId="2B168344"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95</w:t>
            </w:r>
          </w:p>
        </w:tc>
        <w:tc>
          <w:tcPr>
            <w:tcW w:w="502" w:type="dxa"/>
            <w:vAlign w:val="center"/>
          </w:tcPr>
          <w:p w14:paraId="17988F25" w14:textId="001BE61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95</w:t>
            </w:r>
          </w:p>
        </w:tc>
        <w:tc>
          <w:tcPr>
            <w:tcW w:w="503" w:type="dxa"/>
            <w:vAlign w:val="center"/>
          </w:tcPr>
          <w:p w14:paraId="3C9C70D1" w14:textId="49561655"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95</w:t>
            </w:r>
          </w:p>
        </w:tc>
        <w:tc>
          <w:tcPr>
            <w:tcW w:w="501" w:type="dxa"/>
            <w:vAlign w:val="center"/>
          </w:tcPr>
          <w:p w14:paraId="52B82DCC" w14:textId="06A393E6"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95</w:t>
            </w:r>
          </w:p>
        </w:tc>
        <w:tc>
          <w:tcPr>
            <w:tcW w:w="503" w:type="dxa"/>
            <w:vAlign w:val="center"/>
          </w:tcPr>
          <w:p w14:paraId="2EA10699" w14:textId="4C6D985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55</w:t>
            </w:r>
          </w:p>
        </w:tc>
        <w:tc>
          <w:tcPr>
            <w:tcW w:w="501" w:type="dxa"/>
            <w:vAlign w:val="center"/>
          </w:tcPr>
          <w:p w14:paraId="7EC1BD27" w14:textId="237983B7"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95</w:t>
            </w:r>
          </w:p>
        </w:tc>
        <w:tc>
          <w:tcPr>
            <w:tcW w:w="502" w:type="dxa"/>
            <w:vAlign w:val="center"/>
          </w:tcPr>
          <w:p w14:paraId="477DEE86" w14:textId="07BEDBF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100</w:t>
            </w:r>
          </w:p>
        </w:tc>
        <w:tc>
          <w:tcPr>
            <w:tcW w:w="501" w:type="dxa"/>
            <w:vAlign w:val="center"/>
          </w:tcPr>
          <w:p w14:paraId="69827D66" w14:textId="4009A6CA"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95</w:t>
            </w:r>
          </w:p>
        </w:tc>
        <w:tc>
          <w:tcPr>
            <w:tcW w:w="501" w:type="dxa"/>
            <w:vAlign w:val="center"/>
          </w:tcPr>
          <w:p w14:paraId="2735727E" w14:textId="4D506A3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95</w:t>
            </w:r>
          </w:p>
        </w:tc>
      </w:tr>
      <w:tr w:rsidR="001E1903" w:rsidRPr="00342CA6" w14:paraId="0DC24940" w14:textId="0241D782" w:rsidTr="000F503C">
        <w:trPr>
          <w:gridAfter w:val="1"/>
          <w:wAfter w:w="8" w:type="dxa"/>
          <w:trHeight w:val="485"/>
          <w:jc w:val="center"/>
        </w:trPr>
        <w:tc>
          <w:tcPr>
            <w:tcW w:w="2149" w:type="dxa"/>
          </w:tcPr>
          <w:p w14:paraId="13221701" w14:textId="1C889260" w:rsidR="001F054D" w:rsidRPr="00342CA6" w:rsidRDefault="001F054D" w:rsidP="008F5744">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Iron(mg/L)</w:t>
            </w:r>
          </w:p>
        </w:tc>
        <w:tc>
          <w:tcPr>
            <w:tcW w:w="535" w:type="dxa"/>
            <w:vAlign w:val="center"/>
          </w:tcPr>
          <w:p w14:paraId="1DD9337E" w14:textId="19B69E5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4" w:type="dxa"/>
            <w:vAlign w:val="center"/>
          </w:tcPr>
          <w:p w14:paraId="69AE27A6" w14:textId="0DE4943C"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1" w:type="dxa"/>
            <w:vAlign w:val="center"/>
          </w:tcPr>
          <w:p w14:paraId="72BE5FE5" w14:textId="151774DD"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2" w:type="dxa"/>
            <w:vAlign w:val="center"/>
          </w:tcPr>
          <w:p w14:paraId="633E29FE" w14:textId="3FEB00D0"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1" w:type="dxa"/>
            <w:vAlign w:val="center"/>
          </w:tcPr>
          <w:p w14:paraId="3099301B" w14:textId="358B0870"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2" w:type="dxa"/>
            <w:vAlign w:val="center"/>
          </w:tcPr>
          <w:p w14:paraId="3D842F38" w14:textId="31CF7CD1"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1" w:type="dxa"/>
            <w:vAlign w:val="center"/>
          </w:tcPr>
          <w:p w14:paraId="3EDA9574" w14:textId="7FF42661"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2" w:type="dxa"/>
            <w:vAlign w:val="center"/>
          </w:tcPr>
          <w:p w14:paraId="645D7D41" w14:textId="547149E1"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2" w:type="dxa"/>
            <w:vAlign w:val="center"/>
          </w:tcPr>
          <w:p w14:paraId="7FD752A6" w14:textId="2107FA8E"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3" w:type="dxa"/>
            <w:vAlign w:val="center"/>
          </w:tcPr>
          <w:p w14:paraId="6D83B5A9" w14:textId="4A23D800"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1" w:type="dxa"/>
            <w:vAlign w:val="center"/>
          </w:tcPr>
          <w:p w14:paraId="028A9827" w14:textId="5C225D9A"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3" w:type="dxa"/>
            <w:vAlign w:val="center"/>
          </w:tcPr>
          <w:p w14:paraId="3D53197F" w14:textId="2D6DC27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1" w:type="dxa"/>
            <w:vAlign w:val="center"/>
          </w:tcPr>
          <w:p w14:paraId="19FBCEBC" w14:textId="66CA7A84"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2" w:type="dxa"/>
            <w:vAlign w:val="center"/>
          </w:tcPr>
          <w:p w14:paraId="7BF7458A" w14:textId="00CAFCA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1" w:type="dxa"/>
            <w:vAlign w:val="center"/>
          </w:tcPr>
          <w:p w14:paraId="6C36CF79" w14:textId="064AB52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c>
          <w:tcPr>
            <w:tcW w:w="501" w:type="dxa"/>
            <w:vAlign w:val="center"/>
          </w:tcPr>
          <w:p w14:paraId="32F551A5" w14:textId="7B14A55B"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0.3</w:t>
            </w:r>
          </w:p>
        </w:tc>
      </w:tr>
      <w:tr w:rsidR="001E1903" w:rsidRPr="00342CA6" w14:paraId="06AB5419" w14:textId="0C6B949E" w:rsidTr="000F503C">
        <w:trPr>
          <w:gridAfter w:val="1"/>
          <w:wAfter w:w="8" w:type="dxa"/>
          <w:trHeight w:val="485"/>
          <w:jc w:val="center"/>
        </w:trPr>
        <w:tc>
          <w:tcPr>
            <w:tcW w:w="2149" w:type="dxa"/>
          </w:tcPr>
          <w:p w14:paraId="7180CC20" w14:textId="16F85EAD" w:rsidR="001F054D" w:rsidRPr="00342CA6" w:rsidRDefault="001F054D" w:rsidP="008F5744">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Residual</w:t>
            </w:r>
            <w:r w:rsidR="00703D6C" w:rsidRPr="00342CA6">
              <w:rPr>
                <w:rFonts w:asciiTheme="majorBidi" w:hAnsiTheme="majorBidi" w:cstheme="majorBidi"/>
                <w:b/>
                <w:bCs/>
                <w:sz w:val="20"/>
                <w:szCs w:val="20"/>
              </w:rPr>
              <w:t xml:space="preserve"> </w:t>
            </w:r>
            <w:r w:rsidRPr="00342CA6">
              <w:rPr>
                <w:rFonts w:asciiTheme="majorBidi" w:hAnsiTheme="majorBidi" w:cstheme="majorBidi"/>
                <w:b/>
                <w:bCs/>
                <w:sz w:val="20"/>
                <w:szCs w:val="20"/>
              </w:rPr>
              <w:t>Chlorine(mg/L)</w:t>
            </w:r>
          </w:p>
        </w:tc>
        <w:tc>
          <w:tcPr>
            <w:tcW w:w="535" w:type="dxa"/>
            <w:vAlign w:val="center"/>
          </w:tcPr>
          <w:p w14:paraId="7523EA72" w14:textId="192C1348"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c>
          <w:tcPr>
            <w:tcW w:w="504" w:type="dxa"/>
            <w:vAlign w:val="center"/>
          </w:tcPr>
          <w:p w14:paraId="45456C2E" w14:textId="4AEC8321"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c>
          <w:tcPr>
            <w:tcW w:w="501" w:type="dxa"/>
            <w:vAlign w:val="center"/>
          </w:tcPr>
          <w:p w14:paraId="59386F7B" w14:textId="6E6F57E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c>
          <w:tcPr>
            <w:tcW w:w="502" w:type="dxa"/>
            <w:vAlign w:val="center"/>
          </w:tcPr>
          <w:p w14:paraId="3C44310A" w14:textId="408B8392"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c>
          <w:tcPr>
            <w:tcW w:w="501" w:type="dxa"/>
            <w:vAlign w:val="center"/>
          </w:tcPr>
          <w:p w14:paraId="7DE61D4F" w14:textId="4343454A"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c>
          <w:tcPr>
            <w:tcW w:w="502" w:type="dxa"/>
            <w:vAlign w:val="center"/>
          </w:tcPr>
          <w:p w14:paraId="3E0B1062" w14:textId="06C60C24"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c>
          <w:tcPr>
            <w:tcW w:w="501" w:type="dxa"/>
            <w:vAlign w:val="center"/>
          </w:tcPr>
          <w:p w14:paraId="4B3336F2" w14:textId="76CC75E6"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c>
          <w:tcPr>
            <w:tcW w:w="502" w:type="dxa"/>
            <w:vAlign w:val="center"/>
          </w:tcPr>
          <w:p w14:paraId="3087DE67" w14:textId="1CD3FAEF"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c>
          <w:tcPr>
            <w:tcW w:w="502" w:type="dxa"/>
            <w:vAlign w:val="center"/>
          </w:tcPr>
          <w:p w14:paraId="7FFF5050" w14:textId="621899FD"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c>
          <w:tcPr>
            <w:tcW w:w="503" w:type="dxa"/>
            <w:vAlign w:val="center"/>
          </w:tcPr>
          <w:p w14:paraId="339E48D7" w14:textId="64D85826"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c>
          <w:tcPr>
            <w:tcW w:w="501" w:type="dxa"/>
            <w:vAlign w:val="center"/>
          </w:tcPr>
          <w:p w14:paraId="00B90D92" w14:textId="5ABA9075"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c>
          <w:tcPr>
            <w:tcW w:w="503" w:type="dxa"/>
            <w:vAlign w:val="center"/>
          </w:tcPr>
          <w:p w14:paraId="610B6EC7" w14:textId="4244AC80"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c>
          <w:tcPr>
            <w:tcW w:w="501" w:type="dxa"/>
            <w:vAlign w:val="center"/>
          </w:tcPr>
          <w:p w14:paraId="564A3AEE" w14:textId="5F9A75BA"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c>
          <w:tcPr>
            <w:tcW w:w="502" w:type="dxa"/>
            <w:vAlign w:val="center"/>
          </w:tcPr>
          <w:p w14:paraId="1EA2D064" w14:textId="43A3487F"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c>
          <w:tcPr>
            <w:tcW w:w="501" w:type="dxa"/>
            <w:vAlign w:val="center"/>
          </w:tcPr>
          <w:p w14:paraId="78C3B2B2" w14:textId="6A210780"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c>
          <w:tcPr>
            <w:tcW w:w="501" w:type="dxa"/>
            <w:vAlign w:val="center"/>
          </w:tcPr>
          <w:p w14:paraId="16313B5B" w14:textId="1029B1C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0</w:t>
            </w:r>
          </w:p>
        </w:tc>
      </w:tr>
      <w:tr w:rsidR="001E1903" w:rsidRPr="00342CA6" w14:paraId="67C45F2E" w14:textId="2133838E" w:rsidTr="000F503C">
        <w:trPr>
          <w:gridAfter w:val="1"/>
          <w:wAfter w:w="8" w:type="dxa"/>
          <w:trHeight w:val="485"/>
          <w:jc w:val="center"/>
        </w:trPr>
        <w:tc>
          <w:tcPr>
            <w:tcW w:w="2149" w:type="dxa"/>
          </w:tcPr>
          <w:p w14:paraId="75C5F941" w14:textId="241CD8A4" w:rsidR="001F054D" w:rsidRPr="00342CA6" w:rsidRDefault="001F054D" w:rsidP="008F5744">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DO (mg/L)</w:t>
            </w:r>
          </w:p>
        </w:tc>
        <w:tc>
          <w:tcPr>
            <w:tcW w:w="535" w:type="dxa"/>
            <w:vAlign w:val="center"/>
          </w:tcPr>
          <w:p w14:paraId="46F818F7" w14:textId="0B4E5867"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5.0</w:t>
            </w:r>
          </w:p>
        </w:tc>
        <w:tc>
          <w:tcPr>
            <w:tcW w:w="504" w:type="dxa"/>
            <w:vAlign w:val="center"/>
          </w:tcPr>
          <w:p w14:paraId="13AD7585" w14:textId="57A21606"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5.8</w:t>
            </w:r>
          </w:p>
        </w:tc>
        <w:tc>
          <w:tcPr>
            <w:tcW w:w="501" w:type="dxa"/>
            <w:vAlign w:val="center"/>
          </w:tcPr>
          <w:p w14:paraId="4C2A8761" w14:textId="0033BD46"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5.2</w:t>
            </w:r>
          </w:p>
        </w:tc>
        <w:tc>
          <w:tcPr>
            <w:tcW w:w="502" w:type="dxa"/>
            <w:vAlign w:val="center"/>
          </w:tcPr>
          <w:p w14:paraId="44394123" w14:textId="5BF0D8C8"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5.8</w:t>
            </w:r>
          </w:p>
        </w:tc>
        <w:tc>
          <w:tcPr>
            <w:tcW w:w="501" w:type="dxa"/>
            <w:vAlign w:val="center"/>
          </w:tcPr>
          <w:p w14:paraId="36E29A5E" w14:textId="41B94CE5"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5.0</w:t>
            </w:r>
          </w:p>
        </w:tc>
        <w:tc>
          <w:tcPr>
            <w:tcW w:w="502" w:type="dxa"/>
            <w:vAlign w:val="center"/>
          </w:tcPr>
          <w:p w14:paraId="70AA5E9A" w14:textId="7CC7C60E"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5.8</w:t>
            </w:r>
          </w:p>
        </w:tc>
        <w:tc>
          <w:tcPr>
            <w:tcW w:w="501" w:type="dxa"/>
            <w:vAlign w:val="center"/>
          </w:tcPr>
          <w:p w14:paraId="0A8BDA54" w14:textId="1705F14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5.0</w:t>
            </w:r>
          </w:p>
        </w:tc>
        <w:tc>
          <w:tcPr>
            <w:tcW w:w="502" w:type="dxa"/>
            <w:vAlign w:val="center"/>
          </w:tcPr>
          <w:p w14:paraId="489A7D6E" w14:textId="5A0559A6"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4.5</w:t>
            </w:r>
          </w:p>
        </w:tc>
        <w:tc>
          <w:tcPr>
            <w:tcW w:w="502" w:type="dxa"/>
            <w:vAlign w:val="center"/>
          </w:tcPr>
          <w:p w14:paraId="2E48CB6F" w14:textId="2A954DC6"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5.0</w:t>
            </w:r>
          </w:p>
        </w:tc>
        <w:tc>
          <w:tcPr>
            <w:tcW w:w="503" w:type="dxa"/>
            <w:vAlign w:val="center"/>
          </w:tcPr>
          <w:p w14:paraId="37F39B7E" w14:textId="3CD566CB"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5.8</w:t>
            </w:r>
          </w:p>
        </w:tc>
        <w:tc>
          <w:tcPr>
            <w:tcW w:w="501" w:type="dxa"/>
            <w:vAlign w:val="center"/>
          </w:tcPr>
          <w:p w14:paraId="39B13F83" w14:textId="61D5469F"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5.2</w:t>
            </w:r>
          </w:p>
        </w:tc>
        <w:tc>
          <w:tcPr>
            <w:tcW w:w="503" w:type="dxa"/>
            <w:vAlign w:val="center"/>
          </w:tcPr>
          <w:p w14:paraId="3D104775" w14:textId="4E03298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5.8</w:t>
            </w:r>
          </w:p>
        </w:tc>
        <w:tc>
          <w:tcPr>
            <w:tcW w:w="501" w:type="dxa"/>
            <w:vAlign w:val="center"/>
          </w:tcPr>
          <w:p w14:paraId="5FDE446D" w14:textId="6A5D5C8F"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5.0</w:t>
            </w:r>
          </w:p>
        </w:tc>
        <w:tc>
          <w:tcPr>
            <w:tcW w:w="502" w:type="dxa"/>
            <w:vAlign w:val="center"/>
          </w:tcPr>
          <w:p w14:paraId="1895D5DB" w14:textId="1AB4DA74"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5.8</w:t>
            </w:r>
          </w:p>
        </w:tc>
        <w:tc>
          <w:tcPr>
            <w:tcW w:w="501" w:type="dxa"/>
            <w:vAlign w:val="center"/>
          </w:tcPr>
          <w:p w14:paraId="6CF40082" w14:textId="272D5B5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5.0</w:t>
            </w:r>
          </w:p>
        </w:tc>
        <w:tc>
          <w:tcPr>
            <w:tcW w:w="501" w:type="dxa"/>
            <w:vAlign w:val="center"/>
          </w:tcPr>
          <w:p w14:paraId="504AB4D4" w14:textId="12154810"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4.5</w:t>
            </w:r>
          </w:p>
        </w:tc>
      </w:tr>
      <w:tr w:rsidR="001E1903" w:rsidRPr="00342CA6" w14:paraId="7A1CAA7A" w14:textId="14AB7677" w:rsidTr="000F503C">
        <w:trPr>
          <w:gridAfter w:val="1"/>
          <w:wAfter w:w="8" w:type="dxa"/>
          <w:trHeight w:val="485"/>
          <w:jc w:val="center"/>
        </w:trPr>
        <w:tc>
          <w:tcPr>
            <w:tcW w:w="2149" w:type="dxa"/>
          </w:tcPr>
          <w:p w14:paraId="73844D89" w14:textId="01AFE32C" w:rsidR="001F054D" w:rsidRPr="00342CA6" w:rsidRDefault="001F054D" w:rsidP="008F5744">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CO₂(mg/L)</w:t>
            </w:r>
          </w:p>
        </w:tc>
        <w:tc>
          <w:tcPr>
            <w:tcW w:w="535" w:type="dxa"/>
            <w:vAlign w:val="center"/>
          </w:tcPr>
          <w:p w14:paraId="359F7B34" w14:textId="1A4D2BFE"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4.1</w:t>
            </w:r>
          </w:p>
        </w:tc>
        <w:tc>
          <w:tcPr>
            <w:tcW w:w="504" w:type="dxa"/>
            <w:vAlign w:val="center"/>
          </w:tcPr>
          <w:p w14:paraId="639F56DD" w14:textId="1D9D7E5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4.1</w:t>
            </w:r>
          </w:p>
        </w:tc>
        <w:tc>
          <w:tcPr>
            <w:tcW w:w="501" w:type="dxa"/>
            <w:vAlign w:val="center"/>
          </w:tcPr>
          <w:p w14:paraId="7950AFD6" w14:textId="3E0401D5"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4.0</w:t>
            </w:r>
          </w:p>
        </w:tc>
        <w:tc>
          <w:tcPr>
            <w:tcW w:w="502" w:type="dxa"/>
            <w:vAlign w:val="center"/>
          </w:tcPr>
          <w:p w14:paraId="75485E16" w14:textId="3AC70D6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4.1</w:t>
            </w:r>
          </w:p>
        </w:tc>
        <w:tc>
          <w:tcPr>
            <w:tcW w:w="501" w:type="dxa"/>
            <w:vAlign w:val="center"/>
          </w:tcPr>
          <w:p w14:paraId="42464C3D" w14:textId="015973F9"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4.1</w:t>
            </w:r>
          </w:p>
        </w:tc>
        <w:tc>
          <w:tcPr>
            <w:tcW w:w="502" w:type="dxa"/>
            <w:vAlign w:val="center"/>
          </w:tcPr>
          <w:p w14:paraId="3C08C077" w14:textId="5FC2C53D"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4.1</w:t>
            </w:r>
          </w:p>
        </w:tc>
        <w:tc>
          <w:tcPr>
            <w:tcW w:w="501" w:type="dxa"/>
            <w:vAlign w:val="center"/>
          </w:tcPr>
          <w:p w14:paraId="22A2334D" w14:textId="4E158E5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4.0</w:t>
            </w:r>
          </w:p>
        </w:tc>
        <w:tc>
          <w:tcPr>
            <w:tcW w:w="502" w:type="dxa"/>
            <w:vAlign w:val="center"/>
          </w:tcPr>
          <w:p w14:paraId="24F459D0" w14:textId="2C01F14D"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4.1</w:t>
            </w:r>
          </w:p>
        </w:tc>
        <w:tc>
          <w:tcPr>
            <w:tcW w:w="502" w:type="dxa"/>
            <w:vAlign w:val="center"/>
          </w:tcPr>
          <w:p w14:paraId="1DE78B8A" w14:textId="557A372C"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4.1</w:t>
            </w:r>
          </w:p>
        </w:tc>
        <w:tc>
          <w:tcPr>
            <w:tcW w:w="503" w:type="dxa"/>
            <w:vAlign w:val="center"/>
          </w:tcPr>
          <w:p w14:paraId="2B5FD2A4" w14:textId="4CA37703"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4.1</w:t>
            </w:r>
          </w:p>
        </w:tc>
        <w:tc>
          <w:tcPr>
            <w:tcW w:w="501" w:type="dxa"/>
            <w:vAlign w:val="center"/>
          </w:tcPr>
          <w:p w14:paraId="56E0FCA1" w14:textId="36199ABD"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4.0</w:t>
            </w:r>
          </w:p>
        </w:tc>
        <w:tc>
          <w:tcPr>
            <w:tcW w:w="503" w:type="dxa"/>
            <w:vAlign w:val="center"/>
          </w:tcPr>
          <w:p w14:paraId="00B7D8FF" w14:textId="0F5206AD"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4.1</w:t>
            </w:r>
          </w:p>
        </w:tc>
        <w:tc>
          <w:tcPr>
            <w:tcW w:w="501" w:type="dxa"/>
            <w:vAlign w:val="center"/>
          </w:tcPr>
          <w:p w14:paraId="1048A1FB" w14:textId="58D6CF4C"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4.1</w:t>
            </w:r>
          </w:p>
        </w:tc>
        <w:tc>
          <w:tcPr>
            <w:tcW w:w="502" w:type="dxa"/>
            <w:vAlign w:val="center"/>
          </w:tcPr>
          <w:p w14:paraId="48CCFA18" w14:textId="43DB7625"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4.1</w:t>
            </w:r>
          </w:p>
        </w:tc>
        <w:tc>
          <w:tcPr>
            <w:tcW w:w="501" w:type="dxa"/>
            <w:vAlign w:val="center"/>
          </w:tcPr>
          <w:p w14:paraId="4D7AC677" w14:textId="5550339F"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4.0</w:t>
            </w:r>
          </w:p>
        </w:tc>
        <w:tc>
          <w:tcPr>
            <w:tcW w:w="501" w:type="dxa"/>
            <w:vAlign w:val="center"/>
          </w:tcPr>
          <w:p w14:paraId="10EC637D" w14:textId="00D92DDD" w:rsidR="001F054D" w:rsidRPr="00342CA6" w:rsidRDefault="001F054D" w:rsidP="00BE2BB2">
            <w:pPr>
              <w:spacing w:line="360" w:lineRule="auto"/>
              <w:rPr>
                <w:rFonts w:asciiTheme="majorBidi" w:hAnsiTheme="majorBidi" w:cstheme="majorBidi"/>
                <w:sz w:val="20"/>
                <w:szCs w:val="20"/>
              </w:rPr>
            </w:pPr>
            <w:r w:rsidRPr="00342CA6">
              <w:rPr>
                <w:rFonts w:asciiTheme="majorBidi" w:hAnsiTheme="majorBidi" w:cstheme="majorBidi"/>
                <w:sz w:val="20"/>
                <w:szCs w:val="20"/>
              </w:rPr>
              <w:t>4.1</w:t>
            </w:r>
          </w:p>
        </w:tc>
      </w:tr>
      <w:tr w:rsidR="009B3E2A" w:rsidRPr="00342CA6" w14:paraId="50BF7601" w14:textId="77777777" w:rsidTr="000F503C">
        <w:trPr>
          <w:gridAfter w:val="1"/>
          <w:wAfter w:w="8" w:type="dxa"/>
          <w:trHeight w:val="485"/>
          <w:jc w:val="center"/>
        </w:trPr>
        <w:tc>
          <w:tcPr>
            <w:tcW w:w="2149" w:type="dxa"/>
          </w:tcPr>
          <w:p w14:paraId="04B73AF2" w14:textId="3046D154" w:rsidR="009B3E2A" w:rsidRPr="00342CA6" w:rsidRDefault="009B3E2A" w:rsidP="009B3E2A">
            <w:pPr>
              <w:spacing w:line="360" w:lineRule="auto"/>
              <w:jc w:val="center"/>
              <w:rPr>
                <w:rFonts w:asciiTheme="majorBidi" w:hAnsiTheme="majorBidi" w:cstheme="majorBidi"/>
                <w:b/>
                <w:bCs/>
                <w:sz w:val="20"/>
                <w:szCs w:val="20"/>
              </w:rPr>
            </w:pPr>
            <w:r w:rsidRPr="00342CA6">
              <w:rPr>
                <w:rFonts w:asciiTheme="majorBidi" w:hAnsiTheme="majorBidi" w:cstheme="majorBidi"/>
                <w:b/>
                <w:bCs/>
                <w:sz w:val="20"/>
                <w:szCs w:val="20"/>
              </w:rPr>
              <w:t>Ammonia (mg/L)</w:t>
            </w:r>
          </w:p>
        </w:tc>
        <w:tc>
          <w:tcPr>
            <w:tcW w:w="535" w:type="dxa"/>
            <w:vAlign w:val="center"/>
          </w:tcPr>
          <w:p w14:paraId="045D0379" w14:textId="684635C4"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0.5</w:t>
            </w:r>
          </w:p>
        </w:tc>
        <w:tc>
          <w:tcPr>
            <w:tcW w:w="504" w:type="dxa"/>
            <w:vAlign w:val="center"/>
          </w:tcPr>
          <w:p w14:paraId="7F5AFD37" w14:textId="757694DC"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0.1</w:t>
            </w:r>
          </w:p>
        </w:tc>
        <w:tc>
          <w:tcPr>
            <w:tcW w:w="501" w:type="dxa"/>
            <w:vAlign w:val="center"/>
          </w:tcPr>
          <w:p w14:paraId="60B11307" w14:textId="0F07C855"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0.5</w:t>
            </w:r>
          </w:p>
        </w:tc>
        <w:tc>
          <w:tcPr>
            <w:tcW w:w="502" w:type="dxa"/>
            <w:vAlign w:val="center"/>
          </w:tcPr>
          <w:p w14:paraId="0433CAB0" w14:textId="389D14D5"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0.1</w:t>
            </w:r>
          </w:p>
        </w:tc>
        <w:tc>
          <w:tcPr>
            <w:tcW w:w="501" w:type="dxa"/>
            <w:vAlign w:val="center"/>
          </w:tcPr>
          <w:p w14:paraId="51F37EEE" w14:textId="7D3512CE"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0.5</w:t>
            </w:r>
          </w:p>
        </w:tc>
        <w:tc>
          <w:tcPr>
            <w:tcW w:w="502" w:type="dxa"/>
            <w:vAlign w:val="center"/>
          </w:tcPr>
          <w:p w14:paraId="055944C2" w14:textId="64DF75FD"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c>
          <w:tcPr>
            <w:tcW w:w="501" w:type="dxa"/>
            <w:vAlign w:val="center"/>
          </w:tcPr>
          <w:p w14:paraId="4CAF8737" w14:textId="684413FF"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0.5</w:t>
            </w:r>
          </w:p>
        </w:tc>
        <w:tc>
          <w:tcPr>
            <w:tcW w:w="502" w:type="dxa"/>
            <w:vAlign w:val="center"/>
          </w:tcPr>
          <w:p w14:paraId="04E3206D" w14:textId="7F51950C"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0.2</w:t>
            </w:r>
          </w:p>
        </w:tc>
        <w:tc>
          <w:tcPr>
            <w:tcW w:w="502" w:type="dxa"/>
            <w:vAlign w:val="center"/>
          </w:tcPr>
          <w:p w14:paraId="185FA81A" w14:textId="7B6FA65F"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0.6</w:t>
            </w:r>
          </w:p>
        </w:tc>
        <w:tc>
          <w:tcPr>
            <w:tcW w:w="503" w:type="dxa"/>
            <w:vAlign w:val="center"/>
          </w:tcPr>
          <w:p w14:paraId="28C0B142" w14:textId="62455F1C"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w:t>
            </w:r>
            <w:r w:rsidR="00AA5F43" w:rsidRPr="00342CA6">
              <w:rPr>
                <w:rFonts w:asciiTheme="majorBidi" w:hAnsiTheme="majorBidi" w:cstheme="majorBidi"/>
                <w:sz w:val="20"/>
                <w:szCs w:val="20"/>
              </w:rPr>
              <w:t>2</w:t>
            </w:r>
          </w:p>
        </w:tc>
        <w:tc>
          <w:tcPr>
            <w:tcW w:w="501" w:type="dxa"/>
            <w:vAlign w:val="center"/>
          </w:tcPr>
          <w:p w14:paraId="035CF338" w14:textId="3C196FCD"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w:t>
            </w:r>
            <w:r w:rsidR="00AA5F43" w:rsidRPr="00342CA6">
              <w:rPr>
                <w:rFonts w:asciiTheme="majorBidi" w:hAnsiTheme="majorBidi" w:cstheme="majorBidi"/>
                <w:sz w:val="20"/>
                <w:szCs w:val="20"/>
              </w:rPr>
              <w:t>6</w:t>
            </w:r>
          </w:p>
        </w:tc>
        <w:tc>
          <w:tcPr>
            <w:tcW w:w="503" w:type="dxa"/>
            <w:vAlign w:val="center"/>
          </w:tcPr>
          <w:p w14:paraId="1FEB4E56" w14:textId="38562D50"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w:t>
            </w:r>
            <w:r w:rsidR="00AA5F43" w:rsidRPr="00342CA6">
              <w:rPr>
                <w:rFonts w:asciiTheme="majorBidi" w:hAnsiTheme="majorBidi" w:cstheme="majorBidi"/>
                <w:sz w:val="20"/>
                <w:szCs w:val="20"/>
              </w:rPr>
              <w:t>2</w:t>
            </w:r>
          </w:p>
        </w:tc>
        <w:tc>
          <w:tcPr>
            <w:tcW w:w="501" w:type="dxa"/>
            <w:vAlign w:val="center"/>
          </w:tcPr>
          <w:p w14:paraId="21290C6A" w14:textId="6DCCDBAB"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w:t>
            </w:r>
            <w:r w:rsidR="004A6A4F" w:rsidRPr="00342CA6">
              <w:rPr>
                <w:rFonts w:asciiTheme="majorBidi" w:hAnsiTheme="majorBidi" w:cstheme="majorBidi"/>
                <w:sz w:val="20"/>
                <w:szCs w:val="20"/>
              </w:rPr>
              <w:t>7</w:t>
            </w:r>
          </w:p>
        </w:tc>
        <w:tc>
          <w:tcPr>
            <w:tcW w:w="502" w:type="dxa"/>
            <w:vAlign w:val="center"/>
          </w:tcPr>
          <w:p w14:paraId="3ECE09D0" w14:textId="0D00ADF9"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w:t>
            </w:r>
            <w:r w:rsidR="004A6A4F" w:rsidRPr="00342CA6">
              <w:rPr>
                <w:rFonts w:asciiTheme="majorBidi" w:hAnsiTheme="majorBidi" w:cstheme="majorBidi"/>
                <w:sz w:val="20"/>
                <w:szCs w:val="20"/>
              </w:rPr>
              <w:t>2</w:t>
            </w:r>
          </w:p>
        </w:tc>
        <w:tc>
          <w:tcPr>
            <w:tcW w:w="501" w:type="dxa"/>
            <w:vAlign w:val="center"/>
          </w:tcPr>
          <w:p w14:paraId="015B3919" w14:textId="32C09AF8"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w:t>
            </w:r>
            <w:r w:rsidR="004A6A4F" w:rsidRPr="00342CA6">
              <w:rPr>
                <w:rFonts w:asciiTheme="majorBidi" w:hAnsiTheme="majorBidi" w:cstheme="majorBidi"/>
                <w:sz w:val="20"/>
                <w:szCs w:val="20"/>
              </w:rPr>
              <w:t>7</w:t>
            </w:r>
          </w:p>
        </w:tc>
        <w:tc>
          <w:tcPr>
            <w:tcW w:w="501" w:type="dxa"/>
            <w:vAlign w:val="center"/>
          </w:tcPr>
          <w:p w14:paraId="23AA20F7" w14:textId="78114F66" w:rsidR="009B3E2A" w:rsidRPr="00342CA6" w:rsidRDefault="009B3E2A" w:rsidP="009B3E2A">
            <w:pPr>
              <w:spacing w:line="360" w:lineRule="auto"/>
              <w:rPr>
                <w:rFonts w:asciiTheme="majorBidi" w:hAnsiTheme="majorBidi" w:cstheme="majorBidi"/>
                <w:sz w:val="20"/>
                <w:szCs w:val="20"/>
              </w:rPr>
            </w:pPr>
            <w:r w:rsidRPr="00342CA6">
              <w:rPr>
                <w:rFonts w:asciiTheme="majorBidi" w:hAnsiTheme="majorBidi" w:cstheme="majorBidi"/>
                <w:sz w:val="20"/>
                <w:szCs w:val="20"/>
              </w:rPr>
              <w:t>0.</w:t>
            </w:r>
            <w:r w:rsidR="004A6A4F" w:rsidRPr="00342CA6">
              <w:rPr>
                <w:rFonts w:asciiTheme="majorBidi" w:hAnsiTheme="majorBidi" w:cstheme="majorBidi"/>
                <w:sz w:val="20"/>
                <w:szCs w:val="20"/>
              </w:rPr>
              <w:t>2</w:t>
            </w:r>
          </w:p>
        </w:tc>
      </w:tr>
    </w:tbl>
    <w:p w14:paraId="72EEA85E" w14:textId="77777777" w:rsidR="000F503C" w:rsidRDefault="000F503C" w:rsidP="000F503C">
      <w:pPr>
        <w:spacing w:line="360" w:lineRule="auto"/>
        <w:jc w:val="both"/>
        <w:rPr>
          <w:rFonts w:asciiTheme="majorBidi" w:hAnsiTheme="majorBidi" w:cstheme="majorBidi"/>
          <w:b/>
          <w:bCs/>
        </w:rPr>
      </w:pPr>
    </w:p>
    <w:p w14:paraId="79ECF8C6" w14:textId="0733AAF7" w:rsidR="003D5C61" w:rsidRPr="00D27CC5" w:rsidRDefault="000F503C" w:rsidP="0042309A">
      <w:pPr>
        <w:spacing w:line="360" w:lineRule="auto"/>
        <w:jc w:val="both"/>
        <w:rPr>
          <w:rFonts w:asciiTheme="majorBidi" w:hAnsiTheme="majorBidi" w:cstheme="majorBidi"/>
          <w:b/>
          <w:bCs/>
        </w:rPr>
      </w:pPr>
      <w:r w:rsidRPr="000F503C">
        <w:rPr>
          <w:rFonts w:asciiTheme="majorBidi" w:hAnsiTheme="majorBidi" w:cstheme="majorBidi"/>
        </w:rPr>
        <w:t>pH: Both tanks (T1 and T2) maintained stable pH levels throughout the period, with T2 showing a slightly higher pH (7.4). This minor difference could be attributed to the effects of probiotics in stabilizing water conditions.</w:t>
      </w:r>
      <w:r w:rsidR="00133982">
        <w:rPr>
          <w:rFonts w:asciiTheme="majorBidi" w:hAnsiTheme="majorBidi" w:cstheme="majorBidi"/>
        </w:rPr>
        <w:t xml:space="preserve"> </w:t>
      </w:r>
      <w:r w:rsidRPr="000F503C">
        <w:rPr>
          <w:rFonts w:asciiTheme="majorBidi" w:hAnsiTheme="majorBidi" w:cstheme="majorBidi"/>
        </w:rPr>
        <w:t xml:space="preserve">Turbidity (NTU): Turbidity remained constant at 15 NTU in both tanks during May, but T2 (probiotic-treated tank) exhibited higher turbidity (20 NTU) from June to December. This is likely a result of the increased microbial activity from the probiotics, which enhances </w:t>
      </w:r>
      <w:r w:rsidR="007C7F88" w:rsidRPr="000F503C">
        <w:rPr>
          <w:rFonts w:asciiTheme="majorBidi" w:hAnsiTheme="majorBidi" w:cstheme="majorBidi"/>
        </w:rPr>
        <w:t>Biofloc</w:t>
      </w:r>
      <w:r w:rsidRPr="000F503C">
        <w:rPr>
          <w:rFonts w:asciiTheme="majorBidi" w:hAnsiTheme="majorBidi" w:cstheme="majorBidi"/>
        </w:rPr>
        <w:t xml:space="preserve"> formation. Chloride and Total Hardness: Both parameters were stable across months for both tanks. There was a slight increase in total hardness in T2, possibly due to the mineralization and increased </w:t>
      </w:r>
      <w:r w:rsidR="007C7F88" w:rsidRPr="000F503C">
        <w:rPr>
          <w:rFonts w:asciiTheme="majorBidi" w:hAnsiTheme="majorBidi" w:cstheme="majorBidi"/>
        </w:rPr>
        <w:t>Biofloc</w:t>
      </w:r>
      <w:r w:rsidRPr="000F503C">
        <w:rPr>
          <w:rFonts w:asciiTheme="majorBidi" w:hAnsiTheme="majorBidi" w:cstheme="majorBidi"/>
        </w:rPr>
        <w:t xml:space="preserve"> activity in the probiotic-treated system. Fluoride: Fluoride levels remained constant at 0.2 mg/L in both tanks during most of the months, with T2 showing a slight increase to 0.3 mg/L in June and December. This could be linked to water chemistry changes due to probiotics or </w:t>
      </w:r>
      <w:r w:rsidR="007C7F88" w:rsidRPr="000F503C">
        <w:rPr>
          <w:rFonts w:asciiTheme="majorBidi" w:hAnsiTheme="majorBidi" w:cstheme="majorBidi"/>
        </w:rPr>
        <w:t>Biofloc</w:t>
      </w:r>
      <w:r w:rsidRPr="000F503C">
        <w:rPr>
          <w:rFonts w:asciiTheme="majorBidi" w:hAnsiTheme="majorBidi" w:cstheme="majorBidi"/>
        </w:rPr>
        <w:t xml:space="preserve"> microorganisms. Nitrate: Both tanks showed fluctuation in nitrate levels</w:t>
      </w:r>
      <w:r w:rsidR="001F721E">
        <w:rPr>
          <w:rFonts w:asciiTheme="majorBidi" w:hAnsiTheme="majorBidi" w:cstheme="majorBidi"/>
        </w:rPr>
        <w:t xml:space="preserve"> (</w:t>
      </w:r>
      <w:r w:rsidR="001F721E" w:rsidRPr="000F503C">
        <w:rPr>
          <w:rFonts w:asciiTheme="majorBidi" w:hAnsiTheme="majorBidi" w:cstheme="majorBidi"/>
        </w:rPr>
        <w:t>Table</w:t>
      </w:r>
      <w:r w:rsidR="001F721E">
        <w:rPr>
          <w:rFonts w:asciiTheme="majorBidi" w:hAnsiTheme="majorBidi" w:cstheme="majorBidi"/>
        </w:rPr>
        <w:t xml:space="preserve"> 1)</w:t>
      </w:r>
      <w:r w:rsidRPr="000F503C">
        <w:rPr>
          <w:rFonts w:asciiTheme="majorBidi" w:hAnsiTheme="majorBidi" w:cstheme="majorBidi"/>
        </w:rPr>
        <w:t xml:space="preserve">. T2 had slightly lower nitrate levels during the months of August and December, possibly due to improved nitrogen cycling facilitated by the probiotics, which may help in denitrification. Iron and Residual Chlorine: Both parameters were stable and within normal ranges throughout the study period, showing no significant impact from the probiotic treatment. DO (Dissolved Oxygen): DO levels were higher in T2 (probiotic-treated tank) during most months, indicating that probiotics and </w:t>
      </w:r>
      <w:r w:rsidR="00C95504" w:rsidRPr="000F503C">
        <w:rPr>
          <w:rFonts w:asciiTheme="majorBidi" w:hAnsiTheme="majorBidi" w:cstheme="majorBidi"/>
        </w:rPr>
        <w:t>Biofloc</w:t>
      </w:r>
      <w:r w:rsidRPr="000F503C">
        <w:rPr>
          <w:rFonts w:asciiTheme="majorBidi" w:hAnsiTheme="majorBidi" w:cstheme="majorBidi"/>
        </w:rPr>
        <w:t xml:space="preserve"> systems can improve oxygenation due to increased microbial and planktonic activity. However, DO in T2 dropped slightly in November and December, possibly </w:t>
      </w:r>
      <w:r w:rsidRPr="000F503C">
        <w:rPr>
          <w:rFonts w:asciiTheme="majorBidi" w:hAnsiTheme="majorBidi" w:cstheme="majorBidi"/>
        </w:rPr>
        <w:lastRenderedPageBreak/>
        <w:t xml:space="preserve">due to higher organic load from </w:t>
      </w:r>
      <w:r w:rsidR="00C95504" w:rsidRPr="000F503C">
        <w:rPr>
          <w:rFonts w:asciiTheme="majorBidi" w:hAnsiTheme="majorBidi" w:cstheme="majorBidi"/>
        </w:rPr>
        <w:t>Biofloc</w:t>
      </w:r>
      <w:r w:rsidRPr="000F503C">
        <w:rPr>
          <w:rFonts w:asciiTheme="majorBidi" w:hAnsiTheme="majorBidi" w:cstheme="majorBidi"/>
        </w:rPr>
        <w:t xml:space="preserve">. CO₂: CO₂ levels remained consistent between tanks, although slight fluctuations were observed due to the microbial and biological processes in the </w:t>
      </w:r>
      <w:proofErr w:type="spellStart"/>
      <w:r w:rsidRPr="000F503C">
        <w:rPr>
          <w:rFonts w:asciiTheme="majorBidi" w:hAnsiTheme="majorBidi" w:cstheme="majorBidi"/>
        </w:rPr>
        <w:t>biofloc</w:t>
      </w:r>
      <w:proofErr w:type="spellEnd"/>
      <w:r w:rsidRPr="000F503C">
        <w:rPr>
          <w:rFonts w:asciiTheme="majorBidi" w:hAnsiTheme="majorBidi" w:cstheme="majorBidi"/>
        </w:rPr>
        <w:t xml:space="preserve"> system.</w:t>
      </w:r>
      <w:r w:rsidR="0042309A" w:rsidRPr="0042309A">
        <w:t xml:space="preserve"> </w:t>
      </w:r>
      <w:r w:rsidR="0042309A" w:rsidRPr="0042309A">
        <w:rPr>
          <w:rFonts w:asciiTheme="majorBidi" w:hAnsiTheme="majorBidi" w:cstheme="majorBidi"/>
        </w:rPr>
        <w:t xml:space="preserve">The findings of our study align with the referenced work, where probiotic treatment in fish ponds stocked with </w:t>
      </w:r>
      <w:r w:rsidR="0042309A" w:rsidRPr="0042309A">
        <w:rPr>
          <w:rFonts w:asciiTheme="majorBidi" w:hAnsiTheme="majorBidi" w:cstheme="majorBidi"/>
          <w:i/>
          <w:iCs/>
        </w:rPr>
        <w:t xml:space="preserve">Pangasius </w:t>
      </w:r>
      <w:proofErr w:type="spellStart"/>
      <w:r w:rsidR="0042309A" w:rsidRPr="0042309A">
        <w:rPr>
          <w:rFonts w:asciiTheme="majorBidi" w:hAnsiTheme="majorBidi" w:cstheme="majorBidi"/>
          <w:i/>
          <w:iCs/>
        </w:rPr>
        <w:t>sutchi</w:t>
      </w:r>
      <w:proofErr w:type="spellEnd"/>
      <w:r w:rsidR="0042309A" w:rsidRPr="0042309A">
        <w:rPr>
          <w:rFonts w:asciiTheme="majorBidi" w:hAnsiTheme="majorBidi" w:cstheme="majorBidi"/>
        </w:rPr>
        <w:t xml:space="preserve">, </w:t>
      </w:r>
      <w:proofErr w:type="spellStart"/>
      <w:r w:rsidR="0042309A" w:rsidRPr="0042309A">
        <w:rPr>
          <w:rFonts w:asciiTheme="majorBidi" w:hAnsiTheme="majorBidi" w:cstheme="majorBidi"/>
          <w:i/>
          <w:iCs/>
        </w:rPr>
        <w:t>Catla</w:t>
      </w:r>
      <w:proofErr w:type="spellEnd"/>
      <w:r w:rsidR="0042309A" w:rsidRPr="0042309A">
        <w:rPr>
          <w:rFonts w:asciiTheme="majorBidi" w:hAnsiTheme="majorBidi" w:cstheme="majorBidi"/>
          <w:i/>
          <w:iCs/>
        </w:rPr>
        <w:t xml:space="preserve"> </w:t>
      </w:r>
      <w:proofErr w:type="spellStart"/>
      <w:r w:rsidR="0042309A" w:rsidRPr="0042309A">
        <w:rPr>
          <w:rFonts w:asciiTheme="majorBidi" w:hAnsiTheme="majorBidi" w:cstheme="majorBidi"/>
          <w:i/>
          <w:iCs/>
        </w:rPr>
        <w:t>catla</w:t>
      </w:r>
      <w:proofErr w:type="spellEnd"/>
      <w:r w:rsidR="0042309A" w:rsidRPr="0042309A">
        <w:rPr>
          <w:rFonts w:asciiTheme="majorBidi" w:hAnsiTheme="majorBidi" w:cstheme="majorBidi"/>
        </w:rPr>
        <w:t xml:space="preserve">, and </w:t>
      </w:r>
      <w:proofErr w:type="spellStart"/>
      <w:r w:rsidR="0042309A" w:rsidRPr="0042309A">
        <w:rPr>
          <w:rFonts w:asciiTheme="majorBidi" w:hAnsiTheme="majorBidi" w:cstheme="majorBidi"/>
          <w:i/>
          <w:iCs/>
        </w:rPr>
        <w:t>Labeo</w:t>
      </w:r>
      <w:proofErr w:type="spellEnd"/>
      <w:r w:rsidR="0042309A" w:rsidRPr="0042309A">
        <w:rPr>
          <w:rFonts w:asciiTheme="majorBidi" w:hAnsiTheme="majorBidi" w:cstheme="majorBidi"/>
          <w:i/>
          <w:iCs/>
        </w:rPr>
        <w:t xml:space="preserve"> </w:t>
      </w:r>
      <w:proofErr w:type="spellStart"/>
      <w:r w:rsidR="0042309A" w:rsidRPr="0042309A">
        <w:rPr>
          <w:rFonts w:asciiTheme="majorBidi" w:hAnsiTheme="majorBidi" w:cstheme="majorBidi"/>
          <w:i/>
          <w:iCs/>
        </w:rPr>
        <w:t>rohita</w:t>
      </w:r>
      <w:proofErr w:type="spellEnd"/>
      <w:r w:rsidR="0042309A" w:rsidRPr="0042309A">
        <w:rPr>
          <w:rFonts w:asciiTheme="majorBidi" w:hAnsiTheme="majorBidi" w:cstheme="majorBidi"/>
        </w:rPr>
        <w:t xml:space="preserve"> led to improved water quality, with reduced ammonia, nitrite, and orthophosphate levels. fish yield was higher in treated ponds (37.35 and 37.00 t/ha/year) than in the control (32.47 t/ha/year), attributed to increased beneficial bacteria and zooplankton, and reduced </w:t>
      </w:r>
      <w:r w:rsidR="0042309A" w:rsidRPr="0042309A">
        <w:rPr>
          <w:rFonts w:asciiTheme="majorBidi" w:hAnsiTheme="majorBidi" w:cstheme="majorBidi"/>
          <w:i/>
          <w:iCs/>
        </w:rPr>
        <w:t>Pseudomonas</w:t>
      </w:r>
      <w:r w:rsidR="0042309A" w:rsidRPr="0042309A">
        <w:rPr>
          <w:rFonts w:asciiTheme="majorBidi" w:hAnsiTheme="majorBidi" w:cstheme="majorBidi"/>
        </w:rPr>
        <w:t>. Both studies confirm that probiotics enhance water quality and fish performance in intensive aquaculture systems</w:t>
      </w:r>
      <w:r w:rsidR="0015007E">
        <w:rPr>
          <w:rFonts w:asciiTheme="majorBidi" w:hAnsiTheme="majorBidi" w:cstheme="majorBidi"/>
        </w:rPr>
        <w:t xml:space="preserve"> (</w:t>
      </w:r>
      <w:r w:rsidR="0015007E" w:rsidRPr="00D27CC5">
        <w:rPr>
          <w:rFonts w:asciiTheme="majorBidi" w:hAnsiTheme="majorBidi" w:cstheme="majorBidi"/>
          <w:b/>
          <w:bCs/>
        </w:rPr>
        <w:t>Sunitha</w:t>
      </w:r>
      <w:r w:rsidR="00D27CC5" w:rsidRPr="00D27CC5">
        <w:rPr>
          <w:rFonts w:asciiTheme="majorBidi" w:hAnsiTheme="majorBidi" w:cstheme="majorBidi"/>
          <w:b/>
          <w:bCs/>
        </w:rPr>
        <w:t xml:space="preserve"> and</w:t>
      </w:r>
      <w:r w:rsidR="0015007E" w:rsidRPr="00D27CC5">
        <w:rPr>
          <w:rFonts w:asciiTheme="majorBidi" w:hAnsiTheme="majorBidi" w:cstheme="majorBidi"/>
          <w:b/>
          <w:bCs/>
        </w:rPr>
        <w:t xml:space="preserve"> Padmavathi, 2013)</w:t>
      </w:r>
      <w:r w:rsidR="0042309A" w:rsidRPr="00D27CC5">
        <w:rPr>
          <w:rFonts w:asciiTheme="majorBidi" w:hAnsiTheme="majorBidi" w:cstheme="majorBidi"/>
          <w:b/>
          <w:bCs/>
        </w:rPr>
        <w:t>.</w:t>
      </w:r>
    </w:p>
    <w:p w14:paraId="6B9BABBC" w14:textId="18A34F87" w:rsidR="003D5C61" w:rsidRDefault="003D5C61" w:rsidP="00784F4F">
      <w:pPr>
        <w:spacing w:line="360" w:lineRule="auto"/>
        <w:jc w:val="both"/>
        <w:rPr>
          <w:rFonts w:asciiTheme="majorBidi" w:hAnsiTheme="majorBidi" w:cstheme="majorBidi"/>
        </w:rPr>
      </w:pPr>
      <w:r w:rsidRPr="003D5C61">
        <w:rPr>
          <w:rFonts w:asciiTheme="majorBidi" w:hAnsiTheme="majorBidi" w:cstheme="majorBidi"/>
        </w:rPr>
        <w:t>Ammonia is a critical water quality parameter in aquaculture systems because it directly impacts fish health, growth, and survival. Ammonia, primarily in its toxic un-ionized form (NH₃), is produced from fish excretion, feed decomposition, and microbial activity.</w:t>
      </w:r>
      <w:r w:rsidR="00784F4F" w:rsidRPr="00784F4F">
        <w:t xml:space="preserve"> </w:t>
      </w:r>
      <w:r w:rsidR="00784F4F" w:rsidRPr="00784F4F">
        <w:rPr>
          <w:rFonts w:asciiTheme="majorBidi" w:hAnsiTheme="majorBidi" w:cstheme="majorBidi"/>
        </w:rPr>
        <w:t xml:space="preserve">Mohammed A. E. Naiel (2022) demonstrated that the use of probiotic water additives significantly decreased the range and median concentration of unionized ammonia (NH₃) in the aquatic environment compared to untreated controls. Additionally, analysis of the body chemical composition of tilapia revealed that fish raised in water treated with a high concentration of </w:t>
      </w:r>
      <w:r w:rsidR="00784F4F" w:rsidRPr="00784F4F">
        <w:rPr>
          <w:rFonts w:asciiTheme="majorBidi" w:hAnsiTheme="majorBidi" w:cstheme="majorBidi"/>
          <w:i/>
          <w:iCs/>
        </w:rPr>
        <w:t xml:space="preserve">Bacillus </w:t>
      </w:r>
      <w:proofErr w:type="spellStart"/>
      <w:r w:rsidR="00784F4F" w:rsidRPr="00784F4F">
        <w:rPr>
          <w:rFonts w:asciiTheme="majorBidi" w:hAnsiTheme="majorBidi" w:cstheme="majorBidi"/>
          <w:i/>
          <w:iCs/>
        </w:rPr>
        <w:t>toyonensis</w:t>
      </w:r>
      <w:proofErr w:type="spellEnd"/>
      <w:r w:rsidR="00784F4F" w:rsidRPr="00784F4F">
        <w:rPr>
          <w:rFonts w:asciiTheme="majorBidi" w:hAnsiTheme="majorBidi" w:cstheme="majorBidi"/>
        </w:rPr>
        <w:t xml:space="preserve"> had significantly higher levels of crude protein and fat, along with reduced ash content, indicating improved nutritional quality compared to the control group.</w:t>
      </w:r>
      <w:r w:rsidRPr="003D5C61">
        <w:rPr>
          <w:rFonts w:asciiTheme="majorBidi" w:hAnsiTheme="majorBidi" w:cstheme="majorBidi"/>
        </w:rPr>
        <w:t xml:space="preserve"> Accumulation of ammonia can lead to stress, immune suppression, and even mortality in fish.</w:t>
      </w:r>
      <w:r w:rsidRPr="00537592">
        <w:rPr>
          <w:rFonts w:asciiTheme="majorBidi" w:hAnsiTheme="majorBidi" w:cstheme="majorBidi"/>
        </w:rPr>
        <w:t xml:space="preserve"> </w:t>
      </w:r>
      <w:r w:rsidRPr="003D5C61">
        <w:rPr>
          <w:rFonts w:asciiTheme="majorBidi" w:hAnsiTheme="majorBidi" w:cstheme="majorBidi"/>
        </w:rPr>
        <w:t xml:space="preserve">In the control tank (T1), ammonia levels progressively increased from 0.5 mg/L in May to </w:t>
      </w:r>
      <w:r w:rsidR="005B4C9A" w:rsidRPr="00537592">
        <w:rPr>
          <w:rFonts w:asciiTheme="majorBidi" w:hAnsiTheme="majorBidi" w:cstheme="majorBidi"/>
        </w:rPr>
        <w:t>0.</w:t>
      </w:r>
      <w:r w:rsidR="00537592" w:rsidRPr="00537592">
        <w:rPr>
          <w:rFonts w:asciiTheme="majorBidi" w:hAnsiTheme="majorBidi" w:cstheme="majorBidi"/>
        </w:rPr>
        <w:t>7</w:t>
      </w:r>
      <w:r w:rsidRPr="003D5C61">
        <w:rPr>
          <w:rFonts w:asciiTheme="majorBidi" w:hAnsiTheme="majorBidi" w:cstheme="majorBidi"/>
        </w:rPr>
        <w:t xml:space="preserve"> mg/L in December</w:t>
      </w:r>
      <w:r w:rsidR="001F721E">
        <w:rPr>
          <w:rFonts w:asciiTheme="majorBidi" w:hAnsiTheme="majorBidi" w:cstheme="majorBidi"/>
        </w:rPr>
        <w:t xml:space="preserve"> (</w:t>
      </w:r>
      <w:r w:rsidR="001F721E" w:rsidRPr="000F503C">
        <w:rPr>
          <w:rFonts w:asciiTheme="majorBidi" w:hAnsiTheme="majorBidi" w:cstheme="majorBidi"/>
        </w:rPr>
        <w:t>Table</w:t>
      </w:r>
      <w:r w:rsidR="001F721E">
        <w:rPr>
          <w:rFonts w:asciiTheme="majorBidi" w:hAnsiTheme="majorBidi" w:cstheme="majorBidi"/>
        </w:rPr>
        <w:t xml:space="preserve"> 1)</w:t>
      </w:r>
      <w:r w:rsidRPr="003D5C61">
        <w:rPr>
          <w:rFonts w:asciiTheme="majorBidi" w:hAnsiTheme="majorBidi" w:cstheme="majorBidi"/>
        </w:rPr>
        <w:t xml:space="preserve">. </w:t>
      </w:r>
      <w:r w:rsidR="00E3128D" w:rsidRPr="00E3128D">
        <w:rPr>
          <w:rFonts w:asciiTheme="majorBidi" w:hAnsiTheme="majorBidi" w:cstheme="majorBidi"/>
        </w:rPr>
        <w:t xml:space="preserve">El-Kady </w:t>
      </w:r>
      <w:r w:rsidR="00E3128D" w:rsidRPr="00E3128D">
        <w:rPr>
          <w:rFonts w:asciiTheme="majorBidi" w:hAnsiTheme="majorBidi" w:cstheme="majorBidi"/>
          <w:i/>
          <w:iCs/>
        </w:rPr>
        <w:t>et al.</w:t>
      </w:r>
      <w:r w:rsidR="00E3128D" w:rsidRPr="00E3128D">
        <w:rPr>
          <w:rFonts w:asciiTheme="majorBidi" w:hAnsiTheme="majorBidi" w:cstheme="majorBidi"/>
        </w:rPr>
        <w:t xml:space="preserve"> observed a significant reduction in toxic nitrogenous compounds such as TAN (Total Ammonia Nitrogen), NH₃, and NO₂ in probiotic-treated groups, which directly improved water quality. Similarly, in our </w:t>
      </w:r>
      <w:proofErr w:type="spellStart"/>
      <w:r w:rsidR="00E3128D" w:rsidRPr="00E3128D">
        <w:rPr>
          <w:rFonts w:asciiTheme="majorBidi" w:hAnsiTheme="majorBidi" w:cstheme="majorBidi"/>
        </w:rPr>
        <w:t>biofloc</w:t>
      </w:r>
      <w:proofErr w:type="spellEnd"/>
      <w:r w:rsidR="00E3128D" w:rsidRPr="00E3128D">
        <w:rPr>
          <w:rFonts w:asciiTheme="majorBidi" w:hAnsiTheme="majorBidi" w:cstheme="majorBidi"/>
        </w:rPr>
        <w:t>-based system, though water quality parameters were not directly measured, the improved survival rate (93% in T2 vs. 90% in T1) indirectly suggests better water conditions</w:t>
      </w:r>
      <w:r w:rsidR="00E3128D">
        <w:rPr>
          <w:rFonts w:asciiTheme="majorBidi" w:hAnsiTheme="majorBidi" w:cstheme="majorBidi"/>
        </w:rPr>
        <w:t xml:space="preserve"> </w:t>
      </w:r>
      <w:r w:rsidR="00E3128D" w:rsidRPr="00BA6529">
        <w:rPr>
          <w:rFonts w:asciiTheme="majorBidi" w:hAnsiTheme="majorBidi" w:cstheme="majorBidi"/>
          <w:b/>
          <w:bCs/>
        </w:rPr>
        <w:t>(</w:t>
      </w:r>
      <w:r w:rsidR="00BA6529" w:rsidRPr="00BA6529">
        <w:rPr>
          <w:rFonts w:asciiTheme="majorBidi" w:hAnsiTheme="majorBidi" w:cstheme="majorBidi"/>
          <w:b/>
          <w:bCs/>
        </w:rPr>
        <w:t>El-Kady et al., 2022</w:t>
      </w:r>
      <w:r w:rsidR="00E3128D">
        <w:rPr>
          <w:rFonts w:asciiTheme="majorBidi" w:hAnsiTheme="majorBidi" w:cstheme="majorBidi"/>
        </w:rPr>
        <w:t>)</w:t>
      </w:r>
      <w:r w:rsidR="00E3128D" w:rsidRPr="00E3128D">
        <w:rPr>
          <w:rFonts w:asciiTheme="majorBidi" w:hAnsiTheme="majorBidi" w:cstheme="majorBidi"/>
        </w:rPr>
        <w:t xml:space="preserve">. Biofloc systems, especially when enriched with probiotics, are known to biologically convert waste products into microbial protein, thereby reducing harmful nitrogenous </w:t>
      </w:r>
      <w:proofErr w:type="spellStart"/>
      <w:proofErr w:type="gramStart"/>
      <w:r w:rsidR="00E3128D" w:rsidRPr="00E3128D">
        <w:rPr>
          <w:rFonts w:asciiTheme="majorBidi" w:hAnsiTheme="majorBidi" w:cstheme="majorBidi"/>
        </w:rPr>
        <w:t>compounds.</w:t>
      </w:r>
      <w:r w:rsidRPr="003D5C61">
        <w:rPr>
          <w:rFonts w:asciiTheme="majorBidi" w:hAnsiTheme="majorBidi" w:cstheme="majorBidi"/>
        </w:rPr>
        <w:t>This</w:t>
      </w:r>
      <w:proofErr w:type="spellEnd"/>
      <w:proofErr w:type="gramEnd"/>
      <w:r w:rsidRPr="003D5C61">
        <w:rPr>
          <w:rFonts w:asciiTheme="majorBidi" w:hAnsiTheme="majorBidi" w:cstheme="majorBidi"/>
        </w:rPr>
        <w:t xml:space="preserve"> rise is typical in clear water systems, where nitrogen cycling can be inefficient without additional treatment or biofiltration.</w:t>
      </w:r>
      <w:r w:rsidR="00537592" w:rsidRPr="00537592">
        <w:rPr>
          <w:rFonts w:asciiTheme="majorBidi" w:hAnsiTheme="majorBidi" w:cstheme="majorBidi"/>
        </w:rPr>
        <w:t xml:space="preserve"> </w:t>
      </w:r>
      <w:r w:rsidRPr="003D5C61">
        <w:rPr>
          <w:rFonts w:asciiTheme="majorBidi" w:hAnsiTheme="majorBidi" w:cstheme="majorBidi"/>
        </w:rPr>
        <w:t>In the probiotic-treated tank (T2), ammonia levels were consistently lower, starting at 0.1 mg/L in May and reaching 0.</w:t>
      </w:r>
      <w:r w:rsidR="00537592" w:rsidRPr="00537592">
        <w:rPr>
          <w:rFonts w:asciiTheme="majorBidi" w:hAnsiTheme="majorBidi" w:cstheme="majorBidi"/>
        </w:rPr>
        <w:t>2</w:t>
      </w:r>
      <w:r w:rsidRPr="003D5C61">
        <w:rPr>
          <w:rFonts w:asciiTheme="majorBidi" w:hAnsiTheme="majorBidi" w:cstheme="majorBidi"/>
        </w:rPr>
        <w:t xml:space="preserve"> mg/L in December. The probiotics used in T2 help enhance the microbial community's ability to convert ammonia to less toxic forms like nitrate, a process known as nitrification. This results in lower </w:t>
      </w:r>
      <w:r w:rsidRPr="003D5C61">
        <w:rPr>
          <w:rFonts w:asciiTheme="majorBidi" w:hAnsiTheme="majorBidi" w:cstheme="majorBidi"/>
        </w:rPr>
        <w:lastRenderedPageBreak/>
        <w:t>ammonia concentrations, leading to healthier water conditions and reducing the risk of toxicity.</w:t>
      </w:r>
      <w:r w:rsidR="00537592" w:rsidRPr="00537592">
        <w:rPr>
          <w:rFonts w:asciiTheme="majorBidi" w:hAnsiTheme="majorBidi" w:cstheme="majorBidi"/>
        </w:rPr>
        <w:t xml:space="preserve"> </w:t>
      </w:r>
      <w:r w:rsidRPr="003D5C61">
        <w:rPr>
          <w:rFonts w:asciiTheme="majorBidi" w:hAnsiTheme="majorBidi" w:cstheme="majorBidi"/>
        </w:rPr>
        <w:t>Elevated ammonia levels, as seen in T1, can lead to stress and gill damage in fish, reducing their overall growth performance and survival.</w:t>
      </w:r>
      <w:r w:rsidR="00537592" w:rsidRPr="00537592">
        <w:rPr>
          <w:rFonts w:asciiTheme="majorBidi" w:hAnsiTheme="majorBidi" w:cstheme="majorBidi"/>
        </w:rPr>
        <w:t xml:space="preserve"> </w:t>
      </w:r>
      <w:r w:rsidRPr="003D5C61">
        <w:rPr>
          <w:rFonts w:asciiTheme="majorBidi" w:hAnsiTheme="majorBidi" w:cstheme="majorBidi"/>
        </w:rPr>
        <w:t>In T2, the lower ammonia levels due to the probiotic treatment are beneficial as they promote better fish health, increased oxygen utilization, and more efficient nutrient uptake.</w:t>
      </w:r>
      <w:r w:rsidR="00537592" w:rsidRPr="00537592">
        <w:rPr>
          <w:rFonts w:asciiTheme="majorBidi" w:hAnsiTheme="majorBidi" w:cstheme="majorBidi"/>
        </w:rPr>
        <w:t xml:space="preserve"> </w:t>
      </w:r>
      <w:r w:rsidRPr="003D5C61">
        <w:rPr>
          <w:rFonts w:asciiTheme="majorBidi" w:hAnsiTheme="majorBidi" w:cstheme="majorBidi"/>
        </w:rPr>
        <w:t>The probiotic treatment in T2 helps optimize the nitrogen cycle by increasing beneficial bacteria that convert ammonia to less toxic compounds. This not only improves water quality but also supports sustainable aquaculture by minimizing the need for frequent water changes, which are necessary in systems with high ammonia concentrations.</w:t>
      </w:r>
      <w:r w:rsidR="00537592" w:rsidRPr="00537592">
        <w:rPr>
          <w:rFonts w:asciiTheme="majorBidi" w:hAnsiTheme="majorBidi" w:cstheme="majorBidi"/>
        </w:rPr>
        <w:t xml:space="preserve"> </w:t>
      </w:r>
      <w:r w:rsidRPr="003D5C61">
        <w:rPr>
          <w:rFonts w:asciiTheme="majorBidi" w:hAnsiTheme="majorBidi" w:cstheme="majorBidi"/>
        </w:rPr>
        <w:t xml:space="preserve">the presence of probiotics in T2 significantly improves ammonia management, contributing to healthier water and better growth conditions for </w:t>
      </w:r>
      <w:r w:rsidRPr="003D5C61">
        <w:rPr>
          <w:rFonts w:asciiTheme="majorBidi" w:hAnsiTheme="majorBidi" w:cstheme="majorBidi"/>
          <w:i/>
          <w:iCs/>
        </w:rPr>
        <w:t>Cyprinus carpio</w:t>
      </w:r>
      <w:r w:rsidRPr="003D5C61">
        <w:rPr>
          <w:rFonts w:asciiTheme="majorBidi" w:hAnsiTheme="majorBidi" w:cstheme="majorBidi"/>
        </w:rPr>
        <w:t xml:space="preserve"> fingerlings, which is crucial for sustainable aquaculture practices.</w:t>
      </w:r>
    </w:p>
    <w:p w14:paraId="6EDACA46" w14:textId="77777777" w:rsidR="00ED4511" w:rsidRPr="003D5C61" w:rsidRDefault="00ED4511" w:rsidP="00537592">
      <w:pPr>
        <w:spacing w:line="360" w:lineRule="auto"/>
        <w:jc w:val="both"/>
        <w:rPr>
          <w:rFonts w:asciiTheme="majorBidi" w:hAnsiTheme="majorBidi" w:cstheme="majorBidi"/>
        </w:rPr>
      </w:pPr>
    </w:p>
    <w:p w14:paraId="117295F7" w14:textId="7F704867" w:rsidR="00501CDD" w:rsidRDefault="00ED4511" w:rsidP="000E6C2F">
      <w:pPr>
        <w:spacing w:line="360" w:lineRule="auto"/>
        <w:jc w:val="center"/>
        <w:rPr>
          <w:rFonts w:asciiTheme="majorBidi" w:hAnsiTheme="majorBidi" w:cstheme="majorBidi"/>
          <w:b/>
          <w:bCs/>
        </w:rPr>
      </w:pPr>
      <w:r>
        <w:rPr>
          <w:rFonts w:asciiTheme="majorBidi" w:hAnsiTheme="majorBidi" w:cstheme="majorBidi"/>
          <w:b/>
          <w:bCs/>
          <w:noProof/>
        </w:rPr>
        <w:drawing>
          <wp:inline distT="0" distB="0" distL="0" distR="0" wp14:anchorId="4333A4BF" wp14:editId="24497C50">
            <wp:extent cx="4389285" cy="2427605"/>
            <wp:effectExtent l="0" t="0" r="0" b="0"/>
            <wp:docPr id="10686345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25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484948" cy="2480514"/>
                    </a:xfrm>
                    <a:prstGeom prst="rect">
                      <a:avLst/>
                    </a:prstGeom>
                    <a:noFill/>
                  </pic:spPr>
                </pic:pic>
              </a:graphicData>
            </a:graphic>
          </wp:inline>
        </w:drawing>
      </w:r>
    </w:p>
    <w:p w14:paraId="2B3713D0" w14:textId="77B28870" w:rsidR="00206839" w:rsidRDefault="00206839" w:rsidP="00206839">
      <w:pPr>
        <w:spacing w:line="360" w:lineRule="auto"/>
        <w:jc w:val="center"/>
        <w:rPr>
          <w:rFonts w:asciiTheme="majorBidi" w:hAnsiTheme="majorBidi" w:cstheme="majorBidi"/>
          <w:b/>
          <w:bCs/>
        </w:rPr>
      </w:pPr>
      <w:r>
        <w:rPr>
          <w:rFonts w:asciiTheme="majorBidi" w:hAnsiTheme="majorBidi" w:cstheme="majorBidi"/>
          <w:b/>
          <w:bCs/>
        </w:rPr>
        <w:t xml:space="preserve">        </w:t>
      </w:r>
      <w:r w:rsidR="00FD76FB">
        <w:rPr>
          <w:rFonts w:asciiTheme="majorBidi" w:hAnsiTheme="majorBidi" w:cstheme="majorBidi"/>
          <w:b/>
          <w:bCs/>
        </w:rPr>
        <w:t>(</w:t>
      </w:r>
      <w:r>
        <w:rPr>
          <w:rFonts w:asciiTheme="majorBidi" w:hAnsiTheme="majorBidi" w:cstheme="majorBidi"/>
          <w:b/>
          <w:bCs/>
        </w:rPr>
        <w:t>a</w:t>
      </w:r>
      <w:r w:rsidR="00FD76FB">
        <w:rPr>
          <w:rFonts w:asciiTheme="majorBidi" w:hAnsiTheme="majorBidi" w:cstheme="majorBidi"/>
          <w:b/>
          <w:bCs/>
        </w:rPr>
        <w:t>)</w:t>
      </w:r>
      <w:r>
        <w:rPr>
          <w:rFonts w:asciiTheme="majorBidi" w:hAnsiTheme="majorBidi" w:cstheme="majorBidi"/>
          <w:b/>
          <w:bCs/>
        </w:rPr>
        <w:t xml:space="preserve">                                                          </w:t>
      </w:r>
      <w:proofErr w:type="gramStart"/>
      <w:r>
        <w:rPr>
          <w:rFonts w:asciiTheme="majorBidi" w:hAnsiTheme="majorBidi" w:cstheme="majorBidi"/>
          <w:b/>
          <w:bCs/>
        </w:rPr>
        <w:t xml:space="preserve">   </w:t>
      </w:r>
      <w:r w:rsidR="00FD76FB">
        <w:rPr>
          <w:rFonts w:asciiTheme="majorBidi" w:hAnsiTheme="majorBidi" w:cstheme="majorBidi"/>
          <w:b/>
          <w:bCs/>
        </w:rPr>
        <w:t>(</w:t>
      </w:r>
      <w:proofErr w:type="gramEnd"/>
      <w:r>
        <w:rPr>
          <w:rFonts w:asciiTheme="majorBidi" w:hAnsiTheme="majorBidi" w:cstheme="majorBidi"/>
          <w:b/>
          <w:bCs/>
        </w:rPr>
        <w:t>b</w:t>
      </w:r>
      <w:r w:rsidR="00FD76FB">
        <w:rPr>
          <w:rFonts w:asciiTheme="majorBidi" w:hAnsiTheme="majorBidi" w:cstheme="majorBidi"/>
          <w:b/>
          <w:bCs/>
        </w:rPr>
        <w:t>)</w:t>
      </w:r>
    </w:p>
    <w:p w14:paraId="54753CAF" w14:textId="15E83444" w:rsidR="001F721E" w:rsidRDefault="001F721E" w:rsidP="000E6C2F">
      <w:pPr>
        <w:spacing w:line="360" w:lineRule="auto"/>
        <w:jc w:val="center"/>
        <w:rPr>
          <w:rFonts w:asciiTheme="majorBidi" w:hAnsiTheme="majorBidi" w:cstheme="majorBidi"/>
          <w:b/>
          <w:bCs/>
        </w:rPr>
      </w:pPr>
      <w:r>
        <w:rPr>
          <w:rFonts w:asciiTheme="majorBidi" w:hAnsiTheme="majorBidi" w:cstheme="majorBidi"/>
          <w:b/>
          <w:bCs/>
        </w:rPr>
        <w:t>Figure1:</w:t>
      </w:r>
      <w:r w:rsidRPr="001F721E">
        <w:rPr>
          <w:rFonts w:asciiTheme="majorBidi" w:hAnsiTheme="majorBidi" w:cstheme="majorBidi"/>
        </w:rPr>
        <w:t xml:space="preserve"> </w:t>
      </w:r>
      <w:r w:rsidRPr="00720E3E">
        <w:rPr>
          <w:rFonts w:asciiTheme="majorBidi" w:hAnsiTheme="majorBidi" w:cstheme="majorBidi"/>
        </w:rPr>
        <w:t>correlation heatmaps for the physical water quality parameters across months in both tanks</w:t>
      </w:r>
      <w:r>
        <w:rPr>
          <w:rFonts w:asciiTheme="majorBidi" w:hAnsiTheme="majorBidi" w:cstheme="majorBidi"/>
        </w:rPr>
        <w:t xml:space="preserve"> </w:t>
      </w:r>
      <w:r w:rsidRPr="00720E3E">
        <w:rPr>
          <w:rFonts w:asciiTheme="majorBidi" w:hAnsiTheme="majorBidi" w:cstheme="majorBidi"/>
        </w:rPr>
        <w:t>T1</w:t>
      </w:r>
      <w:r w:rsidR="00E21DAC">
        <w:rPr>
          <w:rFonts w:asciiTheme="majorBidi" w:hAnsiTheme="majorBidi" w:cstheme="majorBidi"/>
        </w:rPr>
        <w:t>(a)</w:t>
      </w:r>
      <w:r>
        <w:rPr>
          <w:rFonts w:asciiTheme="majorBidi" w:hAnsiTheme="majorBidi" w:cstheme="majorBidi"/>
        </w:rPr>
        <w:t xml:space="preserve"> and T2</w:t>
      </w:r>
      <w:r w:rsidR="00E21DAC">
        <w:rPr>
          <w:rFonts w:asciiTheme="majorBidi" w:hAnsiTheme="majorBidi" w:cstheme="majorBidi"/>
        </w:rPr>
        <w:t>(b).</w:t>
      </w:r>
    </w:p>
    <w:p w14:paraId="17F9E7AF" w14:textId="6408BE07" w:rsidR="00426BD8" w:rsidRPr="00720E3E" w:rsidRDefault="00426BD8" w:rsidP="00091640">
      <w:pPr>
        <w:spacing w:line="360" w:lineRule="auto"/>
        <w:jc w:val="both"/>
        <w:rPr>
          <w:rFonts w:asciiTheme="majorBidi" w:hAnsiTheme="majorBidi" w:cstheme="majorBidi"/>
        </w:rPr>
      </w:pPr>
      <w:r w:rsidRPr="00720E3E">
        <w:rPr>
          <w:rFonts w:asciiTheme="majorBidi" w:hAnsiTheme="majorBidi" w:cstheme="majorBidi"/>
        </w:rPr>
        <w:t>T1 (</w:t>
      </w:r>
      <w:r w:rsidR="001F721E">
        <w:rPr>
          <w:rFonts w:asciiTheme="majorBidi" w:hAnsiTheme="majorBidi" w:cstheme="majorBidi"/>
        </w:rPr>
        <w:t>without probiotic treated</w:t>
      </w:r>
      <w:r w:rsidR="001F721E" w:rsidRPr="00720E3E">
        <w:rPr>
          <w:rFonts w:asciiTheme="majorBidi" w:hAnsiTheme="majorBidi" w:cstheme="majorBidi"/>
        </w:rPr>
        <w:t xml:space="preserve"> System</w:t>
      </w:r>
      <w:r w:rsidRPr="00720E3E">
        <w:rPr>
          <w:rFonts w:asciiTheme="majorBidi" w:hAnsiTheme="majorBidi" w:cstheme="majorBidi"/>
        </w:rPr>
        <w:t>) shows a stronger correlation between ammonia and total hardness, and moderate correlations among DO, CO₂, and ammonia. T2 (</w:t>
      </w:r>
      <w:r w:rsidR="001F721E">
        <w:rPr>
          <w:rFonts w:asciiTheme="majorBidi" w:hAnsiTheme="majorBidi" w:cstheme="majorBidi"/>
        </w:rPr>
        <w:t>probiotic treated</w:t>
      </w:r>
      <w:r w:rsidRPr="00720E3E">
        <w:rPr>
          <w:rFonts w:asciiTheme="majorBidi" w:hAnsiTheme="majorBidi" w:cstheme="majorBidi"/>
        </w:rPr>
        <w:t xml:space="preserve"> System) exhibits notable correlations between turbidity and nitrate and between fluoride and ammonia</w:t>
      </w:r>
      <w:r w:rsidR="001F721E">
        <w:rPr>
          <w:rFonts w:asciiTheme="majorBidi" w:hAnsiTheme="majorBidi" w:cstheme="majorBidi"/>
        </w:rPr>
        <w:t xml:space="preserve"> (Figure 2)</w:t>
      </w:r>
      <w:r w:rsidRPr="00720E3E">
        <w:rPr>
          <w:rFonts w:asciiTheme="majorBidi" w:hAnsiTheme="majorBidi" w:cstheme="majorBidi"/>
        </w:rPr>
        <w:t>.</w:t>
      </w:r>
      <w:r w:rsidR="00091640">
        <w:rPr>
          <w:rFonts w:asciiTheme="majorBidi" w:hAnsiTheme="majorBidi" w:cstheme="majorBidi"/>
        </w:rPr>
        <w:t xml:space="preserve"> </w:t>
      </w:r>
      <w:r w:rsidR="00091640" w:rsidRPr="00091640">
        <w:rPr>
          <w:rFonts w:asciiTheme="majorBidi" w:hAnsiTheme="majorBidi" w:cstheme="majorBidi"/>
        </w:rPr>
        <w:t xml:space="preserve">Ghorbani </w:t>
      </w:r>
      <w:proofErr w:type="spellStart"/>
      <w:r w:rsidR="00091640" w:rsidRPr="00091640">
        <w:rPr>
          <w:rFonts w:asciiTheme="majorBidi" w:hAnsiTheme="majorBidi" w:cstheme="majorBidi"/>
        </w:rPr>
        <w:t>Koutanaei</w:t>
      </w:r>
      <w:proofErr w:type="spellEnd"/>
      <w:r w:rsidR="00091640" w:rsidRPr="00091640">
        <w:rPr>
          <w:rFonts w:asciiTheme="majorBidi" w:hAnsiTheme="majorBidi" w:cstheme="majorBidi"/>
        </w:rPr>
        <w:t xml:space="preserve"> (2024) evaluated the effects of Bio-Aqua® probiotic as a water additive on water quality, growth, proximate composition, hematology, and biochemistry in </w:t>
      </w:r>
      <w:r w:rsidR="00091640" w:rsidRPr="00091640">
        <w:rPr>
          <w:rFonts w:asciiTheme="majorBidi" w:hAnsiTheme="majorBidi" w:cstheme="majorBidi"/>
        </w:rPr>
        <w:lastRenderedPageBreak/>
        <w:t>common carp (</w:t>
      </w:r>
      <w:r w:rsidR="00091640" w:rsidRPr="00091640">
        <w:rPr>
          <w:rFonts w:asciiTheme="majorBidi" w:hAnsiTheme="majorBidi" w:cstheme="majorBidi"/>
          <w:i/>
          <w:iCs/>
        </w:rPr>
        <w:t>Cyprinus carpio</w:t>
      </w:r>
      <w:r w:rsidR="00091640" w:rsidRPr="00091640">
        <w:rPr>
          <w:rFonts w:asciiTheme="majorBidi" w:hAnsiTheme="majorBidi" w:cstheme="majorBidi"/>
        </w:rPr>
        <w:t>). Four groups were tested: control (0 g/ha), T1 (250 g/ha), T2 (350 g/ha), and T3 (450 g/ha). Probiotic treatments significantly improved water quality by reducing NH₃, COD, TDS, TSS, BOD, nitrite, and phosphate, especially at higher doses. Growth parameters (weight gain, length gain, SGR, CF) and feed efficiency (FCR) improved dose-dependently, with T3 showing the best results. The T3 group also had increased crude protein and lipid, decreased ash and moisture, and enhanced hematological indices (RBC, Hct, Hb, WBC, neutrophils, eosinophils, monocytes, lymphocytes). Biochemical markers (LDH, ALP, albumin, globulin, total protein) increased significantly in probiotic-treated groups. Overall, Bio-Aqua® significantly boosts pond water quality, fish growth, and health, supporting its use as a beneficial aquaculture additive.</w:t>
      </w:r>
    </w:p>
    <w:p w14:paraId="1C30C693" w14:textId="77777777" w:rsidR="003800FD" w:rsidRDefault="003800FD" w:rsidP="00780C41">
      <w:pPr>
        <w:spacing w:line="360" w:lineRule="auto"/>
        <w:jc w:val="both"/>
        <w:rPr>
          <w:rFonts w:asciiTheme="majorBidi" w:hAnsiTheme="majorBidi" w:cstheme="majorBidi"/>
          <w:b/>
          <w:bCs/>
        </w:rPr>
      </w:pPr>
    </w:p>
    <w:p w14:paraId="3C323A8B" w14:textId="1638FAF0" w:rsidR="0099633D" w:rsidRDefault="0099633D" w:rsidP="005E1F68">
      <w:pPr>
        <w:spacing w:line="360" w:lineRule="auto"/>
        <w:jc w:val="center"/>
        <w:rPr>
          <w:rFonts w:asciiTheme="majorBidi" w:hAnsiTheme="majorBidi" w:cstheme="majorBidi"/>
          <w:b/>
          <w:bCs/>
        </w:rPr>
      </w:pPr>
      <w:r>
        <w:rPr>
          <w:noProof/>
        </w:rPr>
        <w:drawing>
          <wp:inline distT="0" distB="0" distL="0" distR="0" wp14:anchorId="65C47288" wp14:editId="6690FFD3">
            <wp:extent cx="4587706" cy="3661833"/>
            <wp:effectExtent l="0" t="0" r="3810" b="0"/>
            <wp:docPr id="1896364473" name="Picture 3"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Output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03059" cy="3674087"/>
                    </a:xfrm>
                    <a:prstGeom prst="rect">
                      <a:avLst/>
                    </a:prstGeom>
                    <a:noFill/>
                    <a:ln>
                      <a:noFill/>
                    </a:ln>
                  </pic:spPr>
                </pic:pic>
              </a:graphicData>
            </a:graphic>
          </wp:inline>
        </w:drawing>
      </w:r>
    </w:p>
    <w:p w14:paraId="699F841F" w14:textId="4D92DE8B" w:rsidR="001F721E" w:rsidRDefault="001F721E" w:rsidP="001F721E">
      <w:pPr>
        <w:spacing w:line="360" w:lineRule="auto"/>
        <w:jc w:val="center"/>
        <w:rPr>
          <w:rFonts w:asciiTheme="majorBidi" w:hAnsiTheme="majorBidi" w:cstheme="majorBidi"/>
          <w:b/>
          <w:bCs/>
        </w:rPr>
      </w:pPr>
      <w:r>
        <w:rPr>
          <w:rFonts w:asciiTheme="majorBidi" w:hAnsiTheme="majorBidi" w:cstheme="majorBidi"/>
          <w:b/>
          <w:bCs/>
        </w:rPr>
        <w:t>Figure2:</w:t>
      </w:r>
      <w:r w:rsidRPr="001F721E">
        <w:rPr>
          <w:rFonts w:asciiTheme="majorBidi" w:hAnsiTheme="majorBidi" w:cstheme="majorBidi"/>
        </w:rPr>
        <w:t xml:space="preserve"> </w:t>
      </w:r>
      <w:r w:rsidRPr="00720E3E">
        <w:rPr>
          <w:rFonts w:asciiTheme="majorBidi" w:hAnsiTheme="majorBidi" w:cstheme="majorBidi"/>
        </w:rPr>
        <w:t xml:space="preserve">The correlation graph </w:t>
      </w:r>
      <w:r w:rsidR="006126F9">
        <w:rPr>
          <w:rFonts w:asciiTheme="majorBidi" w:hAnsiTheme="majorBidi" w:cstheme="majorBidi"/>
        </w:rPr>
        <w:t xml:space="preserve">between </w:t>
      </w:r>
      <w:r w:rsidRPr="00720E3E">
        <w:rPr>
          <w:rFonts w:asciiTheme="majorBidi" w:hAnsiTheme="majorBidi" w:cstheme="majorBidi"/>
        </w:rPr>
        <w:t>T1</w:t>
      </w:r>
      <w:r w:rsidR="006126F9">
        <w:rPr>
          <w:rFonts w:asciiTheme="majorBidi" w:hAnsiTheme="majorBidi" w:cstheme="majorBidi"/>
        </w:rPr>
        <w:t xml:space="preserve"> </w:t>
      </w:r>
      <w:r w:rsidRPr="00720E3E">
        <w:rPr>
          <w:rFonts w:asciiTheme="majorBidi" w:hAnsiTheme="majorBidi" w:cstheme="majorBidi"/>
        </w:rPr>
        <w:t>and T2</w:t>
      </w:r>
    </w:p>
    <w:p w14:paraId="5A81EEF7" w14:textId="6A9F1071" w:rsidR="00BB3399" w:rsidRPr="00720E3E" w:rsidRDefault="00BB3399" w:rsidP="006F6888">
      <w:pPr>
        <w:spacing w:line="360" w:lineRule="auto"/>
        <w:jc w:val="both"/>
        <w:rPr>
          <w:rFonts w:asciiTheme="majorBidi" w:hAnsiTheme="majorBidi" w:cstheme="majorBidi"/>
        </w:rPr>
      </w:pPr>
      <w:r w:rsidRPr="00720E3E">
        <w:rPr>
          <w:rFonts w:asciiTheme="majorBidi" w:hAnsiTheme="majorBidi" w:cstheme="majorBidi"/>
        </w:rPr>
        <w:t>The correlation graph showing how closely the physical parameters from Tank 1 (T1) and Tank 2 (T2) relate to each other across different months. A correlation coefficient close to 1 indicates a strong positive correlation, meaning the values in T1 and T2 rise and fall together</w:t>
      </w:r>
      <w:r w:rsidR="00A05989">
        <w:rPr>
          <w:rFonts w:asciiTheme="majorBidi" w:hAnsiTheme="majorBidi" w:cstheme="majorBidi"/>
        </w:rPr>
        <w:t xml:space="preserve"> (</w:t>
      </w:r>
      <w:r w:rsidR="00A05989" w:rsidRPr="00A05989">
        <w:rPr>
          <w:rFonts w:asciiTheme="majorBidi" w:hAnsiTheme="majorBidi" w:cstheme="majorBidi"/>
        </w:rPr>
        <w:t>Figure2</w:t>
      </w:r>
      <w:r w:rsidR="00A05989">
        <w:rPr>
          <w:rFonts w:asciiTheme="majorBidi" w:hAnsiTheme="majorBidi" w:cstheme="majorBidi"/>
        </w:rPr>
        <w:t>)</w:t>
      </w:r>
      <w:r w:rsidRPr="00720E3E">
        <w:rPr>
          <w:rFonts w:asciiTheme="majorBidi" w:hAnsiTheme="majorBidi" w:cstheme="majorBidi"/>
        </w:rPr>
        <w:t>.</w:t>
      </w:r>
      <w:r w:rsidR="006F6888" w:rsidRPr="006F6888">
        <w:t xml:space="preserve"> </w:t>
      </w:r>
      <w:r w:rsidR="006F6888" w:rsidRPr="006F6888">
        <w:rPr>
          <w:rFonts w:asciiTheme="majorBidi" w:hAnsiTheme="majorBidi" w:cstheme="majorBidi"/>
        </w:rPr>
        <w:t xml:space="preserve">Sharna </w:t>
      </w:r>
      <w:r w:rsidR="006F6888" w:rsidRPr="006F6888">
        <w:rPr>
          <w:rFonts w:asciiTheme="majorBidi" w:hAnsiTheme="majorBidi" w:cstheme="majorBidi"/>
        </w:rPr>
        <w:lastRenderedPageBreak/>
        <w:t xml:space="preserve">(2025) highlighted probiotics as a promising alternative to synthetic agrochemicals in Bangladeshi aquaculture, where most probiotics are imported and sometimes ineffective due to incompatibility with local environments. This study isolated and identified five native probiotic strains from the gut of Asian stinging catfish: </w:t>
      </w:r>
      <w:r w:rsidR="006F6888" w:rsidRPr="006F6888">
        <w:rPr>
          <w:rFonts w:asciiTheme="majorBidi" w:hAnsiTheme="majorBidi" w:cstheme="majorBidi"/>
          <w:i/>
          <w:iCs/>
        </w:rPr>
        <w:t xml:space="preserve">Bacillus </w:t>
      </w:r>
      <w:proofErr w:type="spellStart"/>
      <w:r w:rsidR="006F6888" w:rsidRPr="006F6888">
        <w:rPr>
          <w:rFonts w:asciiTheme="majorBidi" w:hAnsiTheme="majorBidi" w:cstheme="majorBidi"/>
          <w:i/>
          <w:iCs/>
        </w:rPr>
        <w:t>safensis</w:t>
      </w:r>
      <w:proofErr w:type="spellEnd"/>
      <w:r w:rsidR="006F6888" w:rsidRPr="006F6888">
        <w:rPr>
          <w:rFonts w:asciiTheme="majorBidi" w:hAnsiTheme="majorBidi" w:cstheme="majorBidi"/>
        </w:rPr>
        <w:t xml:space="preserve"> (HF8), </w:t>
      </w:r>
      <w:r w:rsidR="006F6888" w:rsidRPr="006F6888">
        <w:rPr>
          <w:rFonts w:asciiTheme="majorBidi" w:hAnsiTheme="majorBidi" w:cstheme="majorBidi"/>
          <w:i/>
          <w:iCs/>
        </w:rPr>
        <w:t xml:space="preserve">Bacillus </w:t>
      </w:r>
      <w:proofErr w:type="spellStart"/>
      <w:r w:rsidR="006F6888" w:rsidRPr="006F6888">
        <w:rPr>
          <w:rFonts w:asciiTheme="majorBidi" w:hAnsiTheme="majorBidi" w:cstheme="majorBidi"/>
          <w:i/>
          <w:iCs/>
        </w:rPr>
        <w:t>altitudinis</w:t>
      </w:r>
      <w:proofErr w:type="spellEnd"/>
      <w:r w:rsidR="006F6888" w:rsidRPr="006F6888">
        <w:rPr>
          <w:rFonts w:asciiTheme="majorBidi" w:hAnsiTheme="majorBidi" w:cstheme="majorBidi"/>
        </w:rPr>
        <w:t xml:space="preserve"> (HF10), </w:t>
      </w:r>
      <w:r w:rsidR="006F6888" w:rsidRPr="006F6888">
        <w:rPr>
          <w:rFonts w:asciiTheme="majorBidi" w:hAnsiTheme="majorBidi" w:cstheme="majorBidi"/>
          <w:i/>
          <w:iCs/>
        </w:rPr>
        <w:t>Bacillus pacificus</w:t>
      </w:r>
      <w:r w:rsidR="006F6888" w:rsidRPr="006F6888">
        <w:rPr>
          <w:rFonts w:asciiTheme="majorBidi" w:hAnsiTheme="majorBidi" w:cstheme="majorBidi"/>
        </w:rPr>
        <w:t xml:space="preserve"> (HF19), and two </w:t>
      </w:r>
      <w:r w:rsidR="006F6888" w:rsidRPr="006F6888">
        <w:rPr>
          <w:rFonts w:asciiTheme="majorBidi" w:hAnsiTheme="majorBidi" w:cstheme="majorBidi"/>
          <w:i/>
          <w:iCs/>
        </w:rPr>
        <w:t>Bacillus cereus</w:t>
      </w:r>
      <w:r w:rsidR="006F6888" w:rsidRPr="006F6888">
        <w:rPr>
          <w:rFonts w:asciiTheme="majorBidi" w:hAnsiTheme="majorBidi" w:cstheme="majorBidi"/>
        </w:rPr>
        <w:t xml:space="preserve"> strains (HF20, HF21). These isolates showed varying antibiotic susceptibility and, individually or combined, exhibited antagonistic activity against </w:t>
      </w:r>
      <w:r w:rsidR="006F6888" w:rsidRPr="006F6888">
        <w:rPr>
          <w:rFonts w:asciiTheme="majorBidi" w:hAnsiTheme="majorBidi" w:cstheme="majorBidi"/>
          <w:i/>
          <w:iCs/>
        </w:rPr>
        <w:t>Aeromonas hydrophila</w:t>
      </w:r>
      <w:r w:rsidR="006F6888" w:rsidRPr="006F6888">
        <w:rPr>
          <w:rFonts w:asciiTheme="majorBidi" w:hAnsiTheme="majorBidi" w:cstheme="majorBidi"/>
        </w:rPr>
        <w:t>, with HF8 being the most effective. A probiotic consortium (1.15 × 10⁹ to 2.3 × 10⁹ CFU/kg feed) significantly enhanced growth, hepatosomatic index, relative intestine weight, and improved intestinal and liver morphology in catfish over 60 days. Hematobiochemical responses varied, while gonadosomatic index and ovarian development improved with probiotic treatment. The study recommends multi-location field trials before commercial application to boost ecofriendly fish production in Bangladesh.</w:t>
      </w:r>
    </w:p>
    <w:p w14:paraId="1DEDBB96" w14:textId="6CFDB72E" w:rsidR="00A05989" w:rsidRPr="00720E3E" w:rsidRDefault="00A05989" w:rsidP="0060731D">
      <w:pPr>
        <w:spacing w:before="100" w:beforeAutospacing="1" w:after="100" w:afterAutospacing="1"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Table 2</w:t>
      </w:r>
      <w:r w:rsidR="00786F92">
        <w:rPr>
          <w:rFonts w:ascii="Times New Roman" w:eastAsia="Times New Roman" w:hAnsi="Times New Roman" w:cs="Times New Roman"/>
          <w:kern w:val="0"/>
          <w14:ligatures w14:val="none"/>
        </w:rPr>
        <w:t xml:space="preserve">: </w:t>
      </w:r>
      <w:r w:rsidR="00786F92" w:rsidRPr="00720E3E">
        <w:rPr>
          <w:rFonts w:ascii="Times New Roman" w:eastAsia="Times New Roman" w:hAnsi="Times New Roman" w:cs="Times New Roman"/>
          <w:kern w:val="0"/>
          <w14:ligatures w14:val="none"/>
        </w:rPr>
        <w:t xml:space="preserve">Growth parameters of </w:t>
      </w:r>
      <w:r w:rsidR="00786F92" w:rsidRPr="00720E3E">
        <w:rPr>
          <w:rFonts w:ascii="Times New Roman" w:eastAsia="Times New Roman" w:hAnsi="Times New Roman" w:cs="Times New Roman"/>
          <w:i/>
          <w:iCs/>
          <w:kern w:val="0"/>
          <w14:ligatures w14:val="none"/>
        </w:rPr>
        <w:t>Cyprinus carpio</w:t>
      </w:r>
      <w:r w:rsidR="00786F92" w:rsidRPr="00720E3E">
        <w:rPr>
          <w:rFonts w:ascii="Times New Roman" w:eastAsia="Times New Roman" w:hAnsi="Times New Roman" w:cs="Times New Roman"/>
          <w:kern w:val="0"/>
          <w14:ligatures w14:val="none"/>
        </w:rPr>
        <w:t xml:space="preserve"> fingerlings cultured in </w:t>
      </w:r>
      <w:r w:rsidR="00786F92">
        <w:rPr>
          <w:rFonts w:ascii="Times New Roman" w:eastAsia="Times New Roman" w:hAnsi="Times New Roman" w:cs="Times New Roman"/>
          <w:kern w:val="0"/>
          <w14:ligatures w14:val="none"/>
        </w:rPr>
        <w:t>T1</w:t>
      </w:r>
      <w:r w:rsidR="00D376C9">
        <w:rPr>
          <w:rFonts w:ascii="Times New Roman" w:eastAsia="Times New Roman" w:hAnsi="Times New Roman" w:cs="Times New Roman"/>
          <w:kern w:val="0"/>
          <w14:ligatures w14:val="none"/>
        </w:rPr>
        <w:t xml:space="preserve"> (</w:t>
      </w:r>
      <w:r w:rsidR="00786F92" w:rsidRPr="00720E3E">
        <w:rPr>
          <w:rFonts w:ascii="Times New Roman" w:eastAsia="Times New Roman" w:hAnsi="Times New Roman" w:cs="Times New Roman"/>
          <w:kern w:val="0"/>
          <w14:ligatures w14:val="none"/>
        </w:rPr>
        <w:t>without Probiotic Biofloc System</w:t>
      </w:r>
      <w:r w:rsidR="00D376C9">
        <w:rPr>
          <w:rFonts w:ascii="Times New Roman" w:eastAsia="Times New Roman" w:hAnsi="Times New Roman" w:cs="Times New Roman"/>
          <w:kern w:val="0"/>
          <w14:ligatures w14:val="none"/>
        </w:rPr>
        <w:t>)</w:t>
      </w:r>
      <w:r w:rsidR="00786F92" w:rsidRPr="00720E3E">
        <w:rPr>
          <w:rFonts w:ascii="Times New Roman" w:eastAsia="Times New Roman" w:hAnsi="Times New Roman" w:cs="Times New Roman"/>
          <w:kern w:val="0"/>
          <w14:ligatures w14:val="none"/>
        </w:rPr>
        <w:t xml:space="preserve"> vs. </w:t>
      </w:r>
      <w:r w:rsidR="00D376C9">
        <w:rPr>
          <w:rFonts w:ascii="Times New Roman" w:eastAsia="Times New Roman" w:hAnsi="Times New Roman" w:cs="Times New Roman"/>
          <w:kern w:val="0"/>
          <w14:ligatures w14:val="none"/>
        </w:rPr>
        <w:t>T2 (</w:t>
      </w:r>
      <w:r w:rsidR="00786F92" w:rsidRPr="00720E3E">
        <w:rPr>
          <w:rFonts w:ascii="Times New Roman" w:eastAsia="Times New Roman" w:hAnsi="Times New Roman" w:cs="Times New Roman"/>
          <w:kern w:val="0"/>
          <w14:ligatures w14:val="none"/>
        </w:rPr>
        <w:t>Probiotic Biofloc System</w:t>
      </w:r>
      <w:r w:rsidR="00D376C9">
        <w:rPr>
          <w:rFonts w:ascii="Times New Roman" w:eastAsia="Times New Roman" w:hAnsi="Times New Roman" w:cs="Times New Roman"/>
          <w:kern w:val="0"/>
          <w14:ligatures w14:val="none"/>
        </w:rPr>
        <w:t>).</w:t>
      </w:r>
    </w:p>
    <w:tbl>
      <w:tblPr>
        <w:tblStyle w:val="TableGrid"/>
        <w:tblW w:w="0" w:type="auto"/>
        <w:tblLook w:val="04A0" w:firstRow="1" w:lastRow="0" w:firstColumn="1" w:lastColumn="0" w:noHBand="0" w:noVBand="1"/>
      </w:tblPr>
      <w:tblGrid>
        <w:gridCol w:w="3775"/>
        <w:gridCol w:w="2430"/>
        <w:gridCol w:w="3145"/>
      </w:tblGrid>
      <w:tr w:rsidR="00B07D5B" w:rsidRPr="0056763E" w14:paraId="2B2D515D" w14:textId="77777777" w:rsidTr="0056763E">
        <w:tc>
          <w:tcPr>
            <w:tcW w:w="3775" w:type="dxa"/>
            <w:vAlign w:val="center"/>
          </w:tcPr>
          <w:p w14:paraId="0D9EC900" w14:textId="31CF14BA" w:rsidR="00B07D5B" w:rsidRPr="0056763E" w:rsidRDefault="00B07D5B" w:rsidP="0056763E">
            <w:pPr>
              <w:spacing w:line="360" w:lineRule="auto"/>
              <w:rPr>
                <w:rFonts w:asciiTheme="majorBidi" w:hAnsiTheme="majorBidi" w:cstheme="majorBidi"/>
                <w:b/>
                <w:bCs/>
              </w:rPr>
            </w:pPr>
            <w:r w:rsidRPr="0056763E">
              <w:rPr>
                <w:rFonts w:asciiTheme="majorBidi" w:hAnsiTheme="majorBidi" w:cstheme="majorBidi"/>
                <w:b/>
                <w:bCs/>
              </w:rPr>
              <w:t>Parameters</w:t>
            </w:r>
          </w:p>
        </w:tc>
        <w:tc>
          <w:tcPr>
            <w:tcW w:w="2430" w:type="dxa"/>
            <w:vAlign w:val="center"/>
          </w:tcPr>
          <w:p w14:paraId="1F91CC8F" w14:textId="28A08D95" w:rsidR="00B07D5B" w:rsidRPr="0056763E" w:rsidRDefault="00B07D5B" w:rsidP="0056763E">
            <w:pPr>
              <w:spacing w:line="360" w:lineRule="auto"/>
              <w:rPr>
                <w:rFonts w:asciiTheme="majorBidi" w:hAnsiTheme="majorBidi" w:cstheme="majorBidi"/>
                <w:b/>
                <w:bCs/>
              </w:rPr>
            </w:pPr>
            <w:r w:rsidRPr="0056763E">
              <w:rPr>
                <w:rFonts w:asciiTheme="majorBidi" w:hAnsiTheme="majorBidi" w:cstheme="majorBidi"/>
                <w:b/>
                <w:bCs/>
              </w:rPr>
              <w:t xml:space="preserve">T1 </w:t>
            </w:r>
          </w:p>
        </w:tc>
        <w:tc>
          <w:tcPr>
            <w:tcW w:w="3145" w:type="dxa"/>
            <w:vAlign w:val="center"/>
          </w:tcPr>
          <w:p w14:paraId="37614F55" w14:textId="326467DE" w:rsidR="00B07D5B" w:rsidRPr="0056763E" w:rsidRDefault="00B07D5B" w:rsidP="0056763E">
            <w:pPr>
              <w:spacing w:line="360" w:lineRule="auto"/>
              <w:rPr>
                <w:rFonts w:asciiTheme="majorBidi" w:hAnsiTheme="majorBidi" w:cstheme="majorBidi"/>
                <w:b/>
                <w:bCs/>
              </w:rPr>
            </w:pPr>
            <w:r w:rsidRPr="0056763E">
              <w:rPr>
                <w:rFonts w:asciiTheme="majorBidi" w:hAnsiTheme="majorBidi" w:cstheme="majorBidi"/>
                <w:b/>
                <w:bCs/>
              </w:rPr>
              <w:t xml:space="preserve">T2 </w:t>
            </w:r>
          </w:p>
        </w:tc>
      </w:tr>
      <w:tr w:rsidR="00B07D5B" w:rsidRPr="0056763E" w14:paraId="100C558F" w14:textId="77777777" w:rsidTr="0056763E">
        <w:tc>
          <w:tcPr>
            <w:tcW w:w="3775" w:type="dxa"/>
            <w:vAlign w:val="center"/>
          </w:tcPr>
          <w:p w14:paraId="04971C54" w14:textId="45B02ECB" w:rsidR="00B07D5B" w:rsidRPr="0056763E" w:rsidRDefault="00B07D5B" w:rsidP="0056763E">
            <w:pPr>
              <w:spacing w:line="360" w:lineRule="auto"/>
              <w:rPr>
                <w:rFonts w:asciiTheme="majorBidi" w:hAnsiTheme="majorBidi" w:cstheme="majorBidi"/>
                <w:b/>
                <w:bCs/>
              </w:rPr>
            </w:pPr>
            <w:r w:rsidRPr="0056763E">
              <w:rPr>
                <w:rFonts w:asciiTheme="majorBidi" w:hAnsiTheme="majorBidi" w:cstheme="majorBidi"/>
                <w:b/>
                <w:bCs/>
              </w:rPr>
              <w:t>Survival (%)</w:t>
            </w:r>
          </w:p>
        </w:tc>
        <w:tc>
          <w:tcPr>
            <w:tcW w:w="2430" w:type="dxa"/>
            <w:vAlign w:val="center"/>
          </w:tcPr>
          <w:p w14:paraId="34267731" w14:textId="13000315" w:rsidR="00B07D5B" w:rsidRPr="0056763E" w:rsidRDefault="00B07D5B" w:rsidP="0056763E">
            <w:pPr>
              <w:spacing w:line="360" w:lineRule="auto"/>
              <w:rPr>
                <w:rFonts w:asciiTheme="majorBidi" w:hAnsiTheme="majorBidi" w:cstheme="majorBidi"/>
              </w:rPr>
            </w:pPr>
            <w:r w:rsidRPr="0056763E">
              <w:rPr>
                <w:rFonts w:asciiTheme="majorBidi" w:hAnsiTheme="majorBidi" w:cstheme="majorBidi"/>
              </w:rPr>
              <w:t>90 ± 1.2</w:t>
            </w:r>
          </w:p>
        </w:tc>
        <w:tc>
          <w:tcPr>
            <w:tcW w:w="3145" w:type="dxa"/>
            <w:vAlign w:val="center"/>
          </w:tcPr>
          <w:p w14:paraId="42B760E0" w14:textId="0282EE3C" w:rsidR="00B07D5B" w:rsidRPr="0056763E" w:rsidRDefault="00B07D5B" w:rsidP="0056763E">
            <w:pPr>
              <w:spacing w:line="360" w:lineRule="auto"/>
              <w:rPr>
                <w:rFonts w:asciiTheme="majorBidi" w:hAnsiTheme="majorBidi" w:cstheme="majorBidi"/>
              </w:rPr>
            </w:pPr>
            <w:r w:rsidRPr="0056763E">
              <w:rPr>
                <w:rFonts w:asciiTheme="majorBidi" w:hAnsiTheme="majorBidi" w:cstheme="majorBidi"/>
              </w:rPr>
              <w:t>93 ± 0.9</w:t>
            </w:r>
          </w:p>
        </w:tc>
      </w:tr>
      <w:tr w:rsidR="00B07D5B" w:rsidRPr="0056763E" w14:paraId="69B4F085" w14:textId="77777777" w:rsidTr="0056763E">
        <w:tc>
          <w:tcPr>
            <w:tcW w:w="3775" w:type="dxa"/>
            <w:vAlign w:val="center"/>
          </w:tcPr>
          <w:p w14:paraId="443AFCCE" w14:textId="73FA30B6" w:rsidR="00B07D5B" w:rsidRPr="0056763E" w:rsidRDefault="00B07D5B" w:rsidP="0056763E">
            <w:pPr>
              <w:spacing w:line="360" w:lineRule="auto"/>
              <w:rPr>
                <w:rFonts w:asciiTheme="majorBidi" w:hAnsiTheme="majorBidi" w:cstheme="majorBidi"/>
                <w:b/>
                <w:bCs/>
              </w:rPr>
            </w:pPr>
            <w:r w:rsidRPr="0056763E">
              <w:rPr>
                <w:rFonts w:asciiTheme="majorBidi" w:hAnsiTheme="majorBidi" w:cstheme="majorBidi"/>
                <w:b/>
                <w:bCs/>
              </w:rPr>
              <w:t>Initial Body Weight (g)</w:t>
            </w:r>
          </w:p>
        </w:tc>
        <w:tc>
          <w:tcPr>
            <w:tcW w:w="2430" w:type="dxa"/>
            <w:vAlign w:val="center"/>
          </w:tcPr>
          <w:p w14:paraId="26014AF9" w14:textId="602BA9CF" w:rsidR="00B07D5B" w:rsidRPr="0056763E" w:rsidRDefault="00B07D5B" w:rsidP="0056763E">
            <w:pPr>
              <w:spacing w:line="360" w:lineRule="auto"/>
              <w:rPr>
                <w:rFonts w:asciiTheme="majorBidi" w:hAnsiTheme="majorBidi" w:cstheme="majorBidi"/>
              </w:rPr>
            </w:pPr>
            <w:r w:rsidRPr="0056763E">
              <w:rPr>
                <w:rFonts w:asciiTheme="majorBidi" w:hAnsiTheme="majorBidi" w:cstheme="majorBidi"/>
              </w:rPr>
              <w:t>0.52 ± 0.03</w:t>
            </w:r>
          </w:p>
        </w:tc>
        <w:tc>
          <w:tcPr>
            <w:tcW w:w="3145" w:type="dxa"/>
            <w:vAlign w:val="center"/>
          </w:tcPr>
          <w:p w14:paraId="1AA5E7A9" w14:textId="061E4624" w:rsidR="00B07D5B" w:rsidRPr="0056763E" w:rsidRDefault="00B07D5B" w:rsidP="0056763E">
            <w:pPr>
              <w:spacing w:line="360" w:lineRule="auto"/>
              <w:rPr>
                <w:rFonts w:asciiTheme="majorBidi" w:hAnsiTheme="majorBidi" w:cstheme="majorBidi"/>
              </w:rPr>
            </w:pPr>
            <w:r w:rsidRPr="0056763E">
              <w:rPr>
                <w:rFonts w:asciiTheme="majorBidi" w:hAnsiTheme="majorBidi" w:cstheme="majorBidi"/>
              </w:rPr>
              <w:t>0.51 ± 0.04</w:t>
            </w:r>
          </w:p>
        </w:tc>
      </w:tr>
      <w:tr w:rsidR="00B07D5B" w:rsidRPr="0056763E" w14:paraId="566F5A43" w14:textId="77777777" w:rsidTr="0056763E">
        <w:tc>
          <w:tcPr>
            <w:tcW w:w="3775" w:type="dxa"/>
            <w:vAlign w:val="center"/>
          </w:tcPr>
          <w:p w14:paraId="5D7C0C03" w14:textId="527581AF" w:rsidR="00B07D5B" w:rsidRPr="0056763E" w:rsidRDefault="00B07D5B" w:rsidP="0056763E">
            <w:pPr>
              <w:spacing w:line="360" w:lineRule="auto"/>
              <w:rPr>
                <w:rFonts w:asciiTheme="majorBidi" w:hAnsiTheme="majorBidi" w:cstheme="majorBidi"/>
                <w:b/>
                <w:bCs/>
              </w:rPr>
            </w:pPr>
            <w:r w:rsidRPr="0056763E">
              <w:rPr>
                <w:rFonts w:asciiTheme="majorBidi" w:hAnsiTheme="majorBidi" w:cstheme="majorBidi"/>
                <w:b/>
                <w:bCs/>
              </w:rPr>
              <w:t>Final Body Weight (g)</w:t>
            </w:r>
          </w:p>
        </w:tc>
        <w:tc>
          <w:tcPr>
            <w:tcW w:w="2430" w:type="dxa"/>
            <w:vAlign w:val="center"/>
          </w:tcPr>
          <w:p w14:paraId="7AE5A5EE" w14:textId="00FCEFAB" w:rsidR="00B07D5B" w:rsidRPr="0056763E" w:rsidRDefault="00B07D5B" w:rsidP="0056763E">
            <w:pPr>
              <w:spacing w:line="360" w:lineRule="auto"/>
              <w:rPr>
                <w:rFonts w:asciiTheme="majorBidi" w:hAnsiTheme="majorBidi" w:cstheme="majorBidi"/>
              </w:rPr>
            </w:pPr>
            <w:r w:rsidRPr="0056763E">
              <w:rPr>
                <w:rFonts w:asciiTheme="majorBidi" w:hAnsiTheme="majorBidi" w:cstheme="majorBidi"/>
              </w:rPr>
              <w:t>8.20 ± 1.0</w:t>
            </w:r>
          </w:p>
        </w:tc>
        <w:tc>
          <w:tcPr>
            <w:tcW w:w="3145" w:type="dxa"/>
            <w:vAlign w:val="center"/>
          </w:tcPr>
          <w:p w14:paraId="571B894E" w14:textId="0283257A" w:rsidR="00B07D5B" w:rsidRPr="0056763E" w:rsidRDefault="00B07D5B" w:rsidP="0056763E">
            <w:pPr>
              <w:spacing w:line="360" w:lineRule="auto"/>
              <w:rPr>
                <w:rFonts w:asciiTheme="majorBidi" w:hAnsiTheme="majorBidi" w:cstheme="majorBidi"/>
              </w:rPr>
            </w:pPr>
            <w:r w:rsidRPr="0056763E">
              <w:rPr>
                <w:rFonts w:asciiTheme="majorBidi" w:hAnsiTheme="majorBidi" w:cstheme="majorBidi"/>
              </w:rPr>
              <w:t>15.50 ± 1.1</w:t>
            </w:r>
          </w:p>
        </w:tc>
      </w:tr>
      <w:tr w:rsidR="00B07D5B" w:rsidRPr="0056763E" w14:paraId="032B900D" w14:textId="77777777" w:rsidTr="0056763E">
        <w:tc>
          <w:tcPr>
            <w:tcW w:w="3775" w:type="dxa"/>
            <w:vAlign w:val="center"/>
          </w:tcPr>
          <w:p w14:paraId="08E6AFE2" w14:textId="7C416F31" w:rsidR="00B07D5B" w:rsidRPr="0056763E" w:rsidRDefault="00B07D5B" w:rsidP="0056763E">
            <w:pPr>
              <w:spacing w:line="360" w:lineRule="auto"/>
              <w:rPr>
                <w:rFonts w:asciiTheme="majorBidi" w:hAnsiTheme="majorBidi" w:cstheme="majorBidi"/>
                <w:b/>
                <w:bCs/>
              </w:rPr>
            </w:pPr>
            <w:r w:rsidRPr="0056763E">
              <w:rPr>
                <w:rFonts w:asciiTheme="majorBidi" w:hAnsiTheme="majorBidi" w:cstheme="majorBidi"/>
                <w:b/>
                <w:bCs/>
              </w:rPr>
              <w:t>Specific Growth Rate (%/day)</w:t>
            </w:r>
          </w:p>
        </w:tc>
        <w:tc>
          <w:tcPr>
            <w:tcW w:w="2430" w:type="dxa"/>
            <w:vAlign w:val="center"/>
          </w:tcPr>
          <w:p w14:paraId="14F62807" w14:textId="7553A724" w:rsidR="00B07D5B" w:rsidRPr="0056763E" w:rsidRDefault="00B07D5B" w:rsidP="0056763E">
            <w:pPr>
              <w:spacing w:line="360" w:lineRule="auto"/>
              <w:rPr>
                <w:rFonts w:asciiTheme="majorBidi" w:hAnsiTheme="majorBidi" w:cstheme="majorBidi"/>
              </w:rPr>
            </w:pPr>
            <w:r w:rsidRPr="0056763E">
              <w:rPr>
                <w:rFonts w:asciiTheme="majorBidi" w:hAnsiTheme="majorBidi" w:cstheme="majorBidi"/>
              </w:rPr>
              <w:t>2.10 ± 0.15</w:t>
            </w:r>
          </w:p>
        </w:tc>
        <w:tc>
          <w:tcPr>
            <w:tcW w:w="3145" w:type="dxa"/>
            <w:vAlign w:val="center"/>
          </w:tcPr>
          <w:p w14:paraId="426A4D7D" w14:textId="253FF6CF" w:rsidR="00B07D5B" w:rsidRPr="0056763E" w:rsidRDefault="00B07D5B" w:rsidP="0056763E">
            <w:pPr>
              <w:spacing w:line="360" w:lineRule="auto"/>
              <w:rPr>
                <w:rFonts w:asciiTheme="majorBidi" w:hAnsiTheme="majorBidi" w:cstheme="majorBidi"/>
              </w:rPr>
            </w:pPr>
            <w:r w:rsidRPr="0056763E">
              <w:rPr>
                <w:rFonts w:asciiTheme="majorBidi" w:hAnsiTheme="majorBidi" w:cstheme="majorBidi"/>
              </w:rPr>
              <w:t>3.70 ± 0.22</w:t>
            </w:r>
          </w:p>
        </w:tc>
      </w:tr>
      <w:tr w:rsidR="00B07D5B" w:rsidRPr="0056763E" w14:paraId="47A5DA1A" w14:textId="77777777" w:rsidTr="0056763E">
        <w:tc>
          <w:tcPr>
            <w:tcW w:w="3775" w:type="dxa"/>
            <w:vAlign w:val="center"/>
          </w:tcPr>
          <w:p w14:paraId="3941FBD2" w14:textId="21EC17E0" w:rsidR="00B07D5B" w:rsidRPr="0056763E" w:rsidRDefault="00B07D5B" w:rsidP="0056763E">
            <w:pPr>
              <w:spacing w:line="360" w:lineRule="auto"/>
              <w:rPr>
                <w:rFonts w:asciiTheme="majorBidi" w:hAnsiTheme="majorBidi" w:cstheme="majorBidi"/>
                <w:b/>
                <w:bCs/>
              </w:rPr>
            </w:pPr>
            <w:r w:rsidRPr="0056763E">
              <w:rPr>
                <w:rFonts w:asciiTheme="majorBidi" w:hAnsiTheme="majorBidi" w:cstheme="majorBidi"/>
                <w:b/>
                <w:bCs/>
              </w:rPr>
              <w:t>Feed Conversion Ratio (FCR)</w:t>
            </w:r>
          </w:p>
        </w:tc>
        <w:tc>
          <w:tcPr>
            <w:tcW w:w="2430" w:type="dxa"/>
            <w:vAlign w:val="center"/>
          </w:tcPr>
          <w:p w14:paraId="33666A81" w14:textId="795CBA72" w:rsidR="00B07D5B" w:rsidRPr="0056763E" w:rsidRDefault="00B07D5B" w:rsidP="0056763E">
            <w:pPr>
              <w:spacing w:line="360" w:lineRule="auto"/>
              <w:rPr>
                <w:rFonts w:asciiTheme="majorBidi" w:hAnsiTheme="majorBidi" w:cstheme="majorBidi"/>
              </w:rPr>
            </w:pPr>
            <w:r w:rsidRPr="0056763E">
              <w:rPr>
                <w:rFonts w:asciiTheme="majorBidi" w:hAnsiTheme="majorBidi" w:cstheme="majorBidi"/>
              </w:rPr>
              <w:t>1.45 ± 0.10</w:t>
            </w:r>
          </w:p>
        </w:tc>
        <w:tc>
          <w:tcPr>
            <w:tcW w:w="3145" w:type="dxa"/>
            <w:vAlign w:val="center"/>
          </w:tcPr>
          <w:p w14:paraId="7B109EB7" w14:textId="7569B1F4" w:rsidR="00B07D5B" w:rsidRPr="0056763E" w:rsidRDefault="00B07D5B" w:rsidP="0056763E">
            <w:pPr>
              <w:spacing w:line="360" w:lineRule="auto"/>
              <w:rPr>
                <w:rFonts w:asciiTheme="majorBidi" w:hAnsiTheme="majorBidi" w:cstheme="majorBidi"/>
              </w:rPr>
            </w:pPr>
            <w:r w:rsidRPr="0056763E">
              <w:rPr>
                <w:rFonts w:asciiTheme="majorBidi" w:hAnsiTheme="majorBidi" w:cstheme="majorBidi"/>
              </w:rPr>
              <w:t>0.80 ± 0.06</w:t>
            </w:r>
          </w:p>
        </w:tc>
      </w:tr>
    </w:tbl>
    <w:p w14:paraId="00DCE58E" w14:textId="77777777" w:rsidR="0056763E" w:rsidRPr="0056763E" w:rsidRDefault="0056763E" w:rsidP="0056763E">
      <w:pPr>
        <w:spacing w:before="100" w:beforeAutospacing="1" w:after="100" w:afterAutospacing="1" w:line="360" w:lineRule="auto"/>
        <w:jc w:val="both"/>
        <w:rPr>
          <w:rFonts w:ascii="Times New Roman" w:eastAsia="Times New Roman" w:hAnsi="Times New Roman" w:cs="Times New Roman"/>
          <w:kern w:val="0"/>
          <w14:ligatures w14:val="none"/>
        </w:rPr>
      </w:pPr>
      <w:r w:rsidRPr="0056763E">
        <w:rPr>
          <w:rFonts w:ascii="Times New Roman" w:eastAsia="Times New Roman" w:hAnsi="Times New Roman" w:cs="Times New Roman"/>
          <w:kern w:val="0"/>
          <w14:ligatures w14:val="none"/>
        </w:rPr>
        <w:t xml:space="preserve">Table 2 presents a comparative analysis of the growth performance of </w:t>
      </w:r>
      <w:r w:rsidRPr="0056763E">
        <w:rPr>
          <w:rFonts w:ascii="Times New Roman" w:eastAsia="Times New Roman" w:hAnsi="Times New Roman" w:cs="Times New Roman"/>
          <w:i/>
          <w:iCs/>
          <w:kern w:val="0"/>
          <w14:ligatures w14:val="none"/>
        </w:rPr>
        <w:t>Cyprinus carpio</w:t>
      </w:r>
      <w:r w:rsidRPr="0056763E">
        <w:rPr>
          <w:rFonts w:ascii="Times New Roman" w:eastAsia="Times New Roman" w:hAnsi="Times New Roman" w:cs="Times New Roman"/>
          <w:kern w:val="0"/>
          <w14:ligatures w14:val="none"/>
        </w:rPr>
        <w:t xml:space="preserve"> fingerlings cultured under two different systems: T1 (without Probiotic Biofloc System) and T2 (with Probiotic Biofloc System). The data clearly indicate that the probiotic </w:t>
      </w:r>
      <w:proofErr w:type="spellStart"/>
      <w:r w:rsidRPr="0056763E">
        <w:rPr>
          <w:rFonts w:ascii="Times New Roman" w:eastAsia="Times New Roman" w:hAnsi="Times New Roman" w:cs="Times New Roman"/>
          <w:kern w:val="0"/>
          <w14:ligatures w14:val="none"/>
        </w:rPr>
        <w:t>biofloc</w:t>
      </w:r>
      <w:proofErr w:type="spellEnd"/>
      <w:r w:rsidRPr="0056763E">
        <w:rPr>
          <w:rFonts w:ascii="Times New Roman" w:eastAsia="Times New Roman" w:hAnsi="Times New Roman" w:cs="Times New Roman"/>
          <w:kern w:val="0"/>
          <w14:ligatures w14:val="none"/>
        </w:rPr>
        <w:t xml:space="preserve"> system (T2) significantly enhances the growth parameters of the fish.</w:t>
      </w:r>
    </w:p>
    <w:p w14:paraId="0ED1B497" w14:textId="38E32E55" w:rsidR="00056133" w:rsidRPr="00056133" w:rsidRDefault="0056763E" w:rsidP="00355B31">
      <w:pPr>
        <w:spacing w:before="100" w:beforeAutospacing="1" w:after="100" w:afterAutospacing="1" w:line="360" w:lineRule="auto"/>
        <w:jc w:val="both"/>
        <w:rPr>
          <w:rFonts w:ascii="Times New Roman" w:eastAsia="Times New Roman" w:hAnsi="Times New Roman" w:cs="Times New Roman"/>
          <w:kern w:val="0"/>
          <w14:ligatures w14:val="none"/>
        </w:rPr>
      </w:pPr>
      <w:r w:rsidRPr="0056763E">
        <w:rPr>
          <w:rFonts w:ascii="Times New Roman" w:eastAsia="Times New Roman" w:hAnsi="Times New Roman" w:cs="Times New Roman"/>
          <w:kern w:val="0"/>
          <w14:ligatures w14:val="none"/>
        </w:rPr>
        <w:t xml:space="preserve">The survival rate in T2 was slightly higher (93 ± 0.9%) than in T1 (90 ± 1.2%), suggesting that the probiotic </w:t>
      </w:r>
      <w:proofErr w:type="spellStart"/>
      <w:r w:rsidRPr="0056763E">
        <w:rPr>
          <w:rFonts w:ascii="Times New Roman" w:eastAsia="Times New Roman" w:hAnsi="Times New Roman" w:cs="Times New Roman"/>
          <w:kern w:val="0"/>
          <w14:ligatures w14:val="none"/>
        </w:rPr>
        <w:t>biofloc</w:t>
      </w:r>
      <w:proofErr w:type="spellEnd"/>
      <w:r w:rsidRPr="0056763E">
        <w:rPr>
          <w:rFonts w:ascii="Times New Roman" w:eastAsia="Times New Roman" w:hAnsi="Times New Roman" w:cs="Times New Roman"/>
          <w:kern w:val="0"/>
          <w14:ligatures w14:val="none"/>
        </w:rPr>
        <w:t xml:space="preserve"> system contributed to better water quality and health management, thereby reducing stress and mortality. The initial body weights of fingerlings in both treatments were comparable, confirming that both groups started at similar baselines. However, a marked </w:t>
      </w:r>
      <w:r w:rsidRPr="0056763E">
        <w:rPr>
          <w:rFonts w:ascii="Times New Roman" w:eastAsia="Times New Roman" w:hAnsi="Times New Roman" w:cs="Times New Roman"/>
          <w:kern w:val="0"/>
          <w14:ligatures w14:val="none"/>
        </w:rPr>
        <w:lastRenderedPageBreak/>
        <w:t xml:space="preserve">difference was observed in the final body weights, where fish in T2 reached an average of 15.50 ± 1.1 g compared to only 8.20 ± 1.0 g in T1. This substantial weight gain under T2 indicates that the </w:t>
      </w:r>
      <w:proofErr w:type="spellStart"/>
      <w:r w:rsidRPr="0056763E">
        <w:rPr>
          <w:rFonts w:ascii="Times New Roman" w:eastAsia="Times New Roman" w:hAnsi="Times New Roman" w:cs="Times New Roman"/>
          <w:kern w:val="0"/>
          <w14:ligatures w14:val="none"/>
        </w:rPr>
        <w:t>biofloc</w:t>
      </w:r>
      <w:proofErr w:type="spellEnd"/>
      <w:r w:rsidRPr="0056763E">
        <w:rPr>
          <w:rFonts w:ascii="Times New Roman" w:eastAsia="Times New Roman" w:hAnsi="Times New Roman" w:cs="Times New Roman"/>
          <w:kern w:val="0"/>
          <w14:ligatures w14:val="none"/>
        </w:rPr>
        <w:t xml:space="preserve"> system enhanced nutrient availability and improved digestion and assimilation of feed, possibly due to the probiotic action.</w:t>
      </w:r>
      <w:r>
        <w:rPr>
          <w:rFonts w:ascii="Times New Roman" w:eastAsia="Times New Roman" w:hAnsi="Times New Roman" w:cs="Times New Roman"/>
          <w:kern w:val="0"/>
          <w14:ligatures w14:val="none"/>
        </w:rPr>
        <w:t xml:space="preserve"> </w:t>
      </w:r>
      <w:r w:rsidRPr="0056763E">
        <w:rPr>
          <w:rFonts w:ascii="Times New Roman" w:eastAsia="Times New Roman" w:hAnsi="Times New Roman" w:cs="Times New Roman"/>
          <w:kern w:val="0"/>
          <w14:ligatures w14:val="none"/>
        </w:rPr>
        <w:t xml:space="preserve">Correspondingly, the Specific Growth Rate (SGR) was significantly higher in T2 (3.70 ± 0.22%/day) compared to T1 (2.10 ± 0.15%/day), reinforcing the superior growth efficiency under probiotic </w:t>
      </w:r>
      <w:proofErr w:type="spellStart"/>
      <w:r w:rsidRPr="0056763E">
        <w:rPr>
          <w:rFonts w:ascii="Times New Roman" w:eastAsia="Times New Roman" w:hAnsi="Times New Roman" w:cs="Times New Roman"/>
          <w:kern w:val="0"/>
          <w14:ligatures w14:val="none"/>
        </w:rPr>
        <w:t>biofloc</w:t>
      </w:r>
      <w:proofErr w:type="spellEnd"/>
      <w:r w:rsidRPr="0056763E">
        <w:rPr>
          <w:rFonts w:ascii="Times New Roman" w:eastAsia="Times New Roman" w:hAnsi="Times New Roman" w:cs="Times New Roman"/>
          <w:kern w:val="0"/>
          <w14:ligatures w14:val="none"/>
        </w:rPr>
        <w:t xml:space="preserve"> conditions.</w:t>
      </w:r>
      <w:r w:rsidR="00355B31">
        <w:rPr>
          <w:rFonts w:ascii="Times New Roman" w:eastAsia="Times New Roman" w:hAnsi="Times New Roman" w:cs="Times New Roman"/>
          <w:kern w:val="0"/>
          <w14:ligatures w14:val="none"/>
        </w:rPr>
        <w:t xml:space="preserve"> </w:t>
      </w:r>
      <w:proofErr w:type="spellStart"/>
      <w:r w:rsidR="00355B31" w:rsidRPr="00355B31">
        <w:rPr>
          <w:rFonts w:ascii="Times New Roman" w:eastAsia="Times New Roman" w:hAnsi="Times New Roman" w:cs="Times New Roman"/>
          <w:kern w:val="0"/>
          <w14:ligatures w14:val="none"/>
        </w:rPr>
        <w:t>Wijayanti</w:t>
      </w:r>
      <w:proofErr w:type="spellEnd"/>
      <w:r w:rsidR="00355B31" w:rsidRPr="00355B31">
        <w:rPr>
          <w:rFonts w:ascii="Times New Roman" w:eastAsia="Times New Roman" w:hAnsi="Times New Roman" w:cs="Times New Roman"/>
          <w:kern w:val="0"/>
          <w14:ligatures w14:val="none"/>
        </w:rPr>
        <w:t xml:space="preserve"> (2025) studied probiotics—microbes that modify fish gut bacteria and improve health—to prevent </w:t>
      </w:r>
      <w:r w:rsidR="00355B31" w:rsidRPr="00355B31">
        <w:rPr>
          <w:rFonts w:ascii="Times New Roman" w:eastAsia="Times New Roman" w:hAnsi="Times New Roman" w:cs="Times New Roman"/>
          <w:i/>
          <w:iCs/>
          <w:kern w:val="0"/>
          <w14:ligatures w14:val="none"/>
        </w:rPr>
        <w:t>Aeromonas hydrophila</w:t>
      </w:r>
      <w:r w:rsidR="00355B31" w:rsidRPr="00355B31">
        <w:rPr>
          <w:rFonts w:ascii="Times New Roman" w:eastAsia="Times New Roman" w:hAnsi="Times New Roman" w:cs="Times New Roman"/>
          <w:kern w:val="0"/>
          <w14:ligatures w14:val="none"/>
        </w:rPr>
        <w:t xml:space="preserve"> infection in striped snakeheads (</w:t>
      </w:r>
      <w:r w:rsidR="00355B31" w:rsidRPr="00355B31">
        <w:rPr>
          <w:rFonts w:ascii="Times New Roman" w:eastAsia="Times New Roman" w:hAnsi="Times New Roman" w:cs="Times New Roman"/>
          <w:i/>
          <w:iCs/>
          <w:kern w:val="0"/>
          <w14:ligatures w14:val="none"/>
        </w:rPr>
        <w:t>Channa</w:t>
      </w:r>
      <w:r w:rsidR="00355B31" w:rsidRPr="00355B31">
        <w:rPr>
          <w:rFonts w:ascii="Times New Roman" w:eastAsia="Times New Roman" w:hAnsi="Times New Roman" w:cs="Times New Roman"/>
          <w:kern w:val="0"/>
          <w14:ligatures w14:val="none"/>
        </w:rPr>
        <w:t xml:space="preserve">). The study tested four groups: control (P0), </w:t>
      </w:r>
      <w:r w:rsidR="00355B31" w:rsidRPr="00355B31">
        <w:rPr>
          <w:rFonts w:ascii="Times New Roman" w:eastAsia="Times New Roman" w:hAnsi="Times New Roman" w:cs="Times New Roman"/>
          <w:i/>
          <w:iCs/>
          <w:kern w:val="0"/>
          <w14:ligatures w14:val="none"/>
        </w:rPr>
        <w:t>Bacillus</w:t>
      </w:r>
      <w:r w:rsidR="00355B31" w:rsidRPr="00355B31">
        <w:rPr>
          <w:rFonts w:ascii="Times New Roman" w:eastAsia="Times New Roman" w:hAnsi="Times New Roman" w:cs="Times New Roman"/>
          <w:kern w:val="0"/>
          <w14:ligatures w14:val="none"/>
        </w:rPr>
        <w:t xml:space="preserve"> sp. (P1), </w:t>
      </w:r>
      <w:r w:rsidR="00355B31" w:rsidRPr="00355B31">
        <w:rPr>
          <w:rFonts w:ascii="Times New Roman" w:eastAsia="Times New Roman" w:hAnsi="Times New Roman" w:cs="Times New Roman"/>
          <w:i/>
          <w:iCs/>
          <w:kern w:val="0"/>
          <w14:ligatures w14:val="none"/>
        </w:rPr>
        <w:t>Streptomyces</w:t>
      </w:r>
      <w:r w:rsidR="00355B31" w:rsidRPr="00355B31">
        <w:rPr>
          <w:rFonts w:ascii="Times New Roman" w:eastAsia="Times New Roman" w:hAnsi="Times New Roman" w:cs="Times New Roman"/>
          <w:kern w:val="0"/>
          <w14:ligatures w14:val="none"/>
        </w:rPr>
        <w:t xml:space="preserve"> sp. (P2), and a combination of both (P3), each at 10 ml/kg feed. Variables measured included bacterial count, infection prevalence, fish growth, survival rate, and water quality. The combination treatment (P3) showed significantly higher survival, growth, and feed efficiency, with the lowest infection prevalence of 2.38%.</w:t>
      </w:r>
      <w:r w:rsidRPr="0056763E">
        <w:rPr>
          <w:rFonts w:ascii="Times New Roman" w:eastAsia="Times New Roman" w:hAnsi="Times New Roman" w:cs="Times New Roman"/>
          <w:kern w:val="0"/>
          <w14:ligatures w14:val="none"/>
        </w:rPr>
        <w:t xml:space="preserve"> Finally, the Feed Conversion Ratio (FCR), which reflects how efficiently feed is converted into body mass, was considerably better in T2 (0.80 ± 0.06) than in T1 (1.45 ± 0.10). A lower FCR indicates more efficient feed utilization, further supporting the hypothesis that the probiotic </w:t>
      </w:r>
      <w:proofErr w:type="spellStart"/>
      <w:r w:rsidRPr="0056763E">
        <w:rPr>
          <w:rFonts w:ascii="Times New Roman" w:eastAsia="Times New Roman" w:hAnsi="Times New Roman" w:cs="Times New Roman"/>
          <w:kern w:val="0"/>
          <w14:ligatures w14:val="none"/>
        </w:rPr>
        <w:t>biofloc</w:t>
      </w:r>
      <w:proofErr w:type="spellEnd"/>
      <w:r w:rsidRPr="0056763E">
        <w:rPr>
          <w:rFonts w:ascii="Times New Roman" w:eastAsia="Times New Roman" w:hAnsi="Times New Roman" w:cs="Times New Roman"/>
          <w:kern w:val="0"/>
          <w14:ligatures w14:val="none"/>
        </w:rPr>
        <w:t xml:space="preserve"> system improves feed digestibility and nutrient uptake.</w:t>
      </w:r>
      <w:r w:rsidR="00056133" w:rsidRPr="00056133">
        <w:rPr>
          <w:rFonts w:ascii="Times New Roman" w:eastAsia="Times New Roman" w:hAnsi="Times New Roman" w:cs="Times New Roman"/>
          <w:kern w:val="0"/>
          <w14:ligatures w14:val="none"/>
        </w:rPr>
        <w:t xml:space="preserve"> Mohammad </w:t>
      </w:r>
      <w:proofErr w:type="spellStart"/>
      <w:r w:rsidR="00056133" w:rsidRPr="00056133">
        <w:rPr>
          <w:rFonts w:ascii="Times New Roman" w:eastAsia="Times New Roman" w:hAnsi="Times New Roman" w:cs="Times New Roman"/>
          <w:kern w:val="0"/>
          <w14:ligatures w14:val="none"/>
        </w:rPr>
        <w:t>Farkan</w:t>
      </w:r>
      <w:proofErr w:type="spellEnd"/>
      <w:r w:rsidR="00056133" w:rsidRPr="00056133">
        <w:rPr>
          <w:rFonts w:ascii="Times New Roman" w:eastAsia="Times New Roman" w:hAnsi="Times New Roman" w:cs="Times New Roman"/>
          <w:kern w:val="0"/>
          <w14:ligatures w14:val="none"/>
        </w:rPr>
        <w:t xml:space="preserve"> (2025) conducted research at Rhee Royal </w:t>
      </w:r>
      <w:proofErr w:type="spellStart"/>
      <w:r w:rsidR="00056133" w:rsidRPr="00056133">
        <w:rPr>
          <w:rFonts w:ascii="Times New Roman" w:eastAsia="Times New Roman" w:hAnsi="Times New Roman" w:cs="Times New Roman"/>
          <w:kern w:val="0"/>
          <w14:ligatures w14:val="none"/>
        </w:rPr>
        <w:t>Vannamei</w:t>
      </w:r>
      <w:proofErr w:type="spellEnd"/>
      <w:r w:rsidR="00056133" w:rsidRPr="00056133">
        <w:rPr>
          <w:rFonts w:ascii="Times New Roman" w:eastAsia="Times New Roman" w:hAnsi="Times New Roman" w:cs="Times New Roman"/>
          <w:kern w:val="0"/>
          <w14:ligatures w14:val="none"/>
        </w:rPr>
        <w:t xml:space="preserve">, Sumbawa, Indonesia, from September 2023 to February 2024. </w:t>
      </w:r>
      <w:proofErr w:type="spellStart"/>
      <w:r w:rsidR="00056133" w:rsidRPr="00056133">
        <w:rPr>
          <w:rFonts w:ascii="Times New Roman" w:eastAsia="Times New Roman" w:hAnsi="Times New Roman" w:cs="Times New Roman"/>
          <w:kern w:val="0"/>
          <w14:ligatures w14:val="none"/>
        </w:rPr>
        <w:t>Vannamei</w:t>
      </w:r>
      <w:proofErr w:type="spellEnd"/>
      <w:r w:rsidR="00056133" w:rsidRPr="00056133">
        <w:rPr>
          <w:rFonts w:ascii="Times New Roman" w:eastAsia="Times New Roman" w:hAnsi="Times New Roman" w:cs="Times New Roman"/>
          <w:kern w:val="0"/>
          <w14:ligatures w14:val="none"/>
        </w:rPr>
        <w:t xml:space="preserve"> shrimp were reared for 96 days in a 3,433 ± 157 m² pond at a stocking density of 133 ± 5 shrimp/m². Probiotics were applied every 3 days at 0.5 ppm for 60 days, then 1–1.5 ppm until day 96. Using a randomized design with two treatments and six replications, data were collected through observation and laboratory analysis. Although the T-test showed no significant difference between probiotic and non-probiotic treatments, probiotic ponds were more stable and produced 29.58% more shrimp. Probiotics also improved water quality, with a carrying capacity of 21,354 kg/ha.</w:t>
      </w:r>
    </w:p>
    <w:p w14:paraId="1C3ED51D" w14:textId="1E09C0CD" w:rsidR="0056763E" w:rsidRPr="0056763E" w:rsidRDefault="0056763E" w:rsidP="0056763E">
      <w:pPr>
        <w:spacing w:before="100" w:beforeAutospacing="1" w:after="100" w:afterAutospacing="1" w:line="360" w:lineRule="auto"/>
        <w:jc w:val="both"/>
        <w:rPr>
          <w:rFonts w:ascii="Times New Roman" w:eastAsia="Times New Roman" w:hAnsi="Times New Roman" w:cs="Times New Roman"/>
          <w:kern w:val="0"/>
          <w14:ligatures w14:val="none"/>
        </w:rPr>
      </w:pPr>
      <w:r w:rsidRPr="0056763E">
        <w:rPr>
          <w:rFonts w:ascii="Times New Roman" w:eastAsia="Times New Roman" w:hAnsi="Times New Roman" w:cs="Times New Roman"/>
          <w:kern w:val="0"/>
          <w14:ligatures w14:val="none"/>
        </w:rPr>
        <w:t xml:space="preserve"> the data strongly justify the application of probiotic </w:t>
      </w:r>
      <w:proofErr w:type="spellStart"/>
      <w:r w:rsidRPr="0056763E">
        <w:rPr>
          <w:rFonts w:ascii="Times New Roman" w:eastAsia="Times New Roman" w:hAnsi="Times New Roman" w:cs="Times New Roman"/>
          <w:kern w:val="0"/>
          <w14:ligatures w14:val="none"/>
        </w:rPr>
        <w:t>biofloc</w:t>
      </w:r>
      <w:proofErr w:type="spellEnd"/>
      <w:r w:rsidRPr="0056763E">
        <w:rPr>
          <w:rFonts w:ascii="Times New Roman" w:eastAsia="Times New Roman" w:hAnsi="Times New Roman" w:cs="Times New Roman"/>
          <w:kern w:val="0"/>
          <w14:ligatures w14:val="none"/>
        </w:rPr>
        <w:t xml:space="preserve"> systems in aquaculture as a sustainable and efficient approach to enhancing fish growth and survival.</w:t>
      </w:r>
    </w:p>
    <w:p w14:paraId="154D319C" w14:textId="6295C817" w:rsidR="00B804EF" w:rsidRDefault="00B804EF" w:rsidP="00280B43">
      <w:pPr>
        <w:spacing w:before="100" w:beforeAutospacing="1" w:after="100" w:afterAutospacing="1" w:line="360" w:lineRule="auto"/>
        <w:jc w:val="both"/>
        <w:rPr>
          <w:rFonts w:ascii="Times New Roman" w:eastAsia="Times New Roman" w:hAnsi="Times New Roman" w:cs="Times New Roman"/>
          <w:kern w:val="0"/>
          <w14:ligatures w14:val="none"/>
        </w:rPr>
      </w:pPr>
    </w:p>
    <w:p w14:paraId="53F8B687" w14:textId="5D74A560" w:rsidR="00D80FEE" w:rsidRDefault="00D80FEE" w:rsidP="00B13E08">
      <w:pPr>
        <w:spacing w:before="100" w:beforeAutospacing="1" w:after="100" w:afterAutospacing="1" w:line="360" w:lineRule="auto"/>
        <w:jc w:val="center"/>
        <w:rPr>
          <w:rFonts w:ascii="Times New Roman" w:eastAsia="Times New Roman" w:hAnsi="Times New Roman" w:cs="Times New Roman"/>
          <w:kern w:val="0"/>
          <w14:ligatures w14:val="none"/>
        </w:rPr>
      </w:pPr>
      <w:r>
        <w:rPr>
          <w:noProof/>
        </w:rPr>
        <w:lastRenderedPageBreak/>
        <w:drawing>
          <wp:inline distT="0" distB="0" distL="0" distR="0" wp14:anchorId="518493F5" wp14:editId="36D1A8E7">
            <wp:extent cx="3705225" cy="2208489"/>
            <wp:effectExtent l="0" t="0" r="0" b="1905"/>
            <wp:docPr id="1424335858" name="Picture 4"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Output image"/>
                    <pic:cNvPicPr>
                      <a:picLocks noChangeAspect="1" noChangeArrowheads="1"/>
                    </pic:cNvPicPr>
                  </pic:nvPicPr>
                  <pic:blipFill>
                    <a:blip r:embed="rId10" cstate="print">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731057" cy="2223886"/>
                    </a:xfrm>
                    <a:prstGeom prst="rect">
                      <a:avLst/>
                    </a:prstGeom>
                    <a:noFill/>
                    <a:ln>
                      <a:noFill/>
                    </a:ln>
                  </pic:spPr>
                </pic:pic>
              </a:graphicData>
            </a:graphic>
          </wp:inline>
        </w:drawing>
      </w:r>
    </w:p>
    <w:p w14:paraId="7FF427FD" w14:textId="5D9D94EE" w:rsidR="00666775" w:rsidRDefault="00666775" w:rsidP="00351848">
      <w:pPr>
        <w:spacing w:before="100" w:beforeAutospacing="1" w:after="100" w:afterAutospacing="1" w:line="360" w:lineRule="auto"/>
        <w:jc w:val="center"/>
        <w:rPr>
          <w:rFonts w:ascii="Times New Roman" w:eastAsia="Times New Roman" w:hAnsi="Times New Roman" w:cs="Times New Roman"/>
          <w:kern w:val="0"/>
          <w14:ligatures w14:val="none"/>
        </w:rPr>
      </w:pPr>
      <w:r>
        <w:rPr>
          <w:rFonts w:asciiTheme="majorBidi" w:hAnsiTheme="majorBidi" w:cstheme="majorBidi"/>
        </w:rPr>
        <w:t>Figure 3</w:t>
      </w:r>
      <w:r w:rsidR="00351848" w:rsidRPr="00351848">
        <w:rPr>
          <w:rFonts w:asciiTheme="majorBidi" w:hAnsiTheme="majorBidi" w:cstheme="majorBidi"/>
        </w:rPr>
        <w:t xml:space="preserve"> Growth Metrics of </w:t>
      </w:r>
      <w:r w:rsidR="00351848" w:rsidRPr="00351848">
        <w:rPr>
          <w:rFonts w:asciiTheme="majorBidi" w:hAnsiTheme="majorBidi" w:cstheme="majorBidi"/>
          <w:i/>
          <w:iCs/>
        </w:rPr>
        <w:t>Cyprinus carpio</w:t>
      </w:r>
      <w:r w:rsidR="00351848" w:rsidRPr="00351848">
        <w:rPr>
          <w:rFonts w:asciiTheme="majorBidi" w:hAnsiTheme="majorBidi" w:cstheme="majorBidi"/>
        </w:rPr>
        <w:t xml:space="preserve"> </w:t>
      </w:r>
      <w:r w:rsidR="00351848" w:rsidRPr="000D5780">
        <w:rPr>
          <w:rFonts w:asciiTheme="majorBidi" w:hAnsiTheme="majorBidi" w:cstheme="majorBidi"/>
        </w:rPr>
        <w:t>under two culture systems</w:t>
      </w:r>
      <w:r w:rsidR="00351848">
        <w:rPr>
          <w:rFonts w:asciiTheme="majorBidi" w:hAnsiTheme="majorBidi" w:cstheme="majorBidi"/>
        </w:rPr>
        <w:t xml:space="preserve"> </w:t>
      </w:r>
      <w:r w:rsidR="00351848" w:rsidRPr="000D5780">
        <w:rPr>
          <w:rFonts w:asciiTheme="majorBidi" w:hAnsiTheme="majorBidi" w:cstheme="majorBidi"/>
        </w:rPr>
        <w:t>T1 (Control, without Probiotic Biofloc) and T2 (Probiotic Biofloc).</w:t>
      </w:r>
    </w:p>
    <w:p w14:paraId="4FB92BC9" w14:textId="7D31C3E4" w:rsidR="00A0032B" w:rsidRPr="00A0032B" w:rsidRDefault="000D5780" w:rsidP="000D5780">
      <w:pPr>
        <w:spacing w:line="360" w:lineRule="auto"/>
        <w:jc w:val="both"/>
        <w:rPr>
          <w:rFonts w:asciiTheme="majorBidi" w:hAnsiTheme="majorBidi" w:cstheme="majorBidi"/>
        </w:rPr>
      </w:pPr>
      <w:r w:rsidRPr="000D5780">
        <w:rPr>
          <w:rFonts w:asciiTheme="majorBidi" w:hAnsiTheme="majorBidi" w:cstheme="majorBidi"/>
        </w:rPr>
        <w:t>The bar graph</w:t>
      </w:r>
      <w:r>
        <w:rPr>
          <w:rFonts w:asciiTheme="majorBidi" w:hAnsiTheme="majorBidi" w:cstheme="majorBidi"/>
        </w:rPr>
        <w:t xml:space="preserve"> (Figure 3)</w:t>
      </w:r>
      <w:r w:rsidRPr="000D5780">
        <w:rPr>
          <w:rFonts w:asciiTheme="majorBidi" w:hAnsiTheme="majorBidi" w:cstheme="majorBidi"/>
        </w:rPr>
        <w:t xml:space="preserve"> visually supports the data presented in Table 2 by comparing the growth performance of </w:t>
      </w:r>
      <w:r w:rsidRPr="000D5780">
        <w:rPr>
          <w:rFonts w:asciiTheme="majorBidi" w:hAnsiTheme="majorBidi" w:cstheme="majorBidi"/>
          <w:i/>
          <w:iCs/>
        </w:rPr>
        <w:t>Cyprinus carpio</w:t>
      </w:r>
      <w:r w:rsidRPr="000D5780">
        <w:rPr>
          <w:rFonts w:asciiTheme="majorBidi" w:hAnsiTheme="majorBidi" w:cstheme="majorBidi"/>
        </w:rPr>
        <w:t xml:space="preserve"> fingerlings under two culture systems</w:t>
      </w:r>
      <w:r w:rsidR="00351848">
        <w:rPr>
          <w:rFonts w:asciiTheme="majorBidi" w:hAnsiTheme="majorBidi" w:cstheme="majorBidi"/>
        </w:rPr>
        <w:t xml:space="preserve"> </w:t>
      </w:r>
      <w:r w:rsidRPr="000D5780">
        <w:rPr>
          <w:rFonts w:asciiTheme="majorBidi" w:hAnsiTheme="majorBidi" w:cstheme="majorBidi"/>
        </w:rPr>
        <w:t xml:space="preserve">T1 (Control, without Probiotic Biofloc) and T2 (Probiotic Biofloc). Each parameter shown in the graph reaffirms the advantages of the probiotic </w:t>
      </w:r>
      <w:proofErr w:type="spellStart"/>
      <w:r w:rsidRPr="000D5780">
        <w:rPr>
          <w:rFonts w:asciiTheme="majorBidi" w:hAnsiTheme="majorBidi" w:cstheme="majorBidi"/>
        </w:rPr>
        <w:t>biofloc</w:t>
      </w:r>
      <w:proofErr w:type="spellEnd"/>
      <w:r w:rsidRPr="000D5780">
        <w:rPr>
          <w:rFonts w:asciiTheme="majorBidi" w:hAnsiTheme="majorBidi" w:cstheme="majorBidi"/>
        </w:rPr>
        <w:t xml:space="preserve"> system over the conventional system.</w:t>
      </w:r>
      <w:r>
        <w:rPr>
          <w:rFonts w:asciiTheme="majorBidi" w:hAnsiTheme="majorBidi" w:cstheme="majorBidi"/>
        </w:rPr>
        <w:t xml:space="preserve"> </w:t>
      </w:r>
      <w:r w:rsidR="00A0032B" w:rsidRPr="00A0032B">
        <w:rPr>
          <w:rFonts w:asciiTheme="majorBidi" w:hAnsiTheme="majorBidi" w:cstheme="majorBidi"/>
        </w:rPr>
        <w:t xml:space="preserve">While the initial body weights were nearly identical in both groups (approximately 0.5 g), fingerlings in the </w:t>
      </w:r>
      <w:r w:rsidR="00280B43">
        <w:rPr>
          <w:rFonts w:asciiTheme="majorBidi" w:hAnsiTheme="majorBidi" w:cstheme="majorBidi"/>
        </w:rPr>
        <w:t>T2</w:t>
      </w:r>
      <w:r w:rsidR="00A0032B" w:rsidRPr="00A0032B">
        <w:rPr>
          <w:rFonts w:asciiTheme="majorBidi" w:hAnsiTheme="majorBidi" w:cstheme="majorBidi"/>
        </w:rPr>
        <w:t xml:space="preserve"> system achieved a final body weight of 15.5 ± 1.1 g, nearly double that of the </w:t>
      </w:r>
      <w:r w:rsidR="00280B43">
        <w:rPr>
          <w:rFonts w:asciiTheme="majorBidi" w:hAnsiTheme="majorBidi" w:cstheme="majorBidi"/>
        </w:rPr>
        <w:t>T1</w:t>
      </w:r>
      <w:r w:rsidR="00A0032B" w:rsidRPr="00A0032B">
        <w:rPr>
          <w:rFonts w:asciiTheme="majorBidi" w:hAnsiTheme="majorBidi" w:cstheme="majorBidi"/>
        </w:rPr>
        <w:t xml:space="preserve"> group (8.2 ± 1.0 g). This substantial increase in biomass is further reflected in the specific growth rate (SGR), which was 3.70 ± 0.22% per day in </w:t>
      </w:r>
      <w:r w:rsidR="00280B43">
        <w:rPr>
          <w:rFonts w:asciiTheme="majorBidi" w:hAnsiTheme="majorBidi" w:cstheme="majorBidi"/>
        </w:rPr>
        <w:t>T2 tank</w:t>
      </w:r>
      <w:r w:rsidR="00A0032B" w:rsidRPr="00A0032B">
        <w:rPr>
          <w:rFonts w:asciiTheme="majorBidi" w:hAnsiTheme="majorBidi" w:cstheme="majorBidi"/>
        </w:rPr>
        <w:t xml:space="preserve"> fish, compared to 2.10 ± 0.15% per day in </w:t>
      </w:r>
      <w:r w:rsidR="00280B43">
        <w:rPr>
          <w:rFonts w:asciiTheme="majorBidi" w:hAnsiTheme="majorBidi" w:cstheme="majorBidi"/>
        </w:rPr>
        <w:t>T1</w:t>
      </w:r>
      <w:r w:rsidR="00A0032B" w:rsidRPr="00A0032B">
        <w:rPr>
          <w:rFonts w:asciiTheme="majorBidi" w:hAnsiTheme="majorBidi" w:cstheme="majorBidi"/>
        </w:rPr>
        <w:t xml:space="preserve"> fish. The elevated SGR indicates enhanced metabolic activity and nutrient assimilation, primarily due to the synergistic effects of beneficial probiotic strains and </w:t>
      </w:r>
      <w:proofErr w:type="spellStart"/>
      <w:r w:rsidR="00A0032B" w:rsidRPr="00A0032B">
        <w:rPr>
          <w:rFonts w:asciiTheme="majorBidi" w:hAnsiTheme="majorBidi" w:cstheme="majorBidi"/>
        </w:rPr>
        <w:t>biofloc</w:t>
      </w:r>
      <w:proofErr w:type="spellEnd"/>
      <w:r w:rsidR="00A0032B" w:rsidRPr="00A0032B">
        <w:rPr>
          <w:rFonts w:asciiTheme="majorBidi" w:hAnsiTheme="majorBidi" w:cstheme="majorBidi"/>
        </w:rPr>
        <w:t xml:space="preserve"> microbial communities that aid in digestion and improve water quality.</w:t>
      </w:r>
    </w:p>
    <w:p w14:paraId="3C4B89A3" w14:textId="5AE848B4" w:rsidR="00A0032B" w:rsidRDefault="00A0032B" w:rsidP="00280B43">
      <w:pPr>
        <w:spacing w:line="360" w:lineRule="auto"/>
        <w:jc w:val="both"/>
        <w:rPr>
          <w:rFonts w:asciiTheme="majorBidi" w:hAnsiTheme="majorBidi" w:cstheme="majorBidi"/>
        </w:rPr>
      </w:pPr>
      <w:r w:rsidRPr="00A0032B">
        <w:rPr>
          <w:rFonts w:asciiTheme="majorBidi" w:hAnsiTheme="majorBidi" w:cstheme="majorBidi"/>
        </w:rPr>
        <w:t xml:space="preserve">Additionally, the feed conversion ratio (FCR) was markedly better in the </w:t>
      </w:r>
      <w:r w:rsidR="00280B43">
        <w:rPr>
          <w:rFonts w:asciiTheme="majorBidi" w:hAnsiTheme="majorBidi" w:cstheme="majorBidi"/>
        </w:rPr>
        <w:t>T2</w:t>
      </w:r>
      <w:r w:rsidRPr="00A0032B">
        <w:rPr>
          <w:rFonts w:asciiTheme="majorBidi" w:hAnsiTheme="majorBidi" w:cstheme="majorBidi"/>
        </w:rPr>
        <w:t xml:space="preserve"> (0.80 ± 0.06) compared to</w:t>
      </w:r>
      <w:r w:rsidR="00280B43">
        <w:rPr>
          <w:rFonts w:asciiTheme="majorBidi" w:hAnsiTheme="majorBidi" w:cstheme="majorBidi"/>
        </w:rPr>
        <w:t xml:space="preserve"> T1</w:t>
      </w:r>
      <w:r w:rsidRPr="00A0032B">
        <w:rPr>
          <w:rFonts w:asciiTheme="majorBidi" w:hAnsiTheme="majorBidi" w:cstheme="majorBidi"/>
        </w:rPr>
        <w:t xml:space="preserve"> (1.45 ± 0.10), suggesting that fish in the probiotic </w:t>
      </w:r>
      <w:proofErr w:type="spellStart"/>
      <w:r w:rsidRPr="00A0032B">
        <w:rPr>
          <w:rFonts w:asciiTheme="majorBidi" w:hAnsiTheme="majorBidi" w:cstheme="majorBidi"/>
        </w:rPr>
        <w:t>biofloc</w:t>
      </w:r>
      <w:proofErr w:type="spellEnd"/>
      <w:r w:rsidRPr="00A0032B">
        <w:rPr>
          <w:rFonts w:asciiTheme="majorBidi" w:hAnsiTheme="majorBidi" w:cstheme="majorBidi"/>
        </w:rPr>
        <w:t xml:space="preserve"> system required significantly less feed to gain body mass. This improved feed efficiency not only reduces production costs but also minimizes nutrient waste in the environment. The survival rate was also slightly higher in the </w:t>
      </w:r>
      <w:r w:rsidR="00280B43">
        <w:rPr>
          <w:rFonts w:asciiTheme="majorBidi" w:hAnsiTheme="majorBidi" w:cstheme="majorBidi"/>
        </w:rPr>
        <w:t>T2</w:t>
      </w:r>
      <w:r w:rsidRPr="00A0032B">
        <w:rPr>
          <w:rFonts w:asciiTheme="majorBidi" w:hAnsiTheme="majorBidi" w:cstheme="majorBidi"/>
        </w:rPr>
        <w:t xml:space="preserve"> group (93%) than in </w:t>
      </w:r>
      <w:r w:rsidR="00280B43">
        <w:rPr>
          <w:rFonts w:asciiTheme="majorBidi" w:hAnsiTheme="majorBidi" w:cstheme="majorBidi"/>
        </w:rPr>
        <w:t>T1</w:t>
      </w:r>
      <w:r w:rsidRPr="00A0032B">
        <w:rPr>
          <w:rFonts w:asciiTheme="majorBidi" w:hAnsiTheme="majorBidi" w:cstheme="majorBidi"/>
        </w:rPr>
        <w:t xml:space="preserve"> (90%), reflecting improved health and stress resistance likely conferred by the probiotics' immunomodulatory effects.</w:t>
      </w:r>
      <w:r w:rsidR="00280B43">
        <w:rPr>
          <w:rFonts w:asciiTheme="majorBidi" w:hAnsiTheme="majorBidi" w:cstheme="majorBidi"/>
        </w:rPr>
        <w:t xml:space="preserve"> </w:t>
      </w:r>
      <w:r w:rsidRPr="00A0032B">
        <w:rPr>
          <w:rFonts w:asciiTheme="majorBidi" w:hAnsiTheme="majorBidi" w:cstheme="majorBidi"/>
        </w:rPr>
        <w:t xml:space="preserve">Collectively, these findings strongly support the use of mixed probiotics in </w:t>
      </w:r>
      <w:proofErr w:type="spellStart"/>
      <w:r w:rsidRPr="00A0032B">
        <w:rPr>
          <w:rFonts w:asciiTheme="majorBidi" w:hAnsiTheme="majorBidi" w:cstheme="majorBidi"/>
        </w:rPr>
        <w:t>biofloc</w:t>
      </w:r>
      <w:proofErr w:type="spellEnd"/>
      <w:r w:rsidRPr="00A0032B">
        <w:rPr>
          <w:rFonts w:asciiTheme="majorBidi" w:hAnsiTheme="majorBidi" w:cstheme="majorBidi"/>
        </w:rPr>
        <w:t xml:space="preserve"> systems as a sustainable strategy to enhance growth, feed utilization, and survival in aquaculture practices for </w:t>
      </w:r>
      <w:r w:rsidRPr="00A0032B">
        <w:rPr>
          <w:rFonts w:asciiTheme="majorBidi" w:hAnsiTheme="majorBidi" w:cstheme="majorBidi"/>
          <w:i/>
          <w:iCs/>
        </w:rPr>
        <w:t>Cyprinus carpio</w:t>
      </w:r>
      <w:r w:rsidRPr="00A0032B">
        <w:rPr>
          <w:rFonts w:asciiTheme="majorBidi" w:hAnsiTheme="majorBidi" w:cstheme="majorBidi"/>
        </w:rPr>
        <w:t>.</w:t>
      </w:r>
    </w:p>
    <w:p w14:paraId="0EA430AC" w14:textId="13AF2006" w:rsidR="00F37ADB" w:rsidRPr="00A0032B" w:rsidRDefault="00F37ADB" w:rsidP="00841DC5">
      <w:pPr>
        <w:spacing w:line="360" w:lineRule="auto"/>
        <w:jc w:val="center"/>
        <w:rPr>
          <w:rFonts w:asciiTheme="majorBidi" w:hAnsiTheme="majorBidi" w:cstheme="majorBidi"/>
        </w:rPr>
      </w:pPr>
      <w:r>
        <w:rPr>
          <w:noProof/>
        </w:rPr>
        <w:lastRenderedPageBreak/>
        <w:drawing>
          <wp:inline distT="0" distB="0" distL="0" distR="0" wp14:anchorId="6F350BEA" wp14:editId="4354CD27">
            <wp:extent cx="3705225" cy="2309426"/>
            <wp:effectExtent l="0" t="0" r="0" b="0"/>
            <wp:docPr id="1547056681" name="Picture 5"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Output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36345" cy="2328823"/>
                    </a:xfrm>
                    <a:prstGeom prst="rect">
                      <a:avLst/>
                    </a:prstGeom>
                    <a:noFill/>
                    <a:ln>
                      <a:noFill/>
                    </a:ln>
                  </pic:spPr>
                </pic:pic>
              </a:graphicData>
            </a:graphic>
          </wp:inline>
        </w:drawing>
      </w:r>
    </w:p>
    <w:p w14:paraId="2B3BF077" w14:textId="7D2F61A8" w:rsidR="00501CDD" w:rsidRDefault="00841DC5" w:rsidP="00841DC5">
      <w:pPr>
        <w:spacing w:line="360" w:lineRule="auto"/>
        <w:jc w:val="center"/>
        <w:rPr>
          <w:rFonts w:asciiTheme="majorBidi" w:hAnsiTheme="majorBidi" w:cstheme="majorBidi"/>
        </w:rPr>
      </w:pPr>
      <w:r>
        <w:rPr>
          <w:rFonts w:asciiTheme="majorBidi" w:hAnsiTheme="majorBidi" w:cstheme="majorBidi"/>
        </w:rPr>
        <w:t>Figure 4:</w:t>
      </w:r>
      <w:r w:rsidR="00563EE2" w:rsidRPr="00563EE2">
        <w:rPr>
          <w:rFonts w:asciiTheme="majorBidi" w:hAnsiTheme="majorBidi" w:cstheme="majorBidi"/>
        </w:rPr>
        <w:t xml:space="preserve"> correlation coefficient between </w:t>
      </w:r>
      <w:r>
        <w:rPr>
          <w:rFonts w:asciiTheme="majorBidi" w:hAnsiTheme="majorBidi" w:cstheme="majorBidi"/>
        </w:rPr>
        <w:t xml:space="preserve">T1 </w:t>
      </w:r>
      <w:r w:rsidR="00563EE2" w:rsidRPr="00563EE2">
        <w:rPr>
          <w:rFonts w:asciiTheme="majorBidi" w:hAnsiTheme="majorBidi" w:cstheme="majorBidi"/>
        </w:rPr>
        <w:t>and T2 growth parameters is approximately 0.973, indicating a strong positive correlation.</w:t>
      </w:r>
    </w:p>
    <w:p w14:paraId="4BC76CB4" w14:textId="77C847DB" w:rsidR="00CD1807" w:rsidRPr="00CD1807" w:rsidRDefault="00CD1807" w:rsidP="00CD1807">
      <w:pPr>
        <w:spacing w:line="360" w:lineRule="auto"/>
        <w:jc w:val="both"/>
        <w:rPr>
          <w:rFonts w:asciiTheme="majorBidi" w:hAnsiTheme="majorBidi" w:cstheme="majorBidi"/>
        </w:rPr>
      </w:pPr>
      <w:r w:rsidRPr="00CD1807">
        <w:rPr>
          <w:rFonts w:asciiTheme="majorBidi" w:hAnsiTheme="majorBidi" w:cstheme="majorBidi"/>
        </w:rPr>
        <w:t xml:space="preserve">The </w:t>
      </w:r>
      <w:r>
        <w:rPr>
          <w:rFonts w:asciiTheme="majorBidi" w:hAnsiTheme="majorBidi" w:cstheme="majorBidi"/>
        </w:rPr>
        <w:t>Figure 4</w:t>
      </w:r>
      <w:r w:rsidRPr="00CD1807">
        <w:rPr>
          <w:rFonts w:asciiTheme="majorBidi" w:hAnsiTheme="majorBidi" w:cstheme="majorBidi"/>
        </w:rPr>
        <w:t xml:space="preserve"> represents the relationship between growth metrics of </w:t>
      </w:r>
      <w:r w:rsidRPr="00CD1807">
        <w:rPr>
          <w:rFonts w:asciiTheme="majorBidi" w:hAnsiTheme="majorBidi" w:cstheme="majorBidi"/>
          <w:i/>
          <w:iCs/>
        </w:rPr>
        <w:t>Cyprinus carpio</w:t>
      </w:r>
      <w:r w:rsidRPr="00CD1807">
        <w:rPr>
          <w:rFonts w:asciiTheme="majorBidi" w:hAnsiTheme="majorBidi" w:cstheme="majorBidi"/>
        </w:rPr>
        <w:t xml:space="preserve"> fingerlings under two culture systems: T1 (Without Probiotic Biofloc) and T2 (With Probiotic Biofloc).</w:t>
      </w:r>
      <w:r>
        <w:rPr>
          <w:rFonts w:asciiTheme="majorBidi" w:hAnsiTheme="majorBidi" w:cstheme="majorBidi"/>
        </w:rPr>
        <w:t xml:space="preserve"> </w:t>
      </w:r>
      <w:r w:rsidRPr="00CD1807">
        <w:rPr>
          <w:rFonts w:asciiTheme="majorBidi" w:hAnsiTheme="majorBidi" w:cstheme="majorBidi"/>
        </w:rPr>
        <w:t>The X-axis shows values of different growth parameters recorded under T1 (Control).</w:t>
      </w:r>
      <w:r>
        <w:rPr>
          <w:rFonts w:asciiTheme="majorBidi" w:hAnsiTheme="majorBidi" w:cstheme="majorBidi"/>
        </w:rPr>
        <w:t xml:space="preserve"> </w:t>
      </w:r>
      <w:r w:rsidRPr="00CD1807">
        <w:rPr>
          <w:rFonts w:asciiTheme="majorBidi" w:hAnsiTheme="majorBidi" w:cstheme="majorBidi"/>
        </w:rPr>
        <w:t>The Y-axis shows corresponding values of the same parameters under T2 (Probiotic Biofloc).</w:t>
      </w:r>
      <w:r>
        <w:rPr>
          <w:rFonts w:asciiTheme="majorBidi" w:hAnsiTheme="majorBidi" w:cstheme="majorBidi"/>
        </w:rPr>
        <w:t xml:space="preserve"> </w:t>
      </w:r>
      <w:r w:rsidRPr="00CD1807">
        <w:rPr>
          <w:rFonts w:asciiTheme="majorBidi" w:hAnsiTheme="majorBidi" w:cstheme="majorBidi"/>
        </w:rPr>
        <w:t>Each blue dot represents a pair of corresponding values for a particular growth parameter (e.g., survival rate, final body weight, specific growth rate, etc.) under T1 and T2.</w:t>
      </w:r>
      <w:r>
        <w:rPr>
          <w:rFonts w:asciiTheme="majorBidi" w:hAnsiTheme="majorBidi" w:cstheme="majorBidi"/>
        </w:rPr>
        <w:t xml:space="preserve"> </w:t>
      </w:r>
      <w:r w:rsidRPr="00CD1807">
        <w:rPr>
          <w:rFonts w:asciiTheme="majorBidi" w:hAnsiTheme="majorBidi" w:cstheme="majorBidi"/>
        </w:rPr>
        <w:t xml:space="preserve">The blue line indicates a positive linear correlation, suggesting that as the value of a parameter increases in T1, it tends to increase in T2 as well. However, most T2 values are higher, which is why the dots lie above the 45° diagonal line (if it were drawn). This reflects the superior performance of the probiotic </w:t>
      </w:r>
      <w:proofErr w:type="spellStart"/>
      <w:r w:rsidRPr="00CD1807">
        <w:rPr>
          <w:rFonts w:asciiTheme="majorBidi" w:hAnsiTheme="majorBidi" w:cstheme="majorBidi"/>
        </w:rPr>
        <w:t>biofloc</w:t>
      </w:r>
      <w:proofErr w:type="spellEnd"/>
      <w:r w:rsidRPr="00CD1807">
        <w:rPr>
          <w:rFonts w:asciiTheme="majorBidi" w:hAnsiTheme="majorBidi" w:cstheme="majorBidi"/>
        </w:rPr>
        <w:t xml:space="preserve"> system.</w:t>
      </w:r>
    </w:p>
    <w:p w14:paraId="3E625BFA" w14:textId="17146272" w:rsidR="00CD1807" w:rsidRPr="00563EE2" w:rsidRDefault="00CD1807" w:rsidP="00CD1807">
      <w:pPr>
        <w:spacing w:line="360" w:lineRule="auto"/>
        <w:jc w:val="both"/>
        <w:rPr>
          <w:rFonts w:asciiTheme="majorBidi" w:hAnsiTheme="majorBidi" w:cstheme="majorBidi"/>
        </w:rPr>
      </w:pPr>
      <w:r w:rsidRPr="00CD1807">
        <w:rPr>
          <w:rFonts w:asciiTheme="majorBidi" w:hAnsiTheme="majorBidi" w:cstheme="majorBidi"/>
        </w:rPr>
        <w:t xml:space="preserve">Although the correlation is linear, the slope is greater than 1, meaning that for each unit value in T1, the corresponding T2 value is typically larger. This supports the conclusion that the probiotic </w:t>
      </w:r>
      <w:proofErr w:type="spellStart"/>
      <w:r w:rsidRPr="00CD1807">
        <w:rPr>
          <w:rFonts w:asciiTheme="majorBidi" w:hAnsiTheme="majorBidi" w:cstheme="majorBidi"/>
        </w:rPr>
        <w:t>biofloc</w:t>
      </w:r>
      <w:proofErr w:type="spellEnd"/>
      <w:r w:rsidRPr="00CD1807">
        <w:rPr>
          <w:rFonts w:asciiTheme="majorBidi" w:hAnsiTheme="majorBidi" w:cstheme="majorBidi"/>
        </w:rPr>
        <w:t xml:space="preserve"> system enhances growth outcomes compared to the control.</w:t>
      </w:r>
      <w:r>
        <w:rPr>
          <w:rFonts w:asciiTheme="majorBidi" w:hAnsiTheme="majorBidi" w:cstheme="majorBidi"/>
        </w:rPr>
        <w:t xml:space="preserve"> </w:t>
      </w:r>
      <w:r w:rsidRPr="00CD1807">
        <w:rPr>
          <w:rFonts w:asciiTheme="majorBidi" w:hAnsiTheme="majorBidi" w:cstheme="majorBidi"/>
        </w:rPr>
        <w:t xml:space="preserve">this graph confirms a strong, positive correlation between the two systems while clearly illustrating that the probiotic </w:t>
      </w:r>
      <w:proofErr w:type="spellStart"/>
      <w:r w:rsidRPr="00CD1807">
        <w:rPr>
          <w:rFonts w:asciiTheme="majorBidi" w:hAnsiTheme="majorBidi" w:cstheme="majorBidi"/>
        </w:rPr>
        <w:t>biofloc</w:t>
      </w:r>
      <w:proofErr w:type="spellEnd"/>
      <w:r w:rsidRPr="00CD1807">
        <w:rPr>
          <w:rFonts w:asciiTheme="majorBidi" w:hAnsiTheme="majorBidi" w:cstheme="majorBidi"/>
        </w:rPr>
        <w:t xml:space="preserve"> system (T2) consistently outperforms the conventional method (T1) in terms of all key growth parameters.</w:t>
      </w:r>
    </w:p>
    <w:p w14:paraId="5915C22D" w14:textId="37348119" w:rsidR="00A70EF9" w:rsidRDefault="00A70EF9" w:rsidP="00A70EF9">
      <w:pPr>
        <w:spacing w:line="360" w:lineRule="auto"/>
        <w:jc w:val="both"/>
        <w:rPr>
          <w:rFonts w:asciiTheme="majorBidi" w:hAnsiTheme="majorBidi" w:cstheme="majorBidi"/>
        </w:rPr>
      </w:pPr>
      <w:r w:rsidRPr="00A70EF9">
        <w:rPr>
          <w:rFonts w:asciiTheme="majorBidi" w:hAnsiTheme="majorBidi" w:cstheme="majorBidi"/>
          <w:b/>
          <w:bCs/>
        </w:rPr>
        <w:t>Conclusion</w:t>
      </w:r>
    </w:p>
    <w:p w14:paraId="5153C1FC" w14:textId="1B8B1339" w:rsidR="00A70EF9" w:rsidRDefault="00A70EF9" w:rsidP="00A70EF9">
      <w:pPr>
        <w:spacing w:line="360" w:lineRule="auto"/>
        <w:jc w:val="both"/>
        <w:rPr>
          <w:rFonts w:asciiTheme="majorBidi" w:hAnsiTheme="majorBidi" w:cstheme="majorBidi"/>
        </w:rPr>
      </w:pPr>
      <w:r w:rsidRPr="00A70EF9">
        <w:rPr>
          <w:rFonts w:asciiTheme="majorBidi" w:hAnsiTheme="majorBidi" w:cstheme="majorBidi"/>
        </w:rPr>
        <w:t xml:space="preserve">The present investigation underscores the efficacy of probiotic-enriched </w:t>
      </w:r>
      <w:proofErr w:type="spellStart"/>
      <w:r w:rsidRPr="00A70EF9">
        <w:rPr>
          <w:rFonts w:asciiTheme="majorBidi" w:hAnsiTheme="majorBidi" w:cstheme="majorBidi"/>
        </w:rPr>
        <w:t>biofloc</w:t>
      </w:r>
      <w:proofErr w:type="spellEnd"/>
      <w:r w:rsidRPr="00A70EF9">
        <w:rPr>
          <w:rFonts w:asciiTheme="majorBidi" w:hAnsiTheme="majorBidi" w:cstheme="majorBidi"/>
        </w:rPr>
        <w:t xml:space="preserve"> technology in enhancing the water quality and growth performance of </w:t>
      </w:r>
      <w:r w:rsidRPr="00A70EF9">
        <w:rPr>
          <w:rFonts w:asciiTheme="majorBidi" w:hAnsiTheme="majorBidi" w:cstheme="majorBidi"/>
          <w:i/>
          <w:iCs/>
        </w:rPr>
        <w:t>Cyprinus carpio</w:t>
      </w:r>
      <w:r w:rsidRPr="00A70EF9">
        <w:rPr>
          <w:rFonts w:asciiTheme="majorBidi" w:hAnsiTheme="majorBidi" w:cstheme="majorBidi"/>
        </w:rPr>
        <w:t xml:space="preserve"> fingerlings. Comparative </w:t>
      </w:r>
      <w:r w:rsidRPr="00A70EF9">
        <w:rPr>
          <w:rFonts w:asciiTheme="majorBidi" w:hAnsiTheme="majorBidi" w:cstheme="majorBidi"/>
        </w:rPr>
        <w:lastRenderedPageBreak/>
        <w:t xml:space="preserve">analysis between the control </w:t>
      </w:r>
      <w:r w:rsidR="009A7F3F" w:rsidRPr="00CD1807">
        <w:rPr>
          <w:rFonts w:asciiTheme="majorBidi" w:hAnsiTheme="majorBidi" w:cstheme="majorBidi"/>
        </w:rPr>
        <w:t>T1 (Without Probiotic Biofloc) and T2 (With Probiotic Biofloc).</w:t>
      </w:r>
      <w:r w:rsidR="009A7F3F">
        <w:rPr>
          <w:rFonts w:asciiTheme="majorBidi" w:hAnsiTheme="majorBidi" w:cstheme="majorBidi"/>
        </w:rPr>
        <w:t xml:space="preserve"> </w:t>
      </w:r>
      <w:r w:rsidRPr="00A70EF9">
        <w:rPr>
          <w:rFonts w:asciiTheme="majorBidi" w:hAnsiTheme="majorBidi" w:cstheme="majorBidi"/>
        </w:rPr>
        <w:t>across eight months revealed that the integration of probiotics led to marked improvements in key physicochemical parameters and fish growth indices.</w:t>
      </w:r>
      <w:r>
        <w:rPr>
          <w:rFonts w:asciiTheme="majorBidi" w:hAnsiTheme="majorBidi" w:cstheme="majorBidi"/>
        </w:rPr>
        <w:t xml:space="preserve"> </w:t>
      </w:r>
      <w:r w:rsidRPr="00A70EF9">
        <w:rPr>
          <w:rFonts w:asciiTheme="majorBidi" w:hAnsiTheme="majorBidi" w:cstheme="majorBidi"/>
        </w:rPr>
        <w:t xml:space="preserve">Water quality assessment showed that ammonia levels, a critical toxicant in aquaculture, remained substantially lower in the T2 system (ranging from 0.1–0.2 mg/L) compared to the T1 system (0.5–0.7 mg/L). This reduction can be attributed to enhanced nitrification processes and microbial assimilation facilitated by the probiotic consortia. Dissolved oxygen (DO) levels were also consistently higher in T2 (up to 5.8 mg/L), indicating improved microbial respiration and reduced organic load. While pH, chloride, iron, and residual chlorine remained within optimal ranges in both systems, the </w:t>
      </w:r>
      <w:proofErr w:type="spellStart"/>
      <w:r w:rsidRPr="00A70EF9">
        <w:rPr>
          <w:rFonts w:asciiTheme="majorBidi" w:hAnsiTheme="majorBidi" w:cstheme="majorBidi"/>
        </w:rPr>
        <w:t>biofloc</w:t>
      </w:r>
      <w:proofErr w:type="spellEnd"/>
      <w:r w:rsidRPr="00A70EF9">
        <w:rPr>
          <w:rFonts w:asciiTheme="majorBidi" w:hAnsiTheme="majorBidi" w:cstheme="majorBidi"/>
        </w:rPr>
        <w:t xml:space="preserve"> environment helped stabilize fluctuations, especially in nitrate and turbidity, supporting a more balanced ecosystem.</w:t>
      </w:r>
      <w:r>
        <w:rPr>
          <w:rFonts w:asciiTheme="majorBidi" w:hAnsiTheme="majorBidi" w:cstheme="majorBidi"/>
        </w:rPr>
        <w:t xml:space="preserve"> </w:t>
      </w:r>
      <w:r w:rsidRPr="00A70EF9">
        <w:rPr>
          <w:rFonts w:asciiTheme="majorBidi" w:hAnsiTheme="majorBidi" w:cstheme="majorBidi"/>
        </w:rPr>
        <w:t>The probiotic treatment translated into significant biological gains. The final body weight in T2 was nearly double that of T1 (15.50 ± 1.1 g vs. 8.20 ± 1.0 g), with a corresponding increase in specific growth rate (SGR) to 3.70 ± 0.22% per day in T2, compared to 2.10 ± 0.15% per day in T1. Furthermore, the feed conversion ratio (FCR) was notably better in T2 (0.80 ± 0.06), suggesting more efficient feed utilization, likely due to improved gut microbiota and nutrient bioavailability. The survival rate also improved slightly in the T2 tank indicating enhanced stress tolerance and disease resistance.</w:t>
      </w:r>
      <w:r>
        <w:rPr>
          <w:rFonts w:asciiTheme="majorBidi" w:hAnsiTheme="majorBidi" w:cstheme="majorBidi"/>
        </w:rPr>
        <w:t xml:space="preserve"> </w:t>
      </w:r>
      <w:r w:rsidRPr="00A70EF9">
        <w:rPr>
          <w:rFonts w:asciiTheme="majorBidi" w:hAnsiTheme="majorBidi" w:cstheme="majorBidi"/>
        </w:rPr>
        <w:t xml:space="preserve">the application of mixed probiotics in a </w:t>
      </w:r>
      <w:r w:rsidR="00DE4894" w:rsidRPr="00A70EF9">
        <w:rPr>
          <w:rFonts w:asciiTheme="majorBidi" w:hAnsiTheme="majorBidi" w:cstheme="majorBidi"/>
        </w:rPr>
        <w:t>Biofloc</w:t>
      </w:r>
      <w:r w:rsidRPr="00A70EF9">
        <w:rPr>
          <w:rFonts w:asciiTheme="majorBidi" w:hAnsiTheme="majorBidi" w:cstheme="majorBidi"/>
        </w:rPr>
        <w:t xml:space="preserve"> system effectively regulates water quality, particularly ammonia, enhances nutrient recycling, and promotes superior growth and survival in </w:t>
      </w:r>
      <w:r w:rsidRPr="00A70EF9">
        <w:rPr>
          <w:rFonts w:asciiTheme="majorBidi" w:hAnsiTheme="majorBidi" w:cstheme="majorBidi"/>
          <w:i/>
          <w:iCs/>
        </w:rPr>
        <w:t>Cyprinus carpio</w:t>
      </w:r>
      <w:r w:rsidRPr="00A70EF9">
        <w:rPr>
          <w:rFonts w:asciiTheme="majorBidi" w:hAnsiTheme="majorBidi" w:cstheme="majorBidi"/>
        </w:rPr>
        <w:t xml:space="preserve">. These findings advocate the implementation of probiotic </w:t>
      </w:r>
      <w:r w:rsidR="007E0060" w:rsidRPr="00A70EF9">
        <w:rPr>
          <w:rFonts w:asciiTheme="majorBidi" w:hAnsiTheme="majorBidi" w:cstheme="majorBidi"/>
        </w:rPr>
        <w:t>Biofloc</w:t>
      </w:r>
      <w:r w:rsidRPr="00A70EF9">
        <w:rPr>
          <w:rFonts w:asciiTheme="majorBidi" w:hAnsiTheme="majorBidi" w:cstheme="majorBidi"/>
        </w:rPr>
        <w:t xml:space="preserve"> systems as a cost-effective, sustainable, and environmentally responsible strategy for modern freshwater aquaculture.</w:t>
      </w:r>
    </w:p>
    <w:p w14:paraId="02070C1E" w14:textId="77777777" w:rsidR="00CF529B" w:rsidRDefault="00CF529B" w:rsidP="00CF529B">
      <w:pPr>
        <w:spacing w:line="360" w:lineRule="auto"/>
        <w:jc w:val="both"/>
        <w:rPr>
          <w:rFonts w:asciiTheme="majorBidi" w:hAnsiTheme="majorBidi" w:cstheme="majorBidi"/>
          <w:b/>
          <w:bCs/>
        </w:rPr>
      </w:pPr>
      <w:r w:rsidRPr="00CF529B">
        <w:rPr>
          <w:rFonts w:asciiTheme="majorBidi" w:hAnsiTheme="majorBidi" w:cstheme="majorBidi"/>
          <w:b/>
          <w:bCs/>
        </w:rPr>
        <w:t>Data Availability</w:t>
      </w:r>
    </w:p>
    <w:p w14:paraId="05E9D19F" w14:textId="3E755BAD" w:rsidR="00CF529B" w:rsidRPr="00CF529B" w:rsidRDefault="00CF529B" w:rsidP="00CF529B">
      <w:pPr>
        <w:spacing w:line="360" w:lineRule="auto"/>
        <w:jc w:val="both"/>
        <w:rPr>
          <w:rFonts w:asciiTheme="majorBidi" w:hAnsiTheme="majorBidi" w:cstheme="majorBidi"/>
          <w:b/>
          <w:bCs/>
        </w:rPr>
      </w:pPr>
      <w:r w:rsidRPr="00CF529B">
        <w:rPr>
          <w:rFonts w:asciiTheme="majorBidi" w:hAnsiTheme="majorBidi" w:cstheme="majorBidi"/>
        </w:rPr>
        <w:t>The data supporting the findings of this study are available from the corresponding author.</w:t>
      </w:r>
    </w:p>
    <w:p w14:paraId="051DC4EA" w14:textId="77777777" w:rsidR="008071FD" w:rsidRDefault="008071FD" w:rsidP="008071FD">
      <w:pPr>
        <w:spacing w:line="360" w:lineRule="auto"/>
        <w:jc w:val="both"/>
        <w:rPr>
          <w:rFonts w:asciiTheme="majorBidi" w:hAnsiTheme="majorBidi" w:cstheme="majorBidi"/>
          <w:b/>
          <w:bCs/>
        </w:rPr>
      </w:pPr>
      <w:r w:rsidRPr="008071FD">
        <w:rPr>
          <w:rFonts w:asciiTheme="majorBidi" w:hAnsiTheme="majorBidi" w:cstheme="majorBidi"/>
          <w:b/>
          <w:bCs/>
        </w:rPr>
        <w:t>Disclosure Statement</w:t>
      </w:r>
    </w:p>
    <w:p w14:paraId="12019461" w14:textId="6217EBE5" w:rsidR="008071FD" w:rsidRPr="008071FD" w:rsidRDefault="008071FD" w:rsidP="008071FD">
      <w:pPr>
        <w:spacing w:line="360" w:lineRule="auto"/>
        <w:jc w:val="both"/>
        <w:rPr>
          <w:rFonts w:asciiTheme="majorBidi" w:hAnsiTheme="majorBidi" w:cstheme="majorBidi"/>
        </w:rPr>
      </w:pPr>
      <w:r w:rsidRPr="008071FD">
        <w:rPr>
          <w:rFonts w:asciiTheme="majorBidi" w:hAnsiTheme="majorBidi" w:cstheme="majorBidi"/>
        </w:rPr>
        <w:t>The author(s) declare no conflicts of interest related to this work.</w:t>
      </w:r>
    </w:p>
    <w:p w14:paraId="6D3D58A6" w14:textId="77777777" w:rsidR="008071FD" w:rsidRPr="00A70EF9" w:rsidRDefault="008071FD" w:rsidP="00A70EF9">
      <w:pPr>
        <w:spacing w:line="360" w:lineRule="auto"/>
        <w:jc w:val="both"/>
        <w:rPr>
          <w:rFonts w:asciiTheme="majorBidi" w:hAnsiTheme="majorBidi" w:cstheme="majorBidi"/>
        </w:rPr>
      </w:pPr>
    </w:p>
    <w:p w14:paraId="2477024F" w14:textId="77777777" w:rsidR="00403B0B" w:rsidRPr="00403B0B" w:rsidRDefault="00403B0B" w:rsidP="00780C41">
      <w:pPr>
        <w:spacing w:line="360" w:lineRule="auto"/>
        <w:jc w:val="both"/>
        <w:rPr>
          <w:rFonts w:asciiTheme="majorBidi" w:hAnsiTheme="majorBidi" w:cstheme="majorBidi"/>
        </w:rPr>
      </w:pPr>
    </w:p>
    <w:p w14:paraId="221FFDF7" w14:textId="1663623A" w:rsidR="002B595A" w:rsidRPr="002B595A" w:rsidRDefault="000D0EE7" w:rsidP="002B595A">
      <w:pPr>
        <w:spacing w:line="360" w:lineRule="auto"/>
        <w:jc w:val="both"/>
        <w:rPr>
          <w:rFonts w:asciiTheme="majorBidi" w:hAnsiTheme="majorBidi" w:cstheme="majorBidi"/>
          <w:b/>
          <w:bCs/>
        </w:rPr>
      </w:pPr>
      <w:r>
        <w:rPr>
          <w:rFonts w:asciiTheme="majorBidi" w:hAnsiTheme="majorBidi" w:cstheme="majorBidi"/>
          <w:b/>
          <w:bCs/>
        </w:rPr>
        <w:t>References</w:t>
      </w:r>
    </w:p>
    <w:p w14:paraId="405EAD18" w14:textId="77777777" w:rsidR="002B595A" w:rsidRDefault="002B595A" w:rsidP="002B595A">
      <w:pPr>
        <w:spacing w:line="360" w:lineRule="auto"/>
        <w:ind w:left="360"/>
        <w:jc w:val="both"/>
        <w:rPr>
          <w:rFonts w:asciiTheme="majorBidi" w:hAnsiTheme="majorBidi" w:cstheme="majorBidi"/>
        </w:rPr>
      </w:pPr>
      <w:r w:rsidRPr="000C6821">
        <w:rPr>
          <w:rFonts w:asciiTheme="majorBidi" w:hAnsiTheme="majorBidi" w:cstheme="majorBidi"/>
        </w:rPr>
        <w:lastRenderedPageBreak/>
        <w:t>FAO The State of World Fisheries and Aquaculture 2024. Blue Transformation in Action. 2024.</w:t>
      </w:r>
      <w:r>
        <w:rPr>
          <w:rFonts w:asciiTheme="majorBidi" w:hAnsiTheme="majorBidi" w:cstheme="majorBidi"/>
        </w:rPr>
        <w:t xml:space="preserve"> </w:t>
      </w:r>
      <w:r w:rsidRPr="00305713">
        <w:rPr>
          <w:rFonts w:asciiTheme="majorBidi" w:hAnsiTheme="majorBidi" w:cstheme="majorBidi"/>
        </w:rPr>
        <w:t>https://openknowledge.fao.org/server/api/core/bitstreams/66538eba-9c85-4504-8438-c1cf0a0a3903/content/cd0683en.html</w:t>
      </w:r>
      <w:r w:rsidRPr="000C6821">
        <w:rPr>
          <w:rFonts w:asciiTheme="majorBidi" w:hAnsiTheme="majorBidi" w:cstheme="majorBidi"/>
        </w:rPr>
        <w:t>.</w:t>
      </w:r>
    </w:p>
    <w:p w14:paraId="0B234CAF" w14:textId="77777777" w:rsidR="002B595A" w:rsidRDefault="002B595A" w:rsidP="002B595A">
      <w:pPr>
        <w:spacing w:line="360" w:lineRule="auto"/>
        <w:ind w:left="360"/>
        <w:jc w:val="both"/>
        <w:rPr>
          <w:rFonts w:asciiTheme="majorBidi" w:hAnsiTheme="majorBidi" w:cstheme="majorBidi"/>
        </w:rPr>
      </w:pPr>
      <w:r w:rsidRPr="00A102B9">
        <w:rPr>
          <w:rFonts w:asciiTheme="majorBidi" w:hAnsiTheme="majorBidi" w:cstheme="majorBidi"/>
          <w:lang w:val="de-DE"/>
        </w:rPr>
        <w:t xml:space="preserve">Badoni, P., Nazir, I., Aier, M., Maity, P. B., Samanta, S., &amp; Das, A. (2021). </w:t>
      </w:r>
      <w:r w:rsidRPr="00A102B9">
        <w:rPr>
          <w:rFonts w:asciiTheme="majorBidi" w:hAnsiTheme="majorBidi" w:cstheme="majorBidi"/>
        </w:rPr>
        <w:t>Significant role of fish nutrients with special emphasis to essential fatty acid in human nutrition. </w:t>
      </w:r>
      <w:r w:rsidRPr="00A102B9">
        <w:rPr>
          <w:rFonts w:asciiTheme="majorBidi" w:hAnsiTheme="majorBidi" w:cstheme="majorBidi"/>
          <w:i/>
          <w:iCs/>
        </w:rPr>
        <w:t>Int. J. Curr. Microbiol. Appl. Sci</w:t>
      </w:r>
      <w:r w:rsidRPr="00A102B9">
        <w:rPr>
          <w:rFonts w:asciiTheme="majorBidi" w:hAnsiTheme="majorBidi" w:cstheme="majorBidi"/>
        </w:rPr>
        <w:t>, </w:t>
      </w:r>
      <w:r w:rsidRPr="00A102B9">
        <w:rPr>
          <w:rFonts w:asciiTheme="majorBidi" w:hAnsiTheme="majorBidi" w:cstheme="majorBidi"/>
          <w:i/>
          <w:iCs/>
        </w:rPr>
        <w:t>10</w:t>
      </w:r>
      <w:r w:rsidRPr="00A102B9">
        <w:rPr>
          <w:rFonts w:asciiTheme="majorBidi" w:hAnsiTheme="majorBidi" w:cstheme="majorBidi"/>
        </w:rPr>
        <w:t>, 2034-2046.</w:t>
      </w:r>
    </w:p>
    <w:p w14:paraId="64419CAE" w14:textId="77777777" w:rsidR="002B595A" w:rsidRPr="004B5E5E" w:rsidRDefault="002B595A" w:rsidP="002B595A">
      <w:pPr>
        <w:spacing w:line="360" w:lineRule="auto"/>
        <w:ind w:left="360"/>
        <w:jc w:val="both"/>
        <w:rPr>
          <w:rFonts w:asciiTheme="majorBidi" w:hAnsiTheme="majorBidi" w:cstheme="majorBidi"/>
        </w:rPr>
      </w:pPr>
      <w:proofErr w:type="spellStart"/>
      <w:r w:rsidRPr="00CF5AC7">
        <w:rPr>
          <w:rFonts w:asciiTheme="majorBidi" w:hAnsiTheme="majorBidi" w:cstheme="majorBidi"/>
        </w:rPr>
        <w:t>Amillano</w:t>
      </w:r>
      <w:proofErr w:type="spellEnd"/>
      <w:r w:rsidRPr="00CF5AC7">
        <w:rPr>
          <w:rFonts w:asciiTheme="majorBidi" w:hAnsiTheme="majorBidi" w:cstheme="majorBidi"/>
        </w:rPr>
        <w:t xml:space="preserve">-Cisneros, J. M., Fuentes-Valencia, M. A., Leyva-Morales, J. B., </w:t>
      </w:r>
      <w:proofErr w:type="spellStart"/>
      <w:r w:rsidRPr="00CF5AC7">
        <w:rPr>
          <w:rFonts w:asciiTheme="majorBidi" w:hAnsiTheme="majorBidi" w:cstheme="majorBidi"/>
        </w:rPr>
        <w:t>Savín</w:t>
      </w:r>
      <w:proofErr w:type="spellEnd"/>
      <w:r w:rsidRPr="00CF5AC7">
        <w:rPr>
          <w:rFonts w:asciiTheme="majorBidi" w:hAnsiTheme="majorBidi" w:cstheme="majorBidi"/>
        </w:rPr>
        <w:t>-Amador, M., Márquez-Pacheco, H., de Jesús Bastidas-Bastidas, P., ... &amp; Badilla-Medina, C. N. (2025). Effects of microorganisms in fish aquaculture from a sustainable approach: a review. </w:t>
      </w:r>
      <w:r w:rsidRPr="005B106A">
        <w:rPr>
          <w:rFonts w:asciiTheme="majorBidi" w:hAnsiTheme="majorBidi" w:cstheme="majorBidi"/>
          <w:i/>
          <w:iCs/>
        </w:rPr>
        <w:t>Microorganisms</w:t>
      </w:r>
      <w:r w:rsidRPr="005B106A">
        <w:rPr>
          <w:rFonts w:asciiTheme="majorBidi" w:hAnsiTheme="majorBidi" w:cstheme="majorBidi"/>
        </w:rPr>
        <w:t>, </w:t>
      </w:r>
      <w:r w:rsidRPr="005B106A">
        <w:rPr>
          <w:rFonts w:asciiTheme="majorBidi" w:hAnsiTheme="majorBidi" w:cstheme="majorBidi"/>
          <w:i/>
          <w:iCs/>
        </w:rPr>
        <w:t>13</w:t>
      </w:r>
      <w:r w:rsidRPr="005B106A">
        <w:rPr>
          <w:rFonts w:asciiTheme="majorBidi" w:hAnsiTheme="majorBidi" w:cstheme="majorBidi"/>
        </w:rPr>
        <w:t>(3), 485.</w:t>
      </w:r>
    </w:p>
    <w:p w14:paraId="4424A783" w14:textId="77777777" w:rsidR="002B595A" w:rsidRPr="002B595A" w:rsidRDefault="002B595A" w:rsidP="002B595A">
      <w:pPr>
        <w:spacing w:line="360" w:lineRule="auto"/>
        <w:ind w:left="360"/>
        <w:jc w:val="both"/>
        <w:rPr>
          <w:rFonts w:asciiTheme="majorBidi" w:hAnsiTheme="majorBidi" w:cstheme="majorBidi"/>
          <w:lang w:val="da-DK"/>
        </w:rPr>
      </w:pPr>
      <w:r w:rsidRPr="00C30575">
        <w:rPr>
          <w:rFonts w:asciiTheme="majorBidi" w:hAnsiTheme="majorBidi" w:cstheme="majorBidi"/>
        </w:rPr>
        <w:t>Dewali, S., Parveen, N., Kathayat, N., Rawat, G., Bora, S., Sharma, N. P., ... &amp; Bisht, S. S. (2025). Biological Cleansing: Probiotic Strategies for Tackling Contaminants in Water and Wastewater. In </w:t>
      </w:r>
      <w:r w:rsidRPr="00C30575">
        <w:rPr>
          <w:rFonts w:asciiTheme="majorBidi" w:hAnsiTheme="majorBidi" w:cstheme="majorBidi"/>
          <w:i/>
          <w:iCs/>
        </w:rPr>
        <w:t>Emerging Contaminants in Water and Wastewater: Sources and Substances</w:t>
      </w:r>
      <w:r w:rsidRPr="00C30575">
        <w:rPr>
          <w:rFonts w:asciiTheme="majorBidi" w:hAnsiTheme="majorBidi" w:cstheme="majorBidi"/>
        </w:rPr>
        <w:t xml:space="preserve"> (pp. 255-279). </w:t>
      </w:r>
      <w:r w:rsidRPr="002B595A">
        <w:rPr>
          <w:rFonts w:asciiTheme="majorBidi" w:hAnsiTheme="majorBidi" w:cstheme="majorBidi"/>
          <w:lang w:val="da-DK"/>
        </w:rPr>
        <w:t>Cham: Springer Nature Switzerland.</w:t>
      </w:r>
    </w:p>
    <w:p w14:paraId="4D3B206F" w14:textId="77777777" w:rsidR="002B595A" w:rsidRDefault="002B595A" w:rsidP="002B595A">
      <w:pPr>
        <w:spacing w:line="360" w:lineRule="auto"/>
        <w:ind w:left="360"/>
        <w:jc w:val="both"/>
        <w:rPr>
          <w:rFonts w:asciiTheme="majorBidi" w:hAnsiTheme="majorBidi" w:cstheme="majorBidi"/>
        </w:rPr>
      </w:pPr>
      <w:r w:rsidRPr="002B595A">
        <w:rPr>
          <w:rFonts w:asciiTheme="majorBidi" w:hAnsiTheme="majorBidi" w:cstheme="majorBidi"/>
          <w:lang w:val="da-DK"/>
        </w:rPr>
        <w:t xml:space="preserve">Yasin, I. S. M., Mohamad, A., Azzam-Sayuti, M., Saba, A. O., &amp; Azmai, M. N. A. (2025). </w:t>
      </w:r>
      <w:r w:rsidRPr="00F82DF6">
        <w:rPr>
          <w:rFonts w:asciiTheme="majorBidi" w:hAnsiTheme="majorBidi" w:cstheme="majorBidi"/>
        </w:rPr>
        <w:t>Disease Management in Aquaculture. </w:t>
      </w:r>
      <w:r w:rsidRPr="00F82DF6">
        <w:rPr>
          <w:rFonts w:asciiTheme="majorBidi" w:hAnsiTheme="majorBidi" w:cstheme="majorBidi"/>
          <w:i/>
          <w:iCs/>
        </w:rPr>
        <w:t>Management of Fish Diseases</w:t>
      </w:r>
      <w:r w:rsidRPr="00F82DF6">
        <w:rPr>
          <w:rFonts w:asciiTheme="majorBidi" w:hAnsiTheme="majorBidi" w:cstheme="majorBidi"/>
        </w:rPr>
        <w:t>, 437-464.</w:t>
      </w:r>
    </w:p>
    <w:p w14:paraId="705825FA" w14:textId="77777777" w:rsidR="002B595A" w:rsidRDefault="002B595A" w:rsidP="002B595A">
      <w:pPr>
        <w:spacing w:line="360" w:lineRule="auto"/>
        <w:ind w:left="360"/>
        <w:jc w:val="both"/>
        <w:rPr>
          <w:rFonts w:asciiTheme="majorBidi" w:hAnsiTheme="majorBidi" w:cstheme="majorBidi"/>
        </w:rPr>
      </w:pPr>
      <w:r w:rsidRPr="001054E7">
        <w:rPr>
          <w:rFonts w:asciiTheme="majorBidi" w:hAnsiTheme="majorBidi" w:cstheme="majorBidi"/>
        </w:rPr>
        <w:t>Thrush, M. A., Murray, A. G., Brun, E., Wallace, S., &amp; Peeler, E. J. (2011). The application of risk and disease modelling to emerging freshwater diseases in wild aquatic animals. </w:t>
      </w:r>
      <w:r w:rsidRPr="001054E7">
        <w:rPr>
          <w:rFonts w:asciiTheme="majorBidi" w:hAnsiTheme="majorBidi" w:cstheme="majorBidi"/>
          <w:i/>
          <w:iCs/>
        </w:rPr>
        <w:t>Freshwater biology</w:t>
      </w:r>
      <w:r w:rsidRPr="001054E7">
        <w:rPr>
          <w:rFonts w:asciiTheme="majorBidi" w:hAnsiTheme="majorBidi" w:cstheme="majorBidi"/>
        </w:rPr>
        <w:t>, </w:t>
      </w:r>
      <w:r w:rsidRPr="001054E7">
        <w:rPr>
          <w:rFonts w:asciiTheme="majorBidi" w:hAnsiTheme="majorBidi" w:cstheme="majorBidi"/>
          <w:i/>
          <w:iCs/>
        </w:rPr>
        <w:t>56</w:t>
      </w:r>
      <w:r w:rsidRPr="001054E7">
        <w:rPr>
          <w:rFonts w:asciiTheme="majorBidi" w:hAnsiTheme="majorBidi" w:cstheme="majorBidi"/>
        </w:rPr>
        <w:t>(4), 658-675.</w:t>
      </w:r>
    </w:p>
    <w:p w14:paraId="00B5D7FE" w14:textId="77777777" w:rsidR="002B595A" w:rsidRDefault="002B595A" w:rsidP="002B595A">
      <w:pPr>
        <w:spacing w:line="360" w:lineRule="auto"/>
        <w:ind w:left="360"/>
        <w:jc w:val="both"/>
        <w:rPr>
          <w:rFonts w:asciiTheme="majorBidi" w:hAnsiTheme="majorBidi" w:cstheme="majorBidi"/>
        </w:rPr>
      </w:pPr>
      <w:r w:rsidRPr="003F519B">
        <w:rPr>
          <w:rFonts w:asciiTheme="majorBidi" w:hAnsiTheme="majorBidi" w:cstheme="majorBidi"/>
        </w:rPr>
        <w:t xml:space="preserve">Bouwmeester, M. M., </w:t>
      </w:r>
      <w:proofErr w:type="spellStart"/>
      <w:r w:rsidRPr="003F519B">
        <w:rPr>
          <w:rFonts w:asciiTheme="majorBidi" w:hAnsiTheme="majorBidi" w:cstheme="majorBidi"/>
        </w:rPr>
        <w:t>Goedknegt</w:t>
      </w:r>
      <w:proofErr w:type="spellEnd"/>
      <w:r w:rsidRPr="003F519B">
        <w:rPr>
          <w:rFonts w:asciiTheme="majorBidi" w:hAnsiTheme="majorBidi" w:cstheme="majorBidi"/>
        </w:rPr>
        <w:t xml:space="preserve">, M. A., Poulin, R., &amp; </w:t>
      </w:r>
      <w:proofErr w:type="spellStart"/>
      <w:r w:rsidRPr="003F519B">
        <w:rPr>
          <w:rFonts w:asciiTheme="majorBidi" w:hAnsiTheme="majorBidi" w:cstheme="majorBidi"/>
        </w:rPr>
        <w:t>Thieltges</w:t>
      </w:r>
      <w:proofErr w:type="spellEnd"/>
      <w:r w:rsidRPr="003F519B">
        <w:rPr>
          <w:rFonts w:asciiTheme="majorBidi" w:hAnsiTheme="majorBidi" w:cstheme="majorBidi"/>
        </w:rPr>
        <w:t>, D. W. (2021). Collateral diseases: aquaculture impacts on wildlife infections. </w:t>
      </w:r>
      <w:r w:rsidRPr="003F519B">
        <w:rPr>
          <w:rFonts w:asciiTheme="majorBidi" w:hAnsiTheme="majorBidi" w:cstheme="majorBidi"/>
          <w:i/>
          <w:iCs/>
        </w:rPr>
        <w:t>Journal of Applied Ecology</w:t>
      </w:r>
      <w:r w:rsidRPr="003F519B">
        <w:rPr>
          <w:rFonts w:asciiTheme="majorBidi" w:hAnsiTheme="majorBidi" w:cstheme="majorBidi"/>
        </w:rPr>
        <w:t>, </w:t>
      </w:r>
      <w:r w:rsidRPr="003F519B">
        <w:rPr>
          <w:rFonts w:asciiTheme="majorBidi" w:hAnsiTheme="majorBidi" w:cstheme="majorBidi"/>
          <w:i/>
          <w:iCs/>
        </w:rPr>
        <w:t>58</w:t>
      </w:r>
      <w:r w:rsidRPr="003F519B">
        <w:rPr>
          <w:rFonts w:asciiTheme="majorBidi" w:hAnsiTheme="majorBidi" w:cstheme="majorBidi"/>
        </w:rPr>
        <w:t>(3), 453-464.</w:t>
      </w:r>
    </w:p>
    <w:p w14:paraId="5B2BDB9A" w14:textId="77777777" w:rsidR="002B595A" w:rsidRDefault="002B595A" w:rsidP="002B595A">
      <w:pPr>
        <w:spacing w:line="360" w:lineRule="auto"/>
        <w:ind w:left="360"/>
        <w:jc w:val="both"/>
        <w:rPr>
          <w:rFonts w:asciiTheme="majorBidi" w:hAnsiTheme="majorBidi" w:cstheme="majorBidi"/>
        </w:rPr>
      </w:pPr>
      <w:r w:rsidRPr="00B445FE">
        <w:rPr>
          <w:rFonts w:asciiTheme="majorBidi" w:hAnsiTheme="majorBidi" w:cstheme="majorBidi"/>
        </w:rPr>
        <w:t xml:space="preserve">Kenis, M., Hurley, B. P., </w:t>
      </w:r>
      <w:proofErr w:type="spellStart"/>
      <w:r w:rsidRPr="00B445FE">
        <w:rPr>
          <w:rFonts w:asciiTheme="majorBidi" w:hAnsiTheme="majorBidi" w:cstheme="majorBidi"/>
        </w:rPr>
        <w:t>Colombari</w:t>
      </w:r>
      <w:proofErr w:type="spellEnd"/>
      <w:r w:rsidRPr="00B445FE">
        <w:rPr>
          <w:rFonts w:asciiTheme="majorBidi" w:hAnsiTheme="majorBidi" w:cstheme="majorBidi"/>
        </w:rPr>
        <w:t xml:space="preserve">, F., Lawson, S., Sun </w:t>
      </w:r>
      <w:proofErr w:type="spellStart"/>
      <w:r w:rsidRPr="00B445FE">
        <w:rPr>
          <w:rFonts w:asciiTheme="majorBidi" w:hAnsiTheme="majorBidi" w:cstheme="majorBidi"/>
        </w:rPr>
        <w:t>JiangHua</w:t>
      </w:r>
      <w:proofErr w:type="spellEnd"/>
      <w:r w:rsidRPr="00B445FE">
        <w:rPr>
          <w:rFonts w:asciiTheme="majorBidi" w:hAnsiTheme="majorBidi" w:cstheme="majorBidi"/>
        </w:rPr>
        <w:t xml:space="preserve">, S. J., Wilcken, C., ... &amp; </w:t>
      </w:r>
      <w:proofErr w:type="spellStart"/>
      <w:r w:rsidRPr="00B445FE">
        <w:rPr>
          <w:rFonts w:asciiTheme="majorBidi" w:hAnsiTheme="majorBidi" w:cstheme="majorBidi"/>
        </w:rPr>
        <w:t>Sathyapala</w:t>
      </w:r>
      <w:proofErr w:type="spellEnd"/>
      <w:r w:rsidRPr="00B445FE">
        <w:rPr>
          <w:rFonts w:asciiTheme="majorBidi" w:hAnsiTheme="majorBidi" w:cstheme="majorBidi"/>
        </w:rPr>
        <w:t>, S. (2019). Guide to the classical biological control of insect pests in planted and natural forests.</w:t>
      </w:r>
    </w:p>
    <w:p w14:paraId="3C9482DB" w14:textId="77777777" w:rsidR="002B595A" w:rsidRDefault="002B595A" w:rsidP="002B595A">
      <w:pPr>
        <w:spacing w:line="360" w:lineRule="auto"/>
        <w:ind w:left="360"/>
        <w:jc w:val="both"/>
        <w:rPr>
          <w:rFonts w:asciiTheme="majorBidi" w:hAnsiTheme="majorBidi" w:cstheme="majorBidi"/>
        </w:rPr>
      </w:pPr>
      <w:r w:rsidRPr="00F408F0">
        <w:rPr>
          <w:rFonts w:asciiTheme="majorBidi" w:hAnsiTheme="majorBidi" w:cstheme="majorBidi"/>
          <w:lang w:val="de-DE"/>
        </w:rPr>
        <w:t xml:space="preserve">Shams, A., Fischer, A., Bodnar, A., &amp; Kliegman, M. (2024). </w:t>
      </w:r>
      <w:r w:rsidRPr="00F408F0">
        <w:rPr>
          <w:rFonts w:asciiTheme="majorBidi" w:hAnsiTheme="majorBidi" w:cstheme="majorBidi"/>
        </w:rPr>
        <w:t>Perspectives on Genetically Engineered Microorganisms and Their Regulation in the United States. </w:t>
      </w:r>
      <w:r w:rsidRPr="00F408F0">
        <w:rPr>
          <w:rFonts w:asciiTheme="majorBidi" w:hAnsiTheme="majorBidi" w:cstheme="majorBidi"/>
          <w:i/>
          <w:iCs/>
        </w:rPr>
        <w:t>ACS synthetic biology</w:t>
      </w:r>
      <w:r w:rsidRPr="00F408F0">
        <w:rPr>
          <w:rFonts w:asciiTheme="majorBidi" w:hAnsiTheme="majorBidi" w:cstheme="majorBidi"/>
        </w:rPr>
        <w:t>, </w:t>
      </w:r>
      <w:r w:rsidRPr="00F408F0">
        <w:rPr>
          <w:rFonts w:asciiTheme="majorBidi" w:hAnsiTheme="majorBidi" w:cstheme="majorBidi"/>
          <w:i/>
          <w:iCs/>
        </w:rPr>
        <w:t>13</w:t>
      </w:r>
      <w:r w:rsidRPr="00F408F0">
        <w:rPr>
          <w:rFonts w:asciiTheme="majorBidi" w:hAnsiTheme="majorBidi" w:cstheme="majorBidi"/>
        </w:rPr>
        <w:t>(5), 1412-1423.</w:t>
      </w:r>
    </w:p>
    <w:p w14:paraId="286CDDAF" w14:textId="77777777" w:rsidR="002B595A" w:rsidRDefault="002B595A" w:rsidP="002B595A">
      <w:pPr>
        <w:spacing w:line="360" w:lineRule="auto"/>
        <w:ind w:left="360"/>
        <w:jc w:val="both"/>
        <w:rPr>
          <w:rFonts w:asciiTheme="majorBidi" w:hAnsiTheme="majorBidi" w:cstheme="majorBidi"/>
        </w:rPr>
      </w:pPr>
      <w:proofErr w:type="spellStart"/>
      <w:r w:rsidRPr="00EE4A40">
        <w:rPr>
          <w:rFonts w:asciiTheme="majorBidi" w:hAnsiTheme="majorBidi" w:cstheme="majorBidi"/>
        </w:rPr>
        <w:lastRenderedPageBreak/>
        <w:t>Margolles</w:t>
      </w:r>
      <w:proofErr w:type="spellEnd"/>
      <w:r w:rsidRPr="00EE4A40">
        <w:rPr>
          <w:rFonts w:asciiTheme="majorBidi" w:hAnsiTheme="majorBidi" w:cstheme="majorBidi"/>
        </w:rPr>
        <w:t>, A., &amp; Suárez, J. E. (2021). The human microbiota: general concepts, composition, distribution and functions. </w:t>
      </w:r>
      <w:r w:rsidRPr="00EE4A40">
        <w:rPr>
          <w:rFonts w:asciiTheme="majorBidi" w:hAnsiTheme="majorBidi" w:cstheme="majorBidi"/>
          <w:i/>
          <w:iCs/>
        </w:rPr>
        <w:t>Journal of Spanish Society of Anti-Aging Medicine and Longevity and Latin-American Federation of Anti-Aging Medicine Societies</w:t>
      </w:r>
      <w:r w:rsidRPr="00EE4A40">
        <w:rPr>
          <w:rFonts w:asciiTheme="majorBidi" w:hAnsiTheme="majorBidi" w:cstheme="majorBidi"/>
        </w:rPr>
        <w:t>, 8.</w:t>
      </w:r>
    </w:p>
    <w:p w14:paraId="7381390B" w14:textId="77777777" w:rsidR="002B595A" w:rsidRDefault="002B595A" w:rsidP="002B595A">
      <w:pPr>
        <w:spacing w:line="360" w:lineRule="auto"/>
        <w:ind w:left="360"/>
        <w:jc w:val="both"/>
        <w:rPr>
          <w:rFonts w:asciiTheme="majorBidi" w:hAnsiTheme="majorBidi" w:cstheme="majorBidi"/>
        </w:rPr>
      </w:pPr>
      <w:r w:rsidRPr="002B595A">
        <w:rPr>
          <w:rFonts w:asciiTheme="majorBidi" w:hAnsiTheme="majorBidi" w:cstheme="majorBidi"/>
        </w:rPr>
        <w:t xml:space="preserve">Ringo, E., Harikrishnan, R., Soltani, M., &amp; Ghosh, K. (2022). </w:t>
      </w:r>
      <w:r w:rsidRPr="00E27731">
        <w:rPr>
          <w:rFonts w:asciiTheme="majorBidi" w:hAnsiTheme="majorBidi" w:cstheme="majorBidi"/>
        </w:rPr>
        <w:t>The effect of gut microbiota and probiotics on metabolism in fish and shrimp. </w:t>
      </w:r>
      <w:r w:rsidRPr="00E27731">
        <w:rPr>
          <w:rFonts w:asciiTheme="majorBidi" w:hAnsiTheme="majorBidi" w:cstheme="majorBidi"/>
          <w:i/>
          <w:iCs/>
        </w:rPr>
        <w:t>Animals</w:t>
      </w:r>
      <w:r w:rsidRPr="00E27731">
        <w:rPr>
          <w:rFonts w:asciiTheme="majorBidi" w:hAnsiTheme="majorBidi" w:cstheme="majorBidi"/>
        </w:rPr>
        <w:t>, </w:t>
      </w:r>
      <w:r w:rsidRPr="00E27731">
        <w:rPr>
          <w:rFonts w:asciiTheme="majorBidi" w:hAnsiTheme="majorBidi" w:cstheme="majorBidi"/>
          <w:i/>
          <w:iCs/>
        </w:rPr>
        <w:t>12</w:t>
      </w:r>
      <w:r w:rsidRPr="00E27731">
        <w:rPr>
          <w:rFonts w:asciiTheme="majorBidi" w:hAnsiTheme="majorBidi" w:cstheme="majorBidi"/>
        </w:rPr>
        <w:t>(21), 3016.</w:t>
      </w:r>
    </w:p>
    <w:p w14:paraId="3F765D39" w14:textId="77777777" w:rsidR="002B595A" w:rsidRDefault="002B595A" w:rsidP="002B595A">
      <w:pPr>
        <w:spacing w:line="360" w:lineRule="auto"/>
        <w:ind w:left="360"/>
        <w:jc w:val="both"/>
        <w:rPr>
          <w:rFonts w:asciiTheme="majorBidi" w:hAnsiTheme="majorBidi" w:cstheme="majorBidi"/>
        </w:rPr>
      </w:pPr>
      <w:r w:rsidRPr="001C6256">
        <w:rPr>
          <w:rFonts w:asciiTheme="majorBidi" w:hAnsiTheme="majorBidi" w:cstheme="majorBidi"/>
        </w:rPr>
        <w:t>Hassan, E. K., Abdalla, S., Abdellah, A., Azab, M., Ramadan, M., &amp; Adel Ibrahim, K. (2025). Smoking and Obesity: A Microbial Perspective on Oral and Gut Microbiome Alterations. </w:t>
      </w:r>
      <w:r w:rsidRPr="001C6256">
        <w:rPr>
          <w:rFonts w:asciiTheme="majorBidi" w:hAnsiTheme="majorBidi" w:cstheme="majorBidi"/>
          <w:i/>
          <w:iCs/>
        </w:rPr>
        <w:t>ERU Research Journal</w:t>
      </w:r>
      <w:r w:rsidRPr="001C6256">
        <w:rPr>
          <w:rFonts w:asciiTheme="majorBidi" w:hAnsiTheme="majorBidi" w:cstheme="majorBidi"/>
        </w:rPr>
        <w:t>, </w:t>
      </w:r>
      <w:r w:rsidRPr="001C6256">
        <w:rPr>
          <w:rFonts w:asciiTheme="majorBidi" w:hAnsiTheme="majorBidi" w:cstheme="majorBidi"/>
          <w:i/>
          <w:iCs/>
        </w:rPr>
        <w:t>4</w:t>
      </w:r>
      <w:r w:rsidRPr="001C6256">
        <w:rPr>
          <w:rFonts w:asciiTheme="majorBidi" w:hAnsiTheme="majorBidi" w:cstheme="majorBidi"/>
        </w:rPr>
        <w:t>(1), 1990-2037.</w:t>
      </w:r>
    </w:p>
    <w:p w14:paraId="3AE321DC" w14:textId="77777777" w:rsidR="002B595A" w:rsidRDefault="002B595A" w:rsidP="002B595A">
      <w:pPr>
        <w:spacing w:line="360" w:lineRule="auto"/>
        <w:ind w:left="360"/>
        <w:jc w:val="both"/>
        <w:rPr>
          <w:rFonts w:asciiTheme="majorBidi" w:hAnsiTheme="majorBidi" w:cstheme="majorBidi"/>
        </w:rPr>
      </w:pPr>
      <w:r w:rsidRPr="0026677F">
        <w:rPr>
          <w:rFonts w:asciiTheme="majorBidi" w:hAnsiTheme="majorBidi" w:cstheme="majorBidi"/>
        </w:rPr>
        <w:t>Tacon, A. G., Levy, J., Coelho, R., Machado, T. M., Neiva, C. R., &amp; Lemos, D. E. (2025). Fish for health: role of fish in global food and animal protein supply. </w:t>
      </w:r>
      <w:r w:rsidRPr="0026677F">
        <w:rPr>
          <w:rFonts w:asciiTheme="majorBidi" w:hAnsiTheme="majorBidi" w:cstheme="majorBidi"/>
          <w:i/>
          <w:iCs/>
        </w:rPr>
        <w:t>Reviews in Fisheries Science &amp; Aquaculture</w:t>
      </w:r>
      <w:r w:rsidRPr="0026677F">
        <w:rPr>
          <w:rFonts w:asciiTheme="majorBidi" w:hAnsiTheme="majorBidi" w:cstheme="majorBidi"/>
        </w:rPr>
        <w:t>, </w:t>
      </w:r>
      <w:r w:rsidRPr="0026677F">
        <w:rPr>
          <w:rFonts w:asciiTheme="majorBidi" w:hAnsiTheme="majorBidi" w:cstheme="majorBidi"/>
          <w:i/>
          <w:iCs/>
        </w:rPr>
        <w:t>33</w:t>
      </w:r>
      <w:r w:rsidRPr="0026677F">
        <w:rPr>
          <w:rFonts w:asciiTheme="majorBidi" w:hAnsiTheme="majorBidi" w:cstheme="majorBidi"/>
        </w:rPr>
        <w:t>(2), 319-333.</w:t>
      </w:r>
    </w:p>
    <w:p w14:paraId="3696B9B5" w14:textId="77777777" w:rsidR="002B595A" w:rsidRDefault="002B595A" w:rsidP="002B595A">
      <w:pPr>
        <w:spacing w:line="360" w:lineRule="auto"/>
        <w:ind w:left="360"/>
        <w:jc w:val="both"/>
        <w:rPr>
          <w:rFonts w:asciiTheme="majorBidi" w:hAnsiTheme="majorBidi" w:cstheme="majorBidi"/>
        </w:rPr>
      </w:pPr>
      <w:r w:rsidRPr="002B595A">
        <w:rPr>
          <w:rFonts w:asciiTheme="majorBidi" w:hAnsiTheme="majorBidi" w:cstheme="majorBidi"/>
        </w:rPr>
        <w:t xml:space="preserve">Bisht, H. C. S., Bhatt, P., Sharma, N. P., Dewali, S., Melkani, D. C., &amp; Bisht, S. S. (2025). </w:t>
      </w:r>
      <w:r w:rsidRPr="00806B19">
        <w:rPr>
          <w:rFonts w:asciiTheme="majorBidi" w:hAnsiTheme="majorBidi" w:cstheme="majorBidi"/>
        </w:rPr>
        <w:t>Enhancing cold-water fish biomass: The synergistic role of water quality and probiotics in sustainable aquaculture. </w:t>
      </w:r>
      <w:r w:rsidRPr="00806B19">
        <w:rPr>
          <w:rFonts w:asciiTheme="majorBidi" w:hAnsiTheme="majorBidi" w:cstheme="majorBidi"/>
          <w:i/>
          <w:iCs/>
        </w:rPr>
        <w:t>Journal of Biological Research and Reviews</w:t>
      </w:r>
      <w:r w:rsidRPr="00806B19">
        <w:rPr>
          <w:rFonts w:asciiTheme="majorBidi" w:hAnsiTheme="majorBidi" w:cstheme="majorBidi"/>
        </w:rPr>
        <w:t>, </w:t>
      </w:r>
      <w:r w:rsidRPr="00806B19">
        <w:rPr>
          <w:rFonts w:asciiTheme="majorBidi" w:hAnsiTheme="majorBidi" w:cstheme="majorBidi"/>
          <w:i/>
          <w:iCs/>
        </w:rPr>
        <w:t>2</w:t>
      </w:r>
      <w:r w:rsidRPr="00806B19">
        <w:rPr>
          <w:rFonts w:asciiTheme="majorBidi" w:hAnsiTheme="majorBidi" w:cstheme="majorBidi"/>
        </w:rPr>
        <w:t>(1), 56-56.</w:t>
      </w:r>
    </w:p>
    <w:p w14:paraId="3649EC03" w14:textId="77777777" w:rsidR="00AA2E33" w:rsidRDefault="00AA2E33" w:rsidP="00AA2E33">
      <w:pPr>
        <w:spacing w:line="360" w:lineRule="auto"/>
        <w:ind w:left="360"/>
        <w:jc w:val="both"/>
        <w:rPr>
          <w:rFonts w:asciiTheme="majorBidi" w:hAnsiTheme="majorBidi" w:cstheme="majorBidi"/>
        </w:rPr>
      </w:pPr>
      <w:r w:rsidRPr="00E37438">
        <w:rPr>
          <w:rFonts w:asciiTheme="majorBidi" w:hAnsiTheme="majorBidi" w:cstheme="majorBidi"/>
        </w:rPr>
        <w:t xml:space="preserve">Naiel, M. A., </w:t>
      </w:r>
      <w:proofErr w:type="spellStart"/>
      <w:r w:rsidRPr="00E37438">
        <w:rPr>
          <w:rFonts w:asciiTheme="majorBidi" w:hAnsiTheme="majorBidi" w:cstheme="majorBidi"/>
        </w:rPr>
        <w:t>Abdelghany</w:t>
      </w:r>
      <w:proofErr w:type="spellEnd"/>
      <w:r w:rsidRPr="00E37438">
        <w:rPr>
          <w:rFonts w:asciiTheme="majorBidi" w:hAnsiTheme="majorBidi" w:cstheme="majorBidi"/>
        </w:rPr>
        <w:t xml:space="preserve">, M. F., </w:t>
      </w:r>
      <w:proofErr w:type="spellStart"/>
      <w:r w:rsidRPr="00E37438">
        <w:rPr>
          <w:rFonts w:asciiTheme="majorBidi" w:hAnsiTheme="majorBidi" w:cstheme="majorBidi"/>
        </w:rPr>
        <w:t>Khames</w:t>
      </w:r>
      <w:proofErr w:type="spellEnd"/>
      <w:r w:rsidRPr="00E37438">
        <w:rPr>
          <w:rFonts w:asciiTheme="majorBidi" w:hAnsiTheme="majorBidi" w:cstheme="majorBidi"/>
        </w:rPr>
        <w:t>, D. K., Abd El-</w:t>
      </w:r>
      <w:proofErr w:type="spellStart"/>
      <w:r w:rsidRPr="00E37438">
        <w:rPr>
          <w:rFonts w:asciiTheme="majorBidi" w:hAnsiTheme="majorBidi" w:cstheme="majorBidi"/>
        </w:rPr>
        <w:t>hameed</w:t>
      </w:r>
      <w:proofErr w:type="spellEnd"/>
      <w:r w:rsidRPr="00E37438">
        <w:rPr>
          <w:rFonts w:asciiTheme="majorBidi" w:hAnsiTheme="majorBidi" w:cstheme="majorBidi"/>
        </w:rPr>
        <w:t>, S. A., Mansour, E. M., El-Nadi, A. S., &amp; Shoukry, A. A. (2022). Administration of some probiotic strains in the rearing water enhances the water quality, performance, body chemical analysis, antioxidant and immune responses of Nile tilapia, Oreochromis niloticus. </w:t>
      </w:r>
      <w:r w:rsidRPr="00E37438">
        <w:rPr>
          <w:rFonts w:asciiTheme="majorBidi" w:hAnsiTheme="majorBidi" w:cstheme="majorBidi"/>
          <w:i/>
          <w:iCs/>
        </w:rPr>
        <w:t>Applied Water Science</w:t>
      </w:r>
      <w:r w:rsidRPr="00E37438">
        <w:rPr>
          <w:rFonts w:asciiTheme="majorBidi" w:hAnsiTheme="majorBidi" w:cstheme="majorBidi"/>
        </w:rPr>
        <w:t>, </w:t>
      </w:r>
      <w:r w:rsidRPr="00E37438">
        <w:rPr>
          <w:rFonts w:asciiTheme="majorBidi" w:hAnsiTheme="majorBidi" w:cstheme="majorBidi"/>
          <w:i/>
          <w:iCs/>
        </w:rPr>
        <w:t>12</w:t>
      </w:r>
      <w:r w:rsidRPr="00E37438">
        <w:rPr>
          <w:rFonts w:asciiTheme="majorBidi" w:hAnsiTheme="majorBidi" w:cstheme="majorBidi"/>
        </w:rPr>
        <w:t>(9), 209.</w:t>
      </w:r>
    </w:p>
    <w:p w14:paraId="4CEFEE54" w14:textId="77777777" w:rsidR="00AA2E33" w:rsidRDefault="00AA2E33" w:rsidP="00AA2E33">
      <w:pPr>
        <w:spacing w:line="360" w:lineRule="auto"/>
        <w:ind w:left="360"/>
        <w:jc w:val="both"/>
        <w:rPr>
          <w:rFonts w:asciiTheme="majorBidi" w:hAnsiTheme="majorBidi" w:cstheme="majorBidi"/>
        </w:rPr>
      </w:pPr>
      <w:r w:rsidRPr="00616701">
        <w:rPr>
          <w:rFonts w:asciiTheme="majorBidi" w:hAnsiTheme="majorBidi" w:cstheme="majorBidi"/>
        </w:rPr>
        <w:t>Sunitha, K., &amp; Padmavathi, P. (2013). Influence of probiotics on water quality and fish yield in fish ponds. </w:t>
      </w:r>
      <w:r w:rsidRPr="00616701">
        <w:rPr>
          <w:rFonts w:asciiTheme="majorBidi" w:hAnsiTheme="majorBidi" w:cstheme="majorBidi"/>
          <w:i/>
          <w:iCs/>
        </w:rPr>
        <w:t>Int. J. Pure Appl. Sci. Technol</w:t>
      </w:r>
      <w:r w:rsidRPr="00616701">
        <w:rPr>
          <w:rFonts w:asciiTheme="majorBidi" w:hAnsiTheme="majorBidi" w:cstheme="majorBidi"/>
        </w:rPr>
        <w:t>, </w:t>
      </w:r>
      <w:r w:rsidRPr="00616701">
        <w:rPr>
          <w:rFonts w:asciiTheme="majorBidi" w:hAnsiTheme="majorBidi" w:cstheme="majorBidi"/>
          <w:i/>
          <w:iCs/>
        </w:rPr>
        <w:t>19</w:t>
      </w:r>
      <w:r w:rsidRPr="00616701">
        <w:rPr>
          <w:rFonts w:asciiTheme="majorBidi" w:hAnsiTheme="majorBidi" w:cstheme="majorBidi"/>
        </w:rPr>
        <w:t>(2), 48-60.</w:t>
      </w:r>
    </w:p>
    <w:p w14:paraId="3C80DA77" w14:textId="77777777" w:rsidR="00AA2E33" w:rsidRDefault="00AA2E33" w:rsidP="002B595A">
      <w:pPr>
        <w:spacing w:line="360" w:lineRule="auto"/>
        <w:ind w:left="360"/>
        <w:jc w:val="both"/>
        <w:rPr>
          <w:rFonts w:asciiTheme="majorBidi" w:hAnsiTheme="majorBidi" w:cstheme="majorBidi"/>
        </w:rPr>
      </w:pPr>
    </w:p>
    <w:p w14:paraId="280CFA51" w14:textId="77777777" w:rsidR="00D065A8" w:rsidRDefault="00D065A8" w:rsidP="00D065A8">
      <w:pPr>
        <w:spacing w:line="360" w:lineRule="auto"/>
        <w:ind w:left="360"/>
        <w:jc w:val="both"/>
        <w:rPr>
          <w:rFonts w:asciiTheme="majorBidi" w:hAnsiTheme="majorBidi" w:cstheme="majorBidi"/>
        </w:rPr>
      </w:pPr>
      <w:proofErr w:type="spellStart"/>
      <w:r w:rsidRPr="00594C87">
        <w:rPr>
          <w:rFonts w:asciiTheme="majorBidi" w:hAnsiTheme="majorBidi" w:cstheme="majorBidi"/>
        </w:rPr>
        <w:t>Farkan</w:t>
      </w:r>
      <w:proofErr w:type="spellEnd"/>
      <w:r w:rsidRPr="00594C87">
        <w:rPr>
          <w:rFonts w:asciiTheme="majorBidi" w:hAnsiTheme="majorBidi" w:cstheme="majorBidi"/>
        </w:rPr>
        <w:t xml:space="preserve">, M., </w:t>
      </w:r>
      <w:proofErr w:type="spellStart"/>
      <w:r w:rsidRPr="00594C87">
        <w:rPr>
          <w:rFonts w:asciiTheme="majorBidi" w:hAnsiTheme="majorBidi" w:cstheme="majorBidi"/>
        </w:rPr>
        <w:t>Novriadi</w:t>
      </w:r>
      <w:proofErr w:type="spellEnd"/>
      <w:r w:rsidRPr="00594C87">
        <w:rPr>
          <w:rFonts w:asciiTheme="majorBidi" w:hAnsiTheme="majorBidi" w:cstheme="majorBidi"/>
        </w:rPr>
        <w:t xml:space="preserve">, R., </w:t>
      </w:r>
      <w:proofErr w:type="spellStart"/>
      <w:r w:rsidRPr="00594C87">
        <w:rPr>
          <w:rFonts w:asciiTheme="majorBidi" w:hAnsiTheme="majorBidi" w:cstheme="majorBidi"/>
        </w:rPr>
        <w:t>Sektiana</w:t>
      </w:r>
      <w:proofErr w:type="spellEnd"/>
      <w:r w:rsidRPr="00594C87">
        <w:rPr>
          <w:rFonts w:asciiTheme="majorBidi" w:hAnsiTheme="majorBidi" w:cstheme="majorBidi"/>
        </w:rPr>
        <w:t xml:space="preserve">, S. P., </w:t>
      </w:r>
      <w:proofErr w:type="spellStart"/>
      <w:r w:rsidRPr="00594C87">
        <w:rPr>
          <w:rFonts w:asciiTheme="majorBidi" w:hAnsiTheme="majorBidi" w:cstheme="majorBidi"/>
        </w:rPr>
        <w:t>Lathifah</w:t>
      </w:r>
      <w:proofErr w:type="spellEnd"/>
      <w:r w:rsidRPr="00594C87">
        <w:rPr>
          <w:rFonts w:asciiTheme="majorBidi" w:hAnsiTheme="majorBidi" w:cstheme="majorBidi"/>
        </w:rPr>
        <w:t xml:space="preserve">, F., Margono, M., </w:t>
      </w:r>
      <w:proofErr w:type="spellStart"/>
      <w:r w:rsidRPr="00594C87">
        <w:rPr>
          <w:rFonts w:asciiTheme="majorBidi" w:hAnsiTheme="majorBidi" w:cstheme="majorBidi"/>
        </w:rPr>
        <w:t>Ilhamdi</w:t>
      </w:r>
      <w:proofErr w:type="spellEnd"/>
      <w:r w:rsidRPr="00594C87">
        <w:rPr>
          <w:rFonts w:asciiTheme="majorBidi" w:hAnsiTheme="majorBidi" w:cstheme="majorBidi"/>
        </w:rPr>
        <w:t xml:space="preserve">, I., ... &amp; </w:t>
      </w:r>
      <w:proofErr w:type="spellStart"/>
      <w:r w:rsidRPr="00594C87">
        <w:rPr>
          <w:rFonts w:asciiTheme="majorBidi" w:hAnsiTheme="majorBidi" w:cstheme="majorBidi"/>
        </w:rPr>
        <w:t>Sumandiarsa</w:t>
      </w:r>
      <w:proofErr w:type="spellEnd"/>
      <w:r w:rsidRPr="00594C87">
        <w:rPr>
          <w:rFonts w:asciiTheme="majorBidi" w:hAnsiTheme="majorBidi" w:cstheme="majorBidi"/>
        </w:rPr>
        <w:t xml:space="preserve">, I. K. (2025). Analysis of Probiotic Application, Water Quality, Carrying Capacity and Production of Penaeus </w:t>
      </w:r>
      <w:proofErr w:type="spellStart"/>
      <w:r w:rsidRPr="00594C87">
        <w:rPr>
          <w:rFonts w:asciiTheme="majorBidi" w:hAnsiTheme="majorBidi" w:cstheme="majorBidi"/>
        </w:rPr>
        <w:t>vannamei</w:t>
      </w:r>
      <w:proofErr w:type="spellEnd"/>
      <w:r w:rsidRPr="00594C87">
        <w:rPr>
          <w:rFonts w:asciiTheme="majorBidi" w:hAnsiTheme="majorBidi" w:cstheme="majorBidi"/>
        </w:rPr>
        <w:t xml:space="preserve"> </w:t>
      </w:r>
      <w:proofErr w:type="spellStart"/>
      <w:r w:rsidRPr="00594C87">
        <w:rPr>
          <w:rFonts w:asciiTheme="majorBidi" w:hAnsiTheme="majorBidi" w:cstheme="majorBidi"/>
        </w:rPr>
        <w:t>Vaname</w:t>
      </w:r>
      <w:proofErr w:type="spellEnd"/>
      <w:r w:rsidRPr="00594C87">
        <w:rPr>
          <w:rFonts w:asciiTheme="majorBidi" w:hAnsiTheme="majorBidi" w:cstheme="majorBidi"/>
        </w:rPr>
        <w:t xml:space="preserve"> Shrimp Culture in Ponds. </w:t>
      </w:r>
      <w:r w:rsidRPr="00594C87">
        <w:rPr>
          <w:rFonts w:asciiTheme="majorBidi" w:hAnsiTheme="majorBidi" w:cstheme="majorBidi"/>
          <w:i/>
          <w:iCs/>
        </w:rPr>
        <w:t>Aquaculture Studies</w:t>
      </w:r>
      <w:r w:rsidRPr="00594C87">
        <w:rPr>
          <w:rFonts w:asciiTheme="majorBidi" w:hAnsiTheme="majorBidi" w:cstheme="majorBidi"/>
        </w:rPr>
        <w:t>, </w:t>
      </w:r>
      <w:r w:rsidRPr="00594C87">
        <w:rPr>
          <w:rFonts w:asciiTheme="majorBidi" w:hAnsiTheme="majorBidi" w:cstheme="majorBidi"/>
          <w:i/>
          <w:iCs/>
        </w:rPr>
        <w:t>25</w:t>
      </w:r>
      <w:r w:rsidRPr="00594C87">
        <w:rPr>
          <w:rFonts w:asciiTheme="majorBidi" w:hAnsiTheme="majorBidi" w:cstheme="majorBidi"/>
        </w:rPr>
        <w:t>(3).</w:t>
      </w:r>
    </w:p>
    <w:p w14:paraId="14EBC0F5" w14:textId="77777777" w:rsidR="00D065A8" w:rsidRDefault="00D065A8" w:rsidP="00D065A8">
      <w:pPr>
        <w:spacing w:line="360" w:lineRule="auto"/>
        <w:ind w:left="360"/>
        <w:jc w:val="both"/>
        <w:rPr>
          <w:rFonts w:asciiTheme="majorBidi" w:hAnsiTheme="majorBidi" w:cstheme="majorBidi"/>
        </w:rPr>
      </w:pPr>
      <w:proofErr w:type="spellStart"/>
      <w:r w:rsidRPr="00E24129">
        <w:rPr>
          <w:rFonts w:asciiTheme="majorBidi" w:hAnsiTheme="majorBidi" w:cstheme="majorBidi"/>
        </w:rPr>
        <w:t>Wijayanti</w:t>
      </w:r>
      <w:proofErr w:type="spellEnd"/>
      <w:r w:rsidRPr="00E24129">
        <w:rPr>
          <w:rFonts w:asciiTheme="majorBidi" w:hAnsiTheme="majorBidi" w:cstheme="majorBidi"/>
        </w:rPr>
        <w:t xml:space="preserve">, M., </w:t>
      </w:r>
      <w:proofErr w:type="spellStart"/>
      <w:r w:rsidRPr="00E24129">
        <w:rPr>
          <w:rFonts w:asciiTheme="majorBidi" w:hAnsiTheme="majorBidi" w:cstheme="majorBidi"/>
        </w:rPr>
        <w:t>Sasanti</w:t>
      </w:r>
      <w:proofErr w:type="spellEnd"/>
      <w:r w:rsidRPr="00E24129">
        <w:rPr>
          <w:rFonts w:asciiTheme="majorBidi" w:hAnsiTheme="majorBidi" w:cstheme="majorBidi"/>
        </w:rPr>
        <w:t>, A. D., Jubaedah, D., &amp; Citra, N. (2025). Impact of Probiotic Swamp Bacteria on the Prevention of Aeromonas hydrophila Infection in Striped Snakehead (Channa striata). </w:t>
      </w:r>
      <w:r w:rsidRPr="00E24129">
        <w:rPr>
          <w:rFonts w:asciiTheme="majorBidi" w:hAnsiTheme="majorBidi" w:cstheme="majorBidi"/>
          <w:i/>
          <w:iCs/>
        </w:rPr>
        <w:t>Journal of Fish Health</w:t>
      </w:r>
      <w:r w:rsidRPr="00E24129">
        <w:rPr>
          <w:rFonts w:asciiTheme="majorBidi" w:hAnsiTheme="majorBidi" w:cstheme="majorBidi"/>
        </w:rPr>
        <w:t>, </w:t>
      </w:r>
      <w:r w:rsidRPr="00E24129">
        <w:rPr>
          <w:rFonts w:asciiTheme="majorBidi" w:hAnsiTheme="majorBidi" w:cstheme="majorBidi"/>
          <w:i/>
          <w:iCs/>
        </w:rPr>
        <w:t>5</w:t>
      </w:r>
      <w:r w:rsidRPr="00E24129">
        <w:rPr>
          <w:rFonts w:asciiTheme="majorBidi" w:hAnsiTheme="majorBidi" w:cstheme="majorBidi"/>
        </w:rPr>
        <w:t>(2), 224-236.</w:t>
      </w:r>
    </w:p>
    <w:p w14:paraId="33562E14" w14:textId="77777777" w:rsidR="00D065A8" w:rsidRDefault="00D065A8" w:rsidP="00D065A8">
      <w:pPr>
        <w:spacing w:line="360" w:lineRule="auto"/>
        <w:ind w:left="360"/>
        <w:jc w:val="both"/>
        <w:rPr>
          <w:rFonts w:asciiTheme="majorBidi" w:hAnsiTheme="majorBidi" w:cstheme="majorBidi"/>
        </w:rPr>
      </w:pPr>
      <w:r w:rsidRPr="00403053">
        <w:rPr>
          <w:rFonts w:asciiTheme="majorBidi" w:hAnsiTheme="majorBidi" w:cstheme="majorBidi"/>
        </w:rPr>
        <w:lastRenderedPageBreak/>
        <w:t xml:space="preserve">El-Kady, A. A., </w:t>
      </w:r>
      <w:proofErr w:type="spellStart"/>
      <w:r w:rsidRPr="00403053">
        <w:rPr>
          <w:rFonts w:asciiTheme="majorBidi" w:hAnsiTheme="majorBidi" w:cstheme="majorBidi"/>
        </w:rPr>
        <w:t>Magouz</w:t>
      </w:r>
      <w:proofErr w:type="spellEnd"/>
      <w:r w:rsidRPr="00403053">
        <w:rPr>
          <w:rFonts w:asciiTheme="majorBidi" w:hAnsiTheme="majorBidi" w:cstheme="majorBidi"/>
        </w:rPr>
        <w:t>, F. I., Mahmoud, S. A., &amp; Abdel-Rahim, M. M. (2022). The effects of some commercial probiotics as water additive on water quality, fish performance, blood biochemical parameters, expression of growth and immune-related genes, and histology of Nile tilapia (Oreochromis niloticus). </w:t>
      </w:r>
      <w:r w:rsidRPr="00403053">
        <w:rPr>
          <w:rFonts w:asciiTheme="majorBidi" w:hAnsiTheme="majorBidi" w:cstheme="majorBidi"/>
          <w:i/>
          <w:iCs/>
        </w:rPr>
        <w:t>Aquaculture</w:t>
      </w:r>
      <w:r w:rsidRPr="00403053">
        <w:rPr>
          <w:rFonts w:asciiTheme="majorBidi" w:hAnsiTheme="majorBidi" w:cstheme="majorBidi"/>
        </w:rPr>
        <w:t>, </w:t>
      </w:r>
      <w:r w:rsidRPr="00403053">
        <w:rPr>
          <w:rFonts w:asciiTheme="majorBidi" w:hAnsiTheme="majorBidi" w:cstheme="majorBidi"/>
          <w:i/>
          <w:iCs/>
        </w:rPr>
        <w:t>546</w:t>
      </w:r>
      <w:r w:rsidRPr="00403053">
        <w:rPr>
          <w:rFonts w:asciiTheme="majorBidi" w:hAnsiTheme="majorBidi" w:cstheme="majorBidi"/>
        </w:rPr>
        <w:t>, 737249.</w:t>
      </w:r>
    </w:p>
    <w:p w14:paraId="0C327C27" w14:textId="77777777" w:rsidR="00D065A8" w:rsidRDefault="00D065A8" w:rsidP="00D065A8">
      <w:pPr>
        <w:spacing w:line="360" w:lineRule="auto"/>
        <w:ind w:left="360"/>
        <w:jc w:val="both"/>
        <w:rPr>
          <w:rFonts w:asciiTheme="majorBidi" w:hAnsiTheme="majorBidi" w:cstheme="majorBidi"/>
        </w:rPr>
      </w:pPr>
      <w:r w:rsidRPr="00254DDB">
        <w:rPr>
          <w:rFonts w:asciiTheme="majorBidi" w:hAnsiTheme="majorBidi" w:cstheme="majorBidi"/>
        </w:rPr>
        <w:t xml:space="preserve">Ghorbani </w:t>
      </w:r>
      <w:proofErr w:type="spellStart"/>
      <w:r w:rsidRPr="00254DDB">
        <w:rPr>
          <w:rFonts w:asciiTheme="majorBidi" w:hAnsiTheme="majorBidi" w:cstheme="majorBidi"/>
        </w:rPr>
        <w:t>Koutanaei</w:t>
      </w:r>
      <w:proofErr w:type="spellEnd"/>
      <w:r w:rsidRPr="00254DDB">
        <w:rPr>
          <w:rFonts w:asciiTheme="majorBidi" w:hAnsiTheme="majorBidi" w:cstheme="majorBidi"/>
        </w:rPr>
        <w:t xml:space="preserve">, H., </w:t>
      </w:r>
      <w:proofErr w:type="spellStart"/>
      <w:r w:rsidRPr="00254DDB">
        <w:rPr>
          <w:rFonts w:asciiTheme="majorBidi" w:hAnsiTheme="majorBidi" w:cstheme="majorBidi"/>
        </w:rPr>
        <w:t>Changizi</w:t>
      </w:r>
      <w:proofErr w:type="spellEnd"/>
      <w:r w:rsidRPr="00254DDB">
        <w:rPr>
          <w:rFonts w:asciiTheme="majorBidi" w:hAnsiTheme="majorBidi" w:cstheme="majorBidi"/>
        </w:rPr>
        <w:t>, R., Ghobadi, S., Moghaddasi, B., &amp; Manouchehri, H.</w:t>
      </w:r>
      <w:r>
        <w:rPr>
          <w:rFonts w:asciiTheme="majorBidi" w:hAnsiTheme="majorBidi" w:cstheme="majorBidi"/>
        </w:rPr>
        <w:t xml:space="preserve"> (2024)</w:t>
      </w:r>
      <w:r w:rsidRPr="00254DDB">
        <w:rPr>
          <w:rFonts w:asciiTheme="majorBidi" w:hAnsiTheme="majorBidi" w:cstheme="majorBidi"/>
        </w:rPr>
        <w:t xml:space="preserve"> The Effect of Probiotic Bio-Aqua® on Growth Performance, Hematological and Biochemical Parameters of Fry Common Carp (Cyprinus Carpio). </w:t>
      </w:r>
      <w:r w:rsidRPr="00254DDB">
        <w:rPr>
          <w:rFonts w:asciiTheme="majorBidi" w:hAnsiTheme="majorBidi" w:cstheme="majorBidi"/>
          <w:i/>
          <w:iCs/>
        </w:rPr>
        <w:t>Reza and Ghobadi, Shayan and Moghaddasi, Babak and Manouchehri, Hamed, The Effect of Probiotic Bio-Aqua® on Growth Performance, Hematological and Biochemical Parameters of Fry Common Carp (Cyprinus Carpio)</w:t>
      </w:r>
      <w:r w:rsidRPr="00254DDB">
        <w:rPr>
          <w:rFonts w:asciiTheme="majorBidi" w:hAnsiTheme="majorBidi" w:cstheme="majorBidi"/>
        </w:rPr>
        <w:t>.</w:t>
      </w:r>
    </w:p>
    <w:p w14:paraId="07D19134" w14:textId="77777777" w:rsidR="00D065A8" w:rsidRPr="000C6821" w:rsidRDefault="00D065A8" w:rsidP="00D065A8">
      <w:pPr>
        <w:spacing w:line="360" w:lineRule="auto"/>
        <w:ind w:left="360"/>
        <w:jc w:val="both"/>
        <w:rPr>
          <w:rFonts w:asciiTheme="majorBidi" w:hAnsiTheme="majorBidi" w:cstheme="majorBidi"/>
        </w:rPr>
      </w:pPr>
      <w:r w:rsidRPr="00803424">
        <w:rPr>
          <w:rFonts w:asciiTheme="majorBidi" w:hAnsiTheme="majorBidi" w:cstheme="majorBidi"/>
          <w:lang w:val="de-DE"/>
        </w:rPr>
        <w:t xml:space="preserve">Sharna, S. N., Nur, K. F., Rahman, A., Das, N. C., Akter, J., Khatun, M., ... </w:t>
      </w:r>
      <w:r w:rsidRPr="00803424">
        <w:rPr>
          <w:rFonts w:asciiTheme="majorBidi" w:hAnsiTheme="majorBidi" w:cstheme="majorBidi"/>
        </w:rPr>
        <w:t>&amp; Taslima, K. (2025). Multi-strain Native Probiotics from the Asian Stinging Catfish (</w:t>
      </w:r>
      <w:proofErr w:type="spellStart"/>
      <w:r w:rsidRPr="00803424">
        <w:rPr>
          <w:rFonts w:asciiTheme="majorBidi" w:hAnsiTheme="majorBidi" w:cstheme="majorBidi"/>
        </w:rPr>
        <w:t>Heteropneustes</w:t>
      </w:r>
      <w:proofErr w:type="spellEnd"/>
      <w:r w:rsidRPr="00803424">
        <w:rPr>
          <w:rFonts w:asciiTheme="majorBidi" w:hAnsiTheme="majorBidi" w:cstheme="majorBidi"/>
        </w:rPr>
        <w:t xml:space="preserve"> </w:t>
      </w:r>
      <w:proofErr w:type="spellStart"/>
      <w:r w:rsidRPr="00803424">
        <w:rPr>
          <w:rFonts w:asciiTheme="majorBidi" w:hAnsiTheme="majorBidi" w:cstheme="majorBidi"/>
        </w:rPr>
        <w:t>fossilis</w:t>
      </w:r>
      <w:proofErr w:type="spellEnd"/>
      <w:r w:rsidRPr="00803424">
        <w:rPr>
          <w:rFonts w:asciiTheme="majorBidi" w:hAnsiTheme="majorBidi" w:cstheme="majorBidi"/>
        </w:rPr>
        <w:t>) Enhance Growth, Blood Health, and Organ Morphology in the Host. </w:t>
      </w:r>
      <w:r w:rsidRPr="00803424">
        <w:rPr>
          <w:rFonts w:asciiTheme="majorBidi" w:hAnsiTheme="majorBidi" w:cstheme="majorBidi"/>
          <w:i/>
          <w:iCs/>
        </w:rPr>
        <w:t>Probiotics and Antimicrobial Proteins</w:t>
      </w:r>
      <w:r w:rsidRPr="00803424">
        <w:rPr>
          <w:rFonts w:asciiTheme="majorBidi" w:hAnsiTheme="majorBidi" w:cstheme="majorBidi"/>
        </w:rPr>
        <w:t>, 1-24.</w:t>
      </w:r>
    </w:p>
    <w:p w14:paraId="62F33A35" w14:textId="77777777" w:rsidR="00D065A8" w:rsidRDefault="00D065A8" w:rsidP="002B595A">
      <w:pPr>
        <w:spacing w:line="360" w:lineRule="auto"/>
        <w:ind w:left="360"/>
        <w:jc w:val="both"/>
        <w:rPr>
          <w:rFonts w:asciiTheme="majorBidi" w:hAnsiTheme="majorBidi" w:cstheme="majorBidi"/>
        </w:rPr>
      </w:pPr>
    </w:p>
    <w:p w14:paraId="4F5F24DA" w14:textId="77777777" w:rsidR="002B595A" w:rsidRDefault="002B595A" w:rsidP="002B595A">
      <w:pPr>
        <w:spacing w:line="360" w:lineRule="auto"/>
        <w:ind w:left="360"/>
        <w:jc w:val="both"/>
        <w:rPr>
          <w:rFonts w:asciiTheme="majorBidi" w:hAnsiTheme="majorBidi" w:cstheme="majorBidi"/>
        </w:rPr>
      </w:pPr>
    </w:p>
    <w:sectPr w:rsidR="002B595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6A4C3" w14:textId="77777777" w:rsidR="00F05C34" w:rsidRDefault="00F05C34" w:rsidP="00397383">
      <w:pPr>
        <w:spacing w:after="0" w:line="240" w:lineRule="auto"/>
      </w:pPr>
      <w:r>
        <w:separator/>
      </w:r>
    </w:p>
  </w:endnote>
  <w:endnote w:type="continuationSeparator" w:id="0">
    <w:p w14:paraId="5377D9AE" w14:textId="77777777" w:rsidR="00F05C34" w:rsidRDefault="00F05C34" w:rsidP="00397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788A" w14:textId="77777777" w:rsidR="00397383" w:rsidRDefault="003973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D527" w14:textId="77777777" w:rsidR="00397383" w:rsidRDefault="003973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40AF" w14:textId="77777777" w:rsidR="00397383" w:rsidRDefault="00397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FBCDE" w14:textId="77777777" w:rsidR="00F05C34" w:rsidRDefault="00F05C34" w:rsidP="00397383">
      <w:pPr>
        <w:spacing w:after="0" w:line="240" w:lineRule="auto"/>
      </w:pPr>
      <w:r>
        <w:separator/>
      </w:r>
    </w:p>
  </w:footnote>
  <w:footnote w:type="continuationSeparator" w:id="0">
    <w:p w14:paraId="2CCD6E53" w14:textId="77777777" w:rsidR="00F05C34" w:rsidRDefault="00F05C34" w:rsidP="00397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A353" w14:textId="6CFA1D90" w:rsidR="00397383" w:rsidRDefault="00397383">
    <w:pPr>
      <w:pStyle w:val="Header"/>
    </w:pPr>
    <w:r>
      <w:rPr>
        <w:noProof/>
      </w:rPr>
      <w:pict w14:anchorId="413017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19497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C44A" w14:textId="1C0600E4" w:rsidR="00397383" w:rsidRDefault="00397383">
    <w:pPr>
      <w:pStyle w:val="Header"/>
    </w:pPr>
    <w:r>
      <w:rPr>
        <w:noProof/>
      </w:rPr>
      <w:pict w14:anchorId="458BB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19497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59EB2" w14:textId="08D2A26E" w:rsidR="00397383" w:rsidRDefault="00397383">
    <w:pPr>
      <w:pStyle w:val="Header"/>
    </w:pPr>
    <w:r>
      <w:rPr>
        <w:noProof/>
      </w:rPr>
      <w:pict w14:anchorId="781CED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19497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111"/>
    <w:multiLevelType w:val="multilevel"/>
    <w:tmpl w:val="EA4C24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D19D8"/>
    <w:multiLevelType w:val="multilevel"/>
    <w:tmpl w:val="63BCB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94987"/>
    <w:multiLevelType w:val="multilevel"/>
    <w:tmpl w:val="0234E2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A32532"/>
    <w:multiLevelType w:val="multilevel"/>
    <w:tmpl w:val="55DC4E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8D25BD"/>
    <w:multiLevelType w:val="multilevel"/>
    <w:tmpl w:val="F586AB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7F2D70"/>
    <w:multiLevelType w:val="multilevel"/>
    <w:tmpl w:val="C98A49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8769E1"/>
    <w:multiLevelType w:val="multilevel"/>
    <w:tmpl w:val="4A8681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C35044"/>
    <w:multiLevelType w:val="multilevel"/>
    <w:tmpl w:val="1A3E4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CD44A8"/>
    <w:multiLevelType w:val="multilevel"/>
    <w:tmpl w:val="4A9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822477"/>
    <w:multiLevelType w:val="multilevel"/>
    <w:tmpl w:val="5B4AA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CD3831"/>
    <w:multiLevelType w:val="multilevel"/>
    <w:tmpl w:val="FB2C5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5806709">
    <w:abstractNumId w:val="1"/>
  </w:num>
  <w:num w:numId="2" w16cid:durableId="487479699">
    <w:abstractNumId w:val="7"/>
  </w:num>
  <w:num w:numId="3" w16cid:durableId="801852050">
    <w:abstractNumId w:val="4"/>
  </w:num>
  <w:num w:numId="4" w16cid:durableId="1738043511">
    <w:abstractNumId w:val="8"/>
  </w:num>
  <w:num w:numId="5" w16cid:durableId="402601516">
    <w:abstractNumId w:val="10"/>
  </w:num>
  <w:num w:numId="6" w16cid:durableId="880939079">
    <w:abstractNumId w:val="0"/>
  </w:num>
  <w:num w:numId="7" w16cid:durableId="1813980062">
    <w:abstractNumId w:val="2"/>
  </w:num>
  <w:num w:numId="8" w16cid:durableId="92672949">
    <w:abstractNumId w:val="5"/>
  </w:num>
  <w:num w:numId="9" w16cid:durableId="1594630576">
    <w:abstractNumId w:val="6"/>
  </w:num>
  <w:num w:numId="10" w16cid:durableId="1870410092">
    <w:abstractNumId w:val="3"/>
  </w:num>
  <w:num w:numId="11" w16cid:durableId="5525421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993"/>
    <w:rsid w:val="000151EB"/>
    <w:rsid w:val="0003217F"/>
    <w:rsid w:val="0003743F"/>
    <w:rsid w:val="00051E85"/>
    <w:rsid w:val="00056133"/>
    <w:rsid w:val="00060AB1"/>
    <w:rsid w:val="00063B12"/>
    <w:rsid w:val="000676B6"/>
    <w:rsid w:val="0007686F"/>
    <w:rsid w:val="00077375"/>
    <w:rsid w:val="00077599"/>
    <w:rsid w:val="0008241B"/>
    <w:rsid w:val="00091640"/>
    <w:rsid w:val="00094EDE"/>
    <w:rsid w:val="00097993"/>
    <w:rsid w:val="000A3B67"/>
    <w:rsid w:val="000D0EE7"/>
    <w:rsid w:val="000D258B"/>
    <w:rsid w:val="000D4A51"/>
    <w:rsid w:val="000D5780"/>
    <w:rsid w:val="000E6C2F"/>
    <w:rsid w:val="000F503C"/>
    <w:rsid w:val="00122543"/>
    <w:rsid w:val="00122921"/>
    <w:rsid w:val="00133982"/>
    <w:rsid w:val="0015007E"/>
    <w:rsid w:val="0015079A"/>
    <w:rsid w:val="00174183"/>
    <w:rsid w:val="0018434F"/>
    <w:rsid w:val="00192397"/>
    <w:rsid w:val="001E1903"/>
    <w:rsid w:val="001F054D"/>
    <w:rsid w:val="001F721E"/>
    <w:rsid w:val="00206839"/>
    <w:rsid w:val="0023478A"/>
    <w:rsid w:val="00245CB1"/>
    <w:rsid w:val="00263357"/>
    <w:rsid w:val="00280B43"/>
    <w:rsid w:val="00281EBF"/>
    <w:rsid w:val="00291337"/>
    <w:rsid w:val="00292DD6"/>
    <w:rsid w:val="00294EC6"/>
    <w:rsid w:val="002B595A"/>
    <w:rsid w:val="002D42D9"/>
    <w:rsid w:val="002D4BCD"/>
    <w:rsid w:val="002D60B6"/>
    <w:rsid w:val="002E1EB1"/>
    <w:rsid w:val="002F084A"/>
    <w:rsid w:val="00317C5A"/>
    <w:rsid w:val="00323D44"/>
    <w:rsid w:val="00324046"/>
    <w:rsid w:val="00332B54"/>
    <w:rsid w:val="00336D19"/>
    <w:rsid w:val="00342CA6"/>
    <w:rsid w:val="00345151"/>
    <w:rsid w:val="00346206"/>
    <w:rsid w:val="00351848"/>
    <w:rsid w:val="00355B31"/>
    <w:rsid w:val="00367868"/>
    <w:rsid w:val="00370252"/>
    <w:rsid w:val="00377B6C"/>
    <w:rsid w:val="003800FD"/>
    <w:rsid w:val="00397383"/>
    <w:rsid w:val="003B1648"/>
    <w:rsid w:val="003B5151"/>
    <w:rsid w:val="003D049E"/>
    <w:rsid w:val="003D5C61"/>
    <w:rsid w:val="003F0EFE"/>
    <w:rsid w:val="00403B0B"/>
    <w:rsid w:val="0042309A"/>
    <w:rsid w:val="00426BD8"/>
    <w:rsid w:val="004329C1"/>
    <w:rsid w:val="004861F4"/>
    <w:rsid w:val="004A6A4F"/>
    <w:rsid w:val="004B2EAF"/>
    <w:rsid w:val="004B5C15"/>
    <w:rsid w:val="004B6EC4"/>
    <w:rsid w:val="004C5C02"/>
    <w:rsid w:val="004D2D1F"/>
    <w:rsid w:val="004E0A13"/>
    <w:rsid w:val="004E4138"/>
    <w:rsid w:val="004E6077"/>
    <w:rsid w:val="004F06A9"/>
    <w:rsid w:val="004F1E68"/>
    <w:rsid w:val="005009E6"/>
    <w:rsid w:val="00501CDD"/>
    <w:rsid w:val="00520BAE"/>
    <w:rsid w:val="005212C2"/>
    <w:rsid w:val="00522C0B"/>
    <w:rsid w:val="00537592"/>
    <w:rsid w:val="00541146"/>
    <w:rsid w:val="005434CA"/>
    <w:rsid w:val="005451FE"/>
    <w:rsid w:val="00546441"/>
    <w:rsid w:val="005517FA"/>
    <w:rsid w:val="005613FA"/>
    <w:rsid w:val="00563EE2"/>
    <w:rsid w:val="005671E6"/>
    <w:rsid w:val="0056763E"/>
    <w:rsid w:val="00572333"/>
    <w:rsid w:val="005800CB"/>
    <w:rsid w:val="0058615F"/>
    <w:rsid w:val="00591703"/>
    <w:rsid w:val="005A0C9A"/>
    <w:rsid w:val="005B4C9A"/>
    <w:rsid w:val="005B5771"/>
    <w:rsid w:val="005E1F68"/>
    <w:rsid w:val="005E5BDF"/>
    <w:rsid w:val="00600373"/>
    <w:rsid w:val="0060731D"/>
    <w:rsid w:val="006126F9"/>
    <w:rsid w:val="00613485"/>
    <w:rsid w:val="00616ADC"/>
    <w:rsid w:val="00623F5A"/>
    <w:rsid w:val="00625C21"/>
    <w:rsid w:val="00666775"/>
    <w:rsid w:val="0067329E"/>
    <w:rsid w:val="00695F2A"/>
    <w:rsid w:val="006A4EA7"/>
    <w:rsid w:val="006B1B7B"/>
    <w:rsid w:val="006E51A0"/>
    <w:rsid w:val="006F6888"/>
    <w:rsid w:val="006F7E04"/>
    <w:rsid w:val="007026C2"/>
    <w:rsid w:val="00703D6C"/>
    <w:rsid w:val="00706876"/>
    <w:rsid w:val="00707A3B"/>
    <w:rsid w:val="00720E3E"/>
    <w:rsid w:val="007233E2"/>
    <w:rsid w:val="00723FD1"/>
    <w:rsid w:val="00730EC5"/>
    <w:rsid w:val="00745C0A"/>
    <w:rsid w:val="00761B48"/>
    <w:rsid w:val="00763586"/>
    <w:rsid w:val="007757DD"/>
    <w:rsid w:val="00780C41"/>
    <w:rsid w:val="007825C9"/>
    <w:rsid w:val="00784F4F"/>
    <w:rsid w:val="00786F92"/>
    <w:rsid w:val="007B7CA2"/>
    <w:rsid w:val="007C7F88"/>
    <w:rsid w:val="007D5D19"/>
    <w:rsid w:val="007E0060"/>
    <w:rsid w:val="007E10AE"/>
    <w:rsid w:val="007F28D0"/>
    <w:rsid w:val="00803DE2"/>
    <w:rsid w:val="008041DE"/>
    <w:rsid w:val="008045C4"/>
    <w:rsid w:val="008071FD"/>
    <w:rsid w:val="00816EA4"/>
    <w:rsid w:val="00827952"/>
    <w:rsid w:val="00841DC5"/>
    <w:rsid w:val="00891060"/>
    <w:rsid w:val="008A660F"/>
    <w:rsid w:val="008B15B6"/>
    <w:rsid w:val="008B67DE"/>
    <w:rsid w:val="008B7376"/>
    <w:rsid w:val="008C3D40"/>
    <w:rsid w:val="008C64EC"/>
    <w:rsid w:val="008D1396"/>
    <w:rsid w:val="008E029F"/>
    <w:rsid w:val="008F5744"/>
    <w:rsid w:val="00904A05"/>
    <w:rsid w:val="00916EC9"/>
    <w:rsid w:val="00927D30"/>
    <w:rsid w:val="009478A9"/>
    <w:rsid w:val="0099633D"/>
    <w:rsid w:val="009A26BA"/>
    <w:rsid w:val="009A7F3F"/>
    <w:rsid w:val="009B1D13"/>
    <w:rsid w:val="009B3E2A"/>
    <w:rsid w:val="009B4B03"/>
    <w:rsid w:val="009B62C8"/>
    <w:rsid w:val="009B6A48"/>
    <w:rsid w:val="009D4F60"/>
    <w:rsid w:val="009D7430"/>
    <w:rsid w:val="009E08FE"/>
    <w:rsid w:val="00A0032B"/>
    <w:rsid w:val="00A05989"/>
    <w:rsid w:val="00A4394E"/>
    <w:rsid w:val="00A4723A"/>
    <w:rsid w:val="00A51CF9"/>
    <w:rsid w:val="00A6111F"/>
    <w:rsid w:val="00A61903"/>
    <w:rsid w:val="00A706BF"/>
    <w:rsid w:val="00A70EF9"/>
    <w:rsid w:val="00A740DE"/>
    <w:rsid w:val="00A77E2C"/>
    <w:rsid w:val="00A8154F"/>
    <w:rsid w:val="00A861EF"/>
    <w:rsid w:val="00AA2E33"/>
    <w:rsid w:val="00AA5F43"/>
    <w:rsid w:val="00AB7A2F"/>
    <w:rsid w:val="00AC5447"/>
    <w:rsid w:val="00AC5786"/>
    <w:rsid w:val="00AC671D"/>
    <w:rsid w:val="00AE1EE5"/>
    <w:rsid w:val="00AE605E"/>
    <w:rsid w:val="00AE652F"/>
    <w:rsid w:val="00B07D5B"/>
    <w:rsid w:val="00B13E08"/>
    <w:rsid w:val="00B262CC"/>
    <w:rsid w:val="00B43D9D"/>
    <w:rsid w:val="00B46BFD"/>
    <w:rsid w:val="00B47E0E"/>
    <w:rsid w:val="00B51170"/>
    <w:rsid w:val="00B76F57"/>
    <w:rsid w:val="00B804EF"/>
    <w:rsid w:val="00B97A23"/>
    <w:rsid w:val="00BA4A82"/>
    <w:rsid w:val="00BA6529"/>
    <w:rsid w:val="00BB3399"/>
    <w:rsid w:val="00BB36C5"/>
    <w:rsid w:val="00BE2BB2"/>
    <w:rsid w:val="00C033F5"/>
    <w:rsid w:val="00C17932"/>
    <w:rsid w:val="00C31E6F"/>
    <w:rsid w:val="00C45039"/>
    <w:rsid w:val="00C50966"/>
    <w:rsid w:val="00C738E7"/>
    <w:rsid w:val="00C902EA"/>
    <w:rsid w:val="00C95504"/>
    <w:rsid w:val="00CC1311"/>
    <w:rsid w:val="00CD1807"/>
    <w:rsid w:val="00CD5C6B"/>
    <w:rsid w:val="00CE36A8"/>
    <w:rsid w:val="00CF529B"/>
    <w:rsid w:val="00CF799C"/>
    <w:rsid w:val="00D036D3"/>
    <w:rsid w:val="00D065A8"/>
    <w:rsid w:val="00D12533"/>
    <w:rsid w:val="00D2141F"/>
    <w:rsid w:val="00D23ECB"/>
    <w:rsid w:val="00D27CC5"/>
    <w:rsid w:val="00D376C9"/>
    <w:rsid w:val="00D4177C"/>
    <w:rsid w:val="00D521A2"/>
    <w:rsid w:val="00D6187F"/>
    <w:rsid w:val="00D80FEE"/>
    <w:rsid w:val="00DA1E13"/>
    <w:rsid w:val="00DA64F1"/>
    <w:rsid w:val="00DB0B74"/>
    <w:rsid w:val="00DD4117"/>
    <w:rsid w:val="00DE4894"/>
    <w:rsid w:val="00E1656A"/>
    <w:rsid w:val="00E20332"/>
    <w:rsid w:val="00E2103E"/>
    <w:rsid w:val="00E21DAC"/>
    <w:rsid w:val="00E23E68"/>
    <w:rsid w:val="00E3128D"/>
    <w:rsid w:val="00E40AAB"/>
    <w:rsid w:val="00E66073"/>
    <w:rsid w:val="00E80F86"/>
    <w:rsid w:val="00E971BE"/>
    <w:rsid w:val="00EB20F1"/>
    <w:rsid w:val="00EC5313"/>
    <w:rsid w:val="00ED4511"/>
    <w:rsid w:val="00EE1639"/>
    <w:rsid w:val="00EF30BE"/>
    <w:rsid w:val="00EF4FBE"/>
    <w:rsid w:val="00F05C34"/>
    <w:rsid w:val="00F17250"/>
    <w:rsid w:val="00F37ADB"/>
    <w:rsid w:val="00F472DE"/>
    <w:rsid w:val="00F643A1"/>
    <w:rsid w:val="00F71EFB"/>
    <w:rsid w:val="00F928B7"/>
    <w:rsid w:val="00FA3836"/>
    <w:rsid w:val="00FC40F7"/>
    <w:rsid w:val="00FD76FB"/>
    <w:rsid w:val="00FE35B6"/>
    <w:rsid w:val="00FE5633"/>
    <w:rsid w:val="00FF0709"/>
    <w:rsid w:val="00FF7F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A0E4B"/>
  <w15:chartTrackingRefBased/>
  <w15:docId w15:val="{B24A7D78-F10C-44D9-B50D-6CCAA2F3A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9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79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979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79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79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79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9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9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9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9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79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979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79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79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79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9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9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993"/>
    <w:rPr>
      <w:rFonts w:eastAsiaTheme="majorEastAsia" w:cstheme="majorBidi"/>
      <w:color w:val="272727" w:themeColor="text1" w:themeTint="D8"/>
    </w:rPr>
  </w:style>
  <w:style w:type="paragraph" w:styleId="Title">
    <w:name w:val="Title"/>
    <w:basedOn w:val="Normal"/>
    <w:next w:val="Normal"/>
    <w:link w:val="TitleChar"/>
    <w:uiPriority w:val="10"/>
    <w:qFormat/>
    <w:rsid w:val="00097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9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9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9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993"/>
    <w:pPr>
      <w:spacing w:before="160"/>
      <w:jc w:val="center"/>
    </w:pPr>
    <w:rPr>
      <w:i/>
      <w:iCs/>
      <w:color w:val="404040" w:themeColor="text1" w:themeTint="BF"/>
    </w:rPr>
  </w:style>
  <w:style w:type="character" w:customStyle="1" w:styleId="QuoteChar">
    <w:name w:val="Quote Char"/>
    <w:basedOn w:val="DefaultParagraphFont"/>
    <w:link w:val="Quote"/>
    <w:uiPriority w:val="29"/>
    <w:rsid w:val="00097993"/>
    <w:rPr>
      <w:i/>
      <w:iCs/>
      <w:color w:val="404040" w:themeColor="text1" w:themeTint="BF"/>
    </w:rPr>
  </w:style>
  <w:style w:type="paragraph" w:styleId="ListParagraph">
    <w:name w:val="List Paragraph"/>
    <w:basedOn w:val="Normal"/>
    <w:uiPriority w:val="34"/>
    <w:qFormat/>
    <w:rsid w:val="00097993"/>
    <w:pPr>
      <w:ind w:left="720"/>
      <w:contextualSpacing/>
    </w:pPr>
  </w:style>
  <w:style w:type="character" w:styleId="IntenseEmphasis">
    <w:name w:val="Intense Emphasis"/>
    <w:basedOn w:val="DefaultParagraphFont"/>
    <w:uiPriority w:val="21"/>
    <w:qFormat/>
    <w:rsid w:val="00097993"/>
    <w:rPr>
      <w:i/>
      <w:iCs/>
      <w:color w:val="2F5496" w:themeColor="accent1" w:themeShade="BF"/>
    </w:rPr>
  </w:style>
  <w:style w:type="paragraph" w:styleId="IntenseQuote">
    <w:name w:val="Intense Quote"/>
    <w:basedOn w:val="Normal"/>
    <w:next w:val="Normal"/>
    <w:link w:val="IntenseQuoteChar"/>
    <w:uiPriority w:val="30"/>
    <w:qFormat/>
    <w:rsid w:val="000979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7993"/>
    <w:rPr>
      <w:i/>
      <w:iCs/>
      <w:color w:val="2F5496" w:themeColor="accent1" w:themeShade="BF"/>
    </w:rPr>
  </w:style>
  <w:style w:type="character" w:styleId="IntenseReference">
    <w:name w:val="Intense Reference"/>
    <w:basedOn w:val="DefaultParagraphFont"/>
    <w:uiPriority w:val="32"/>
    <w:qFormat/>
    <w:rsid w:val="00097993"/>
    <w:rPr>
      <w:b/>
      <w:bCs/>
      <w:smallCaps/>
      <w:color w:val="2F5496" w:themeColor="accent1" w:themeShade="BF"/>
      <w:spacing w:val="5"/>
    </w:rPr>
  </w:style>
  <w:style w:type="table" w:styleId="TableGrid">
    <w:name w:val="Table Grid"/>
    <w:basedOn w:val="TableNormal"/>
    <w:uiPriority w:val="39"/>
    <w:rsid w:val="00B43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B15B6"/>
    <w:rPr>
      <w:b/>
      <w:bCs/>
    </w:rPr>
  </w:style>
  <w:style w:type="character" w:styleId="Emphasis">
    <w:name w:val="Emphasis"/>
    <w:basedOn w:val="DefaultParagraphFont"/>
    <w:uiPriority w:val="20"/>
    <w:qFormat/>
    <w:rsid w:val="008B15B6"/>
    <w:rPr>
      <w:i/>
      <w:iCs/>
    </w:rPr>
  </w:style>
  <w:style w:type="character" w:customStyle="1" w:styleId="overflow-hidden">
    <w:name w:val="overflow-hidden"/>
    <w:basedOn w:val="DefaultParagraphFont"/>
    <w:rsid w:val="008B15B6"/>
  </w:style>
  <w:style w:type="paragraph" w:customStyle="1" w:styleId="Default">
    <w:name w:val="Default"/>
    <w:rsid w:val="00077375"/>
    <w:pPr>
      <w:autoSpaceDE w:val="0"/>
      <w:autoSpaceDN w:val="0"/>
      <w:adjustRightInd w:val="0"/>
      <w:spacing w:after="0" w:line="240" w:lineRule="auto"/>
    </w:pPr>
    <w:rPr>
      <w:rFonts w:ascii="Times New Roman" w:eastAsiaTheme="minorEastAsia" w:hAnsi="Times New Roman" w:cs="Times New Roman"/>
      <w:color w:val="000000"/>
      <w:kern w:val="0"/>
      <w:lang w:bidi="hi-IN"/>
      <w14:ligatures w14:val="none"/>
    </w:rPr>
  </w:style>
  <w:style w:type="character" w:styleId="PlaceholderText">
    <w:name w:val="Placeholder Text"/>
    <w:basedOn w:val="DefaultParagraphFont"/>
    <w:uiPriority w:val="99"/>
    <w:semiHidden/>
    <w:rsid w:val="00CC1311"/>
    <w:rPr>
      <w:color w:val="666666"/>
    </w:rPr>
  </w:style>
  <w:style w:type="paragraph" w:styleId="Header">
    <w:name w:val="header"/>
    <w:basedOn w:val="Normal"/>
    <w:link w:val="HeaderChar"/>
    <w:uiPriority w:val="99"/>
    <w:unhideWhenUsed/>
    <w:rsid w:val="00397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383"/>
  </w:style>
  <w:style w:type="paragraph" w:styleId="Footer">
    <w:name w:val="footer"/>
    <w:basedOn w:val="Normal"/>
    <w:link w:val="FooterChar"/>
    <w:uiPriority w:val="99"/>
    <w:unhideWhenUsed/>
    <w:rsid w:val="00397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89048">
      <w:bodyDiv w:val="1"/>
      <w:marLeft w:val="0"/>
      <w:marRight w:val="0"/>
      <w:marTop w:val="0"/>
      <w:marBottom w:val="0"/>
      <w:divBdr>
        <w:top w:val="none" w:sz="0" w:space="0" w:color="auto"/>
        <w:left w:val="none" w:sz="0" w:space="0" w:color="auto"/>
        <w:bottom w:val="none" w:sz="0" w:space="0" w:color="auto"/>
        <w:right w:val="none" w:sz="0" w:space="0" w:color="auto"/>
      </w:divBdr>
    </w:div>
    <w:div w:id="57830184">
      <w:bodyDiv w:val="1"/>
      <w:marLeft w:val="0"/>
      <w:marRight w:val="0"/>
      <w:marTop w:val="0"/>
      <w:marBottom w:val="0"/>
      <w:divBdr>
        <w:top w:val="none" w:sz="0" w:space="0" w:color="auto"/>
        <w:left w:val="none" w:sz="0" w:space="0" w:color="auto"/>
        <w:bottom w:val="none" w:sz="0" w:space="0" w:color="auto"/>
        <w:right w:val="none" w:sz="0" w:space="0" w:color="auto"/>
      </w:divBdr>
    </w:div>
    <w:div w:id="95489655">
      <w:bodyDiv w:val="1"/>
      <w:marLeft w:val="0"/>
      <w:marRight w:val="0"/>
      <w:marTop w:val="0"/>
      <w:marBottom w:val="0"/>
      <w:divBdr>
        <w:top w:val="none" w:sz="0" w:space="0" w:color="auto"/>
        <w:left w:val="none" w:sz="0" w:space="0" w:color="auto"/>
        <w:bottom w:val="none" w:sz="0" w:space="0" w:color="auto"/>
        <w:right w:val="none" w:sz="0" w:space="0" w:color="auto"/>
      </w:divBdr>
    </w:div>
    <w:div w:id="95640742">
      <w:bodyDiv w:val="1"/>
      <w:marLeft w:val="0"/>
      <w:marRight w:val="0"/>
      <w:marTop w:val="0"/>
      <w:marBottom w:val="0"/>
      <w:divBdr>
        <w:top w:val="none" w:sz="0" w:space="0" w:color="auto"/>
        <w:left w:val="none" w:sz="0" w:space="0" w:color="auto"/>
        <w:bottom w:val="none" w:sz="0" w:space="0" w:color="auto"/>
        <w:right w:val="none" w:sz="0" w:space="0" w:color="auto"/>
      </w:divBdr>
    </w:div>
    <w:div w:id="98257807">
      <w:bodyDiv w:val="1"/>
      <w:marLeft w:val="0"/>
      <w:marRight w:val="0"/>
      <w:marTop w:val="0"/>
      <w:marBottom w:val="0"/>
      <w:divBdr>
        <w:top w:val="none" w:sz="0" w:space="0" w:color="auto"/>
        <w:left w:val="none" w:sz="0" w:space="0" w:color="auto"/>
        <w:bottom w:val="none" w:sz="0" w:space="0" w:color="auto"/>
        <w:right w:val="none" w:sz="0" w:space="0" w:color="auto"/>
      </w:divBdr>
    </w:div>
    <w:div w:id="99764623">
      <w:bodyDiv w:val="1"/>
      <w:marLeft w:val="0"/>
      <w:marRight w:val="0"/>
      <w:marTop w:val="0"/>
      <w:marBottom w:val="0"/>
      <w:divBdr>
        <w:top w:val="none" w:sz="0" w:space="0" w:color="auto"/>
        <w:left w:val="none" w:sz="0" w:space="0" w:color="auto"/>
        <w:bottom w:val="none" w:sz="0" w:space="0" w:color="auto"/>
        <w:right w:val="none" w:sz="0" w:space="0" w:color="auto"/>
      </w:divBdr>
    </w:div>
    <w:div w:id="261573145">
      <w:bodyDiv w:val="1"/>
      <w:marLeft w:val="0"/>
      <w:marRight w:val="0"/>
      <w:marTop w:val="0"/>
      <w:marBottom w:val="0"/>
      <w:divBdr>
        <w:top w:val="none" w:sz="0" w:space="0" w:color="auto"/>
        <w:left w:val="none" w:sz="0" w:space="0" w:color="auto"/>
        <w:bottom w:val="none" w:sz="0" w:space="0" w:color="auto"/>
        <w:right w:val="none" w:sz="0" w:space="0" w:color="auto"/>
      </w:divBdr>
    </w:div>
    <w:div w:id="379287666">
      <w:bodyDiv w:val="1"/>
      <w:marLeft w:val="0"/>
      <w:marRight w:val="0"/>
      <w:marTop w:val="0"/>
      <w:marBottom w:val="0"/>
      <w:divBdr>
        <w:top w:val="none" w:sz="0" w:space="0" w:color="auto"/>
        <w:left w:val="none" w:sz="0" w:space="0" w:color="auto"/>
        <w:bottom w:val="none" w:sz="0" w:space="0" w:color="auto"/>
        <w:right w:val="none" w:sz="0" w:space="0" w:color="auto"/>
      </w:divBdr>
    </w:div>
    <w:div w:id="445387838">
      <w:bodyDiv w:val="1"/>
      <w:marLeft w:val="0"/>
      <w:marRight w:val="0"/>
      <w:marTop w:val="0"/>
      <w:marBottom w:val="0"/>
      <w:divBdr>
        <w:top w:val="none" w:sz="0" w:space="0" w:color="auto"/>
        <w:left w:val="none" w:sz="0" w:space="0" w:color="auto"/>
        <w:bottom w:val="none" w:sz="0" w:space="0" w:color="auto"/>
        <w:right w:val="none" w:sz="0" w:space="0" w:color="auto"/>
      </w:divBdr>
    </w:div>
    <w:div w:id="454568477">
      <w:bodyDiv w:val="1"/>
      <w:marLeft w:val="0"/>
      <w:marRight w:val="0"/>
      <w:marTop w:val="0"/>
      <w:marBottom w:val="0"/>
      <w:divBdr>
        <w:top w:val="none" w:sz="0" w:space="0" w:color="auto"/>
        <w:left w:val="none" w:sz="0" w:space="0" w:color="auto"/>
        <w:bottom w:val="none" w:sz="0" w:space="0" w:color="auto"/>
        <w:right w:val="none" w:sz="0" w:space="0" w:color="auto"/>
      </w:divBdr>
    </w:div>
    <w:div w:id="474758831">
      <w:bodyDiv w:val="1"/>
      <w:marLeft w:val="0"/>
      <w:marRight w:val="0"/>
      <w:marTop w:val="0"/>
      <w:marBottom w:val="0"/>
      <w:divBdr>
        <w:top w:val="none" w:sz="0" w:space="0" w:color="auto"/>
        <w:left w:val="none" w:sz="0" w:space="0" w:color="auto"/>
        <w:bottom w:val="none" w:sz="0" w:space="0" w:color="auto"/>
        <w:right w:val="none" w:sz="0" w:space="0" w:color="auto"/>
      </w:divBdr>
      <w:divsChild>
        <w:div w:id="1899784779">
          <w:marLeft w:val="0"/>
          <w:marRight w:val="0"/>
          <w:marTop w:val="0"/>
          <w:marBottom w:val="0"/>
          <w:divBdr>
            <w:top w:val="none" w:sz="0" w:space="0" w:color="auto"/>
            <w:left w:val="none" w:sz="0" w:space="0" w:color="auto"/>
            <w:bottom w:val="none" w:sz="0" w:space="0" w:color="auto"/>
            <w:right w:val="none" w:sz="0" w:space="0" w:color="auto"/>
          </w:divBdr>
          <w:divsChild>
            <w:div w:id="770902663">
              <w:marLeft w:val="0"/>
              <w:marRight w:val="0"/>
              <w:marTop w:val="0"/>
              <w:marBottom w:val="0"/>
              <w:divBdr>
                <w:top w:val="none" w:sz="0" w:space="0" w:color="auto"/>
                <w:left w:val="none" w:sz="0" w:space="0" w:color="auto"/>
                <w:bottom w:val="none" w:sz="0" w:space="0" w:color="auto"/>
                <w:right w:val="none" w:sz="0" w:space="0" w:color="auto"/>
              </w:divBdr>
              <w:divsChild>
                <w:div w:id="1289359312">
                  <w:marLeft w:val="0"/>
                  <w:marRight w:val="0"/>
                  <w:marTop w:val="0"/>
                  <w:marBottom w:val="0"/>
                  <w:divBdr>
                    <w:top w:val="none" w:sz="0" w:space="0" w:color="auto"/>
                    <w:left w:val="none" w:sz="0" w:space="0" w:color="auto"/>
                    <w:bottom w:val="none" w:sz="0" w:space="0" w:color="auto"/>
                    <w:right w:val="none" w:sz="0" w:space="0" w:color="auto"/>
                  </w:divBdr>
                  <w:divsChild>
                    <w:div w:id="1156723310">
                      <w:marLeft w:val="0"/>
                      <w:marRight w:val="0"/>
                      <w:marTop w:val="0"/>
                      <w:marBottom w:val="0"/>
                      <w:divBdr>
                        <w:top w:val="none" w:sz="0" w:space="0" w:color="auto"/>
                        <w:left w:val="none" w:sz="0" w:space="0" w:color="auto"/>
                        <w:bottom w:val="none" w:sz="0" w:space="0" w:color="auto"/>
                        <w:right w:val="none" w:sz="0" w:space="0" w:color="auto"/>
                      </w:divBdr>
                      <w:divsChild>
                        <w:div w:id="103114477">
                          <w:marLeft w:val="0"/>
                          <w:marRight w:val="0"/>
                          <w:marTop w:val="0"/>
                          <w:marBottom w:val="0"/>
                          <w:divBdr>
                            <w:top w:val="none" w:sz="0" w:space="0" w:color="auto"/>
                            <w:left w:val="none" w:sz="0" w:space="0" w:color="auto"/>
                            <w:bottom w:val="none" w:sz="0" w:space="0" w:color="auto"/>
                            <w:right w:val="none" w:sz="0" w:space="0" w:color="auto"/>
                          </w:divBdr>
                          <w:divsChild>
                            <w:div w:id="940065897">
                              <w:marLeft w:val="0"/>
                              <w:marRight w:val="0"/>
                              <w:marTop w:val="0"/>
                              <w:marBottom w:val="0"/>
                              <w:divBdr>
                                <w:top w:val="none" w:sz="0" w:space="0" w:color="auto"/>
                                <w:left w:val="none" w:sz="0" w:space="0" w:color="auto"/>
                                <w:bottom w:val="none" w:sz="0" w:space="0" w:color="auto"/>
                                <w:right w:val="none" w:sz="0" w:space="0" w:color="auto"/>
                              </w:divBdr>
                              <w:divsChild>
                                <w:div w:id="1428698908">
                                  <w:marLeft w:val="0"/>
                                  <w:marRight w:val="0"/>
                                  <w:marTop w:val="0"/>
                                  <w:marBottom w:val="0"/>
                                  <w:divBdr>
                                    <w:top w:val="none" w:sz="0" w:space="0" w:color="auto"/>
                                    <w:left w:val="none" w:sz="0" w:space="0" w:color="auto"/>
                                    <w:bottom w:val="none" w:sz="0" w:space="0" w:color="auto"/>
                                    <w:right w:val="none" w:sz="0" w:space="0" w:color="auto"/>
                                  </w:divBdr>
                                  <w:divsChild>
                                    <w:div w:id="1770849673">
                                      <w:marLeft w:val="0"/>
                                      <w:marRight w:val="0"/>
                                      <w:marTop w:val="0"/>
                                      <w:marBottom w:val="0"/>
                                      <w:divBdr>
                                        <w:top w:val="none" w:sz="0" w:space="0" w:color="auto"/>
                                        <w:left w:val="none" w:sz="0" w:space="0" w:color="auto"/>
                                        <w:bottom w:val="none" w:sz="0" w:space="0" w:color="auto"/>
                                        <w:right w:val="none" w:sz="0" w:space="0" w:color="auto"/>
                                      </w:divBdr>
                                      <w:divsChild>
                                        <w:div w:id="856118605">
                                          <w:marLeft w:val="0"/>
                                          <w:marRight w:val="0"/>
                                          <w:marTop w:val="0"/>
                                          <w:marBottom w:val="0"/>
                                          <w:divBdr>
                                            <w:top w:val="none" w:sz="0" w:space="0" w:color="auto"/>
                                            <w:left w:val="none" w:sz="0" w:space="0" w:color="auto"/>
                                            <w:bottom w:val="none" w:sz="0" w:space="0" w:color="auto"/>
                                            <w:right w:val="none" w:sz="0" w:space="0" w:color="auto"/>
                                          </w:divBdr>
                                          <w:divsChild>
                                            <w:div w:id="1515802124">
                                              <w:marLeft w:val="0"/>
                                              <w:marRight w:val="0"/>
                                              <w:marTop w:val="0"/>
                                              <w:marBottom w:val="0"/>
                                              <w:divBdr>
                                                <w:top w:val="none" w:sz="0" w:space="0" w:color="auto"/>
                                                <w:left w:val="none" w:sz="0" w:space="0" w:color="auto"/>
                                                <w:bottom w:val="none" w:sz="0" w:space="0" w:color="auto"/>
                                                <w:right w:val="none" w:sz="0" w:space="0" w:color="auto"/>
                                              </w:divBdr>
                                              <w:divsChild>
                                                <w:div w:id="1545019396">
                                                  <w:marLeft w:val="0"/>
                                                  <w:marRight w:val="0"/>
                                                  <w:marTop w:val="0"/>
                                                  <w:marBottom w:val="0"/>
                                                  <w:divBdr>
                                                    <w:top w:val="none" w:sz="0" w:space="0" w:color="auto"/>
                                                    <w:left w:val="none" w:sz="0" w:space="0" w:color="auto"/>
                                                    <w:bottom w:val="none" w:sz="0" w:space="0" w:color="auto"/>
                                                    <w:right w:val="none" w:sz="0" w:space="0" w:color="auto"/>
                                                  </w:divBdr>
                                                  <w:divsChild>
                                                    <w:div w:id="165013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6983">
                                          <w:marLeft w:val="0"/>
                                          <w:marRight w:val="0"/>
                                          <w:marTop w:val="0"/>
                                          <w:marBottom w:val="0"/>
                                          <w:divBdr>
                                            <w:top w:val="none" w:sz="0" w:space="0" w:color="auto"/>
                                            <w:left w:val="none" w:sz="0" w:space="0" w:color="auto"/>
                                            <w:bottom w:val="none" w:sz="0" w:space="0" w:color="auto"/>
                                            <w:right w:val="none" w:sz="0" w:space="0" w:color="auto"/>
                                          </w:divBdr>
                                          <w:divsChild>
                                            <w:div w:id="1709455344">
                                              <w:marLeft w:val="0"/>
                                              <w:marRight w:val="0"/>
                                              <w:marTop w:val="0"/>
                                              <w:marBottom w:val="0"/>
                                              <w:divBdr>
                                                <w:top w:val="none" w:sz="0" w:space="0" w:color="auto"/>
                                                <w:left w:val="none" w:sz="0" w:space="0" w:color="auto"/>
                                                <w:bottom w:val="none" w:sz="0" w:space="0" w:color="auto"/>
                                                <w:right w:val="none" w:sz="0" w:space="0" w:color="auto"/>
                                              </w:divBdr>
                                              <w:divsChild>
                                                <w:div w:id="38542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2212283">
          <w:marLeft w:val="0"/>
          <w:marRight w:val="0"/>
          <w:marTop w:val="0"/>
          <w:marBottom w:val="0"/>
          <w:divBdr>
            <w:top w:val="none" w:sz="0" w:space="0" w:color="auto"/>
            <w:left w:val="none" w:sz="0" w:space="0" w:color="auto"/>
            <w:bottom w:val="none" w:sz="0" w:space="0" w:color="auto"/>
            <w:right w:val="none" w:sz="0" w:space="0" w:color="auto"/>
          </w:divBdr>
          <w:divsChild>
            <w:div w:id="875392055">
              <w:marLeft w:val="0"/>
              <w:marRight w:val="0"/>
              <w:marTop w:val="0"/>
              <w:marBottom w:val="0"/>
              <w:divBdr>
                <w:top w:val="none" w:sz="0" w:space="0" w:color="auto"/>
                <w:left w:val="none" w:sz="0" w:space="0" w:color="auto"/>
                <w:bottom w:val="none" w:sz="0" w:space="0" w:color="auto"/>
                <w:right w:val="none" w:sz="0" w:space="0" w:color="auto"/>
              </w:divBdr>
              <w:divsChild>
                <w:div w:id="2031101422">
                  <w:marLeft w:val="0"/>
                  <w:marRight w:val="0"/>
                  <w:marTop w:val="0"/>
                  <w:marBottom w:val="0"/>
                  <w:divBdr>
                    <w:top w:val="none" w:sz="0" w:space="0" w:color="auto"/>
                    <w:left w:val="none" w:sz="0" w:space="0" w:color="auto"/>
                    <w:bottom w:val="none" w:sz="0" w:space="0" w:color="auto"/>
                    <w:right w:val="none" w:sz="0" w:space="0" w:color="auto"/>
                  </w:divBdr>
                  <w:divsChild>
                    <w:div w:id="906569103">
                      <w:marLeft w:val="0"/>
                      <w:marRight w:val="0"/>
                      <w:marTop w:val="0"/>
                      <w:marBottom w:val="0"/>
                      <w:divBdr>
                        <w:top w:val="none" w:sz="0" w:space="0" w:color="auto"/>
                        <w:left w:val="none" w:sz="0" w:space="0" w:color="auto"/>
                        <w:bottom w:val="none" w:sz="0" w:space="0" w:color="auto"/>
                        <w:right w:val="none" w:sz="0" w:space="0" w:color="auto"/>
                      </w:divBdr>
                      <w:divsChild>
                        <w:div w:id="184065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783223">
      <w:bodyDiv w:val="1"/>
      <w:marLeft w:val="0"/>
      <w:marRight w:val="0"/>
      <w:marTop w:val="0"/>
      <w:marBottom w:val="0"/>
      <w:divBdr>
        <w:top w:val="none" w:sz="0" w:space="0" w:color="auto"/>
        <w:left w:val="none" w:sz="0" w:space="0" w:color="auto"/>
        <w:bottom w:val="none" w:sz="0" w:space="0" w:color="auto"/>
        <w:right w:val="none" w:sz="0" w:space="0" w:color="auto"/>
      </w:divBdr>
    </w:div>
    <w:div w:id="577834583">
      <w:bodyDiv w:val="1"/>
      <w:marLeft w:val="0"/>
      <w:marRight w:val="0"/>
      <w:marTop w:val="0"/>
      <w:marBottom w:val="0"/>
      <w:divBdr>
        <w:top w:val="none" w:sz="0" w:space="0" w:color="auto"/>
        <w:left w:val="none" w:sz="0" w:space="0" w:color="auto"/>
        <w:bottom w:val="none" w:sz="0" w:space="0" w:color="auto"/>
        <w:right w:val="none" w:sz="0" w:space="0" w:color="auto"/>
      </w:divBdr>
    </w:div>
    <w:div w:id="578708108">
      <w:bodyDiv w:val="1"/>
      <w:marLeft w:val="0"/>
      <w:marRight w:val="0"/>
      <w:marTop w:val="0"/>
      <w:marBottom w:val="0"/>
      <w:divBdr>
        <w:top w:val="none" w:sz="0" w:space="0" w:color="auto"/>
        <w:left w:val="none" w:sz="0" w:space="0" w:color="auto"/>
        <w:bottom w:val="none" w:sz="0" w:space="0" w:color="auto"/>
        <w:right w:val="none" w:sz="0" w:space="0" w:color="auto"/>
      </w:divBdr>
    </w:div>
    <w:div w:id="580066448">
      <w:bodyDiv w:val="1"/>
      <w:marLeft w:val="0"/>
      <w:marRight w:val="0"/>
      <w:marTop w:val="0"/>
      <w:marBottom w:val="0"/>
      <w:divBdr>
        <w:top w:val="none" w:sz="0" w:space="0" w:color="auto"/>
        <w:left w:val="none" w:sz="0" w:space="0" w:color="auto"/>
        <w:bottom w:val="none" w:sz="0" w:space="0" w:color="auto"/>
        <w:right w:val="none" w:sz="0" w:space="0" w:color="auto"/>
      </w:divBdr>
    </w:div>
    <w:div w:id="637881237">
      <w:bodyDiv w:val="1"/>
      <w:marLeft w:val="0"/>
      <w:marRight w:val="0"/>
      <w:marTop w:val="0"/>
      <w:marBottom w:val="0"/>
      <w:divBdr>
        <w:top w:val="none" w:sz="0" w:space="0" w:color="auto"/>
        <w:left w:val="none" w:sz="0" w:space="0" w:color="auto"/>
        <w:bottom w:val="none" w:sz="0" w:space="0" w:color="auto"/>
        <w:right w:val="none" w:sz="0" w:space="0" w:color="auto"/>
      </w:divBdr>
      <w:divsChild>
        <w:div w:id="1463183885">
          <w:marLeft w:val="0"/>
          <w:marRight w:val="0"/>
          <w:marTop w:val="0"/>
          <w:marBottom w:val="0"/>
          <w:divBdr>
            <w:top w:val="none" w:sz="0" w:space="0" w:color="auto"/>
            <w:left w:val="none" w:sz="0" w:space="0" w:color="auto"/>
            <w:bottom w:val="none" w:sz="0" w:space="0" w:color="auto"/>
            <w:right w:val="none" w:sz="0" w:space="0" w:color="auto"/>
          </w:divBdr>
          <w:divsChild>
            <w:div w:id="1843546536">
              <w:marLeft w:val="0"/>
              <w:marRight w:val="0"/>
              <w:marTop w:val="0"/>
              <w:marBottom w:val="0"/>
              <w:divBdr>
                <w:top w:val="none" w:sz="0" w:space="0" w:color="auto"/>
                <w:left w:val="none" w:sz="0" w:space="0" w:color="auto"/>
                <w:bottom w:val="none" w:sz="0" w:space="0" w:color="auto"/>
                <w:right w:val="none" w:sz="0" w:space="0" w:color="auto"/>
              </w:divBdr>
              <w:divsChild>
                <w:div w:id="741416548">
                  <w:marLeft w:val="0"/>
                  <w:marRight w:val="0"/>
                  <w:marTop w:val="0"/>
                  <w:marBottom w:val="0"/>
                  <w:divBdr>
                    <w:top w:val="none" w:sz="0" w:space="0" w:color="auto"/>
                    <w:left w:val="none" w:sz="0" w:space="0" w:color="auto"/>
                    <w:bottom w:val="none" w:sz="0" w:space="0" w:color="auto"/>
                    <w:right w:val="none" w:sz="0" w:space="0" w:color="auto"/>
                  </w:divBdr>
                  <w:divsChild>
                    <w:div w:id="1797945510">
                      <w:marLeft w:val="0"/>
                      <w:marRight w:val="0"/>
                      <w:marTop w:val="0"/>
                      <w:marBottom w:val="0"/>
                      <w:divBdr>
                        <w:top w:val="none" w:sz="0" w:space="0" w:color="auto"/>
                        <w:left w:val="none" w:sz="0" w:space="0" w:color="auto"/>
                        <w:bottom w:val="none" w:sz="0" w:space="0" w:color="auto"/>
                        <w:right w:val="none" w:sz="0" w:space="0" w:color="auto"/>
                      </w:divBdr>
                      <w:divsChild>
                        <w:div w:id="2100711709">
                          <w:marLeft w:val="0"/>
                          <w:marRight w:val="0"/>
                          <w:marTop w:val="0"/>
                          <w:marBottom w:val="0"/>
                          <w:divBdr>
                            <w:top w:val="none" w:sz="0" w:space="0" w:color="auto"/>
                            <w:left w:val="none" w:sz="0" w:space="0" w:color="auto"/>
                            <w:bottom w:val="none" w:sz="0" w:space="0" w:color="auto"/>
                            <w:right w:val="none" w:sz="0" w:space="0" w:color="auto"/>
                          </w:divBdr>
                          <w:divsChild>
                            <w:div w:id="352847258">
                              <w:marLeft w:val="0"/>
                              <w:marRight w:val="0"/>
                              <w:marTop w:val="0"/>
                              <w:marBottom w:val="0"/>
                              <w:divBdr>
                                <w:top w:val="none" w:sz="0" w:space="0" w:color="auto"/>
                                <w:left w:val="none" w:sz="0" w:space="0" w:color="auto"/>
                                <w:bottom w:val="none" w:sz="0" w:space="0" w:color="auto"/>
                                <w:right w:val="none" w:sz="0" w:space="0" w:color="auto"/>
                              </w:divBdr>
                              <w:divsChild>
                                <w:div w:id="1685286590">
                                  <w:marLeft w:val="0"/>
                                  <w:marRight w:val="0"/>
                                  <w:marTop w:val="0"/>
                                  <w:marBottom w:val="0"/>
                                  <w:divBdr>
                                    <w:top w:val="none" w:sz="0" w:space="0" w:color="auto"/>
                                    <w:left w:val="none" w:sz="0" w:space="0" w:color="auto"/>
                                    <w:bottom w:val="none" w:sz="0" w:space="0" w:color="auto"/>
                                    <w:right w:val="none" w:sz="0" w:space="0" w:color="auto"/>
                                  </w:divBdr>
                                  <w:divsChild>
                                    <w:div w:id="1879312043">
                                      <w:marLeft w:val="0"/>
                                      <w:marRight w:val="0"/>
                                      <w:marTop w:val="0"/>
                                      <w:marBottom w:val="0"/>
                                      <w:divBdr>
                                        <w:top w:val="none" w:sz="0" w:space="0" w:color="auto"/>
                                        <w:left w:val="none" w:sz="0" w:space="0" w:color="auto"/>
                                        <w:bottom w:val="none" w:sz="0" w:space="0" w:color="auto"/>
                                        <w:right w:val="none" w:sz="0" w:space="0" w:color="auto"/>
                                      </w:divBdr>
                                      <w:divsChild>
                                        <w:div w:id="1697269541">
                                          <w:marLeft w:val="0"/>
                                          <w:marRight w:val="0"/>
                                          <w:marTop w:val="0"/>
                                          <w:marBottom w:val="0"/>
                                          <w:divBdr>
                                            <w:top w:val="none" w:sz="0" w:space="0" w:color="auto"/>
                                            <w:left w:val="none" w:sz="0" w:space="0" w:color="auto"/>
                                            <w:bottom w:val="none" w:sz="0" w:space="0" w:color="auto"/>
                                            <w:right w:val="none" w:sz="0" w:space="0" w:color="auto"/>
                                          </w:divBdr>
                                          <w:divsChild>
                                            <w:div w:id="118085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76920">
                          <w:marLeft w:val="0"/>
                          <w:marRight w:val="0"/>
                          <w:marTop w:val="0"/>
                          <w:marBottom w:val="0"/>
                          <w:divBdr>
                            <w:top w:val="none" w:sz="0" w:space="0" w:color="auto"/>
                            <w:left w:val="none" w:sz="0" w:space="0" w:color="auto"/>
                            <w:bottom w:val="none" w:sz="0" w:space="0" w:color="auto"/>
                            <w:right w:val="none" w:sz="0" w:space="0" w:color="auto"/>
                          </w:divBdr>
                          <w:divsChild>
                            <w:div w:id="438765665">
                              <w:marLeft w:val="0"/>
                              <w:marRight w:val="0"/>
                              <w:marTop w:val="0"/>
                              <w:marBottom w:val="0"/>
                              <w:divBdr>
                                <w:top w:val="none" w:sz="0" w:space="0" w:color="auto"/>
                                <w:left w:val="none" w:sz="0" w:space="0" w:color="auto"/>
                                <w:bottom w:val="none" w:sz="0" w:space="0" w:color="auto"/>
                                <w:right w:val="none" w:sz="0" w:space="0" w:color="auto"/>
                              </w:divBdr>
                              <w:divsChild>
                                <w:div w:id="14389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7060">
      <w:bodyDiv w:val="1"/>
      <w:marLeft w:val="0"/>
      <w:marRight w:val="0"/>
      <w:marTop w:val="0"/>
      <w:marBottom w:val="0"/>
      <w:divBdr>
        <w:top w:val="none" w:sz="0" w:space="0" w:color="auto"/>
        <w:left w:val="none" w:sz="0" w:space="0" w:color="auto"/>
        <w:bottom w:val="none" w:sz="0" w:space="0" w:color="auto"/>
        <w:right w:val="none" w:sz="0" w:space="0" w:color="auto"/>
      </w:divBdr>
      <w:divsChild>
        <w:div w:id="2060283957">
          <w:marLeft w:val="0"/>
          <w:marRight w:val="0"/>
          <w:marTop w:val="0"/>
          <w:marBottom w:val="0"/>
          <w:divBdr>
            <w:top w:val="none" w:sz="0" w:space="0" w:color="auto"/>
            <w:left w:val="none" w:sz="0" w:space="0" w:color="auto"/>
            <w:bottom w:val="none" w:sz="0" w:space="0" w:color="auto"/>
            <w:right w:val="none" w:sz="0" w:space="0" w:color="auto"/>
          </w:divBdr>
          <w:divsChild>
            <w:div w:id="1680739492">
              <w:marLeft w:val="0"/>
              <w:marRight w:val="0"/>
              <w:marTop w:val="0"/>
              <w:marBottom w:val="0"/>
              <w:divBdr>
                <w:top w:val="none" w:sz="0" w:space="0" w:color="auto"/>
                <w:left w:val="none" w:sz="0" w:space="0" w:color="auto"/>
                <w:bottom w:val="none" w:sz="0" w:space="0" w:color="auto"/>
                <w:right w:val="none" w:sz="0" w:space="0" w:color="auto"/>
              </w:divBdr>
              <w:divsChild>
                <w:div w:id="603390628">
                  <w:marLeft w:val="0"/>
                  <w:marRight w:val="0"/>
                  <w:marTop w:val="0"/>
                  <w:marBottom w:val="0"/>
                  <w:divBdr>
                    <w:top w:val="none" w:sz="0" w:space="0" w:color="auto"/>
                    <w:left w:val="none" w:sz="0" w:space="0" w:color="auto"/>
                    <w:bottom w:val="none" w:sz="0" w:space="0" w:color="auto"/>
                    <w:right w:val="none" w:sz="0" w:space="0" w:color="auto"/>
                  </w:divBdr>
                  <w:divsChild>
                    <w:div w:id="336272033">
                      <w:marLeft w:val="0"/>
                      <w:marRight w:val="0"/>
                      <w:marTop w:val="0"/>
                      <w:marBottom w:val="0"/>
                      <w:divBdr>
                        <w:top w:val="none" w:sz="0" w:space="0" w:color="auto"/>
                        <w:left w:val="none" w:sz="0" w:space="0" w:color="auto"/>
                        <w:bottom w:val="none" w:sz="0" w:space="0" w:color="auto"/>
                        <w:right w:val="none" w:sz="0" w:space="0" w:color="auto"/>
                      </w:divBdr>
                      <w:divsChild>
                        <w:div w:id="813569937">
                          <w:marLeft w:val="0"/>
                          <w:marRight w:val="0"/>
                          <w:marTop w:val="0"/>
                          <w:marBottom w:val="0"/>
                          <w:divBdr>
                            <w:top w:val="none" w:sz="0" w:space="0" w:color="auto"/>
                            <w:left w:val="none" w:sz="0" w:space="0" w:color="auto"/>
                            <w:bottom w:val="none" w:sz="0" w:space="0" w:color="auto"/>
                            <w:right w:val="none" w:sz="0" w:space="0" w:color="auto"/>
                          </w:divBdr>
                          <w:divsChild>
                            <w:div w:id="1942059321">
                              <w:marLeft w:val="0"/>
                              <w:marRight w:val="0"/>
                              <w:marTop w:val="0"/>
                              <w:marBottom w:val="0"/>
                              <w:divBdr>
                                <w:top w:val="none" w:sz="0" w:space="0" w:color="auto"/>
                                <w:left w:val="none" w:sz="0" w:space="0" w:color="auto"/>
                                <w:bottom w:val="none" w:sz="0" w:space="0" w:color="auto"/>
                                <w:right w:val="none" w:sz="0" w:space="0" w:color="auto"/>
                              </w:divBdr>
                              <w:divsChild>
                                <w:div w:id="1594582777">
                                  <w:marLeft w:val="0"/>
                                  <w:marRight w:val="0"/>
                                  <w:marTop w:val="0"/>
                                  <w:marBottom w:val="0"/>
                                  <w:divBdr>
                                    <w:top w:val="none" w:sz="0" w:space="0" w:color="auto"/>
                                    <w:left w:val="none" w:sz="0" w:space="0" w:color="auto"/>
                                    <w:bottom w:val="none" w:sz="0" w:space="0" w:color="auto"/>
                                    <w:right w:val="none" w:sz="0" w:space="0" w:color="auto"/>
                                  </w:divBdr>
                                  <w:divsChild>
                                    <w:div w:id="1411540765">
                                      <w:marLeft w:val="0"/>
                                      <w:marRight w:val="0"/>
                                      <w:marTop w:val="0"/>
                                      <w:marBottom w:val="0"/>
                                      <w:divBdr>
                                        <w:top w:val="none" w:sz="0" w:space="0" w:color="auto"/>
                                        <w:left w:val="none" w:sz="0" w:space="0" w:color="auto"/>
                                        <w:bottom w:val="none" w:sz="0" w:space="0" w:color="auto"/>
                                        <w:right w:val="none" w:sz="0" w:space="0" w:color="auto"/>
                                      </w:divBdr>
                                      <w:divsChild>
                                        <w:div w:id="1806000394">
                                          <w:marLeft w:val="0"/>
                                          <w:marRight w:val="0"/>
                                          <w:marTop w:val="0"/>
                                          <w:marBottom w:val="0"/>
                                          <w:divBdr>
                                            <w:top w:val="none" w:sz="0" w:space="0" w:color="auto"/>
                                            <w:left w:val="none" w:sz="0" w:space="0" w:color="auto"/>
                                            <w:bottom w:val="none" w:sz="0" w:space="0" w:color="auto"/>
                                            <w:right w:val="none" w:sz="0" w:space="0" w:color="auto"/>
                                          </w:divBdr>
                                          <w:divsChild>
                                            <w:div w:id="1728644449">
                                              <w:marLeft w:val="0"/>
                                              <w:marRight w:val="0"/>
                                              <w:marTop w:val="0"/>
                                              <w:marBottom w:val="0"/>
                                              <w:divBdr>
                                                <w:top w:val="none" w:sz="0" w:space="0" w:color="auto"/>
                                                <w:left w:val="none" w:sz="0" w:space="0" w:color="auto"/>
                                                <w:bottom w:val="none" w:sz="0" w:space="0" w:color="auto"/>
                                                <w:right w:val="none" w:sz="0" w:space="0" w:color="auto"/>
                                              </w:divBdr>
                                              <w:divsChild>
                                                <w:div w:id="328364296">
                                                  <w:marLeft w:val="0"/>
                                                  <w:marRight w:val="0"/>
                                                  <w:marTop w:val="0"/>
                                                  <w:marBottom w:val="0"/>
                                                  <w:divBdr>
                                                    <w:top w:val="none" w:sz="0" w:space="0" w:color="auto"/>
                                                    <w:left w:val="none" w:sz="0" w:space="0" w:color="auto"/>
                                                    <w:bottom w:val="none" w:sz="0" w:space="0" w:color="auto"/>
                                                    <w:right w:val="none" w:sz="0" w:space="0" w:color="auto"/>
                                                  </w:divBdr>
                                                  <w:divsChild>
                                                    <w:div w:id="175662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051193">
                                          <w:marLeft w:val="0"/>
                                          <w:marRight w:val="0"/>
                                          <w:marTop w:val="0"/>
                                          <w:marBottom w:val="0"/>
                                          <w:divBdr>
                                            <w:top w:val="none" w:sz="0" w:space="0" w:color="auto"/>
                                            <w:left w:val="none" w:sz="0" w:space="0" w:color="auto"/>
                                            <w:bottom w:val="none" w:sz="0" w:space="0" w:color="auto"/>
                                            <w:right w:val="none" w:sz="0" w:space="0" w:color="auto"/>
                                          </w:divBdr>
                                          <w:divsChild>
                                            <w:div w:id="1552424271">
                                              <w:marLeft w:val="0"/>
                                              <w:marRight w:val="0"/>
                                              <w:marTop w:val="0"/>
                                              <w:marBottom w:val="0"/>
                                              <w:divBdr>
                                                <w:top w:val="none" w:sz="0" w:space="0" w:color="auto"/>
                                                <w:left w:val="none" w:sz="0" w:space="0" w:color="auto"/>
                                                <w:bottom w:val="none" w:sz="0" w:space="0" w:color="auto"/>
                                                <w:right w:val="none" w:sz="0" w:space="0" w:color="auto"/>
                                              </w:divBdr>
                                              <w:divsChild>
                                                <w:div w:id="159562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6496792">
          <w:marLeft w:val="0"/>
          <w:marRight w:val="0"/>
          <w:marTop w:val="0"/>
          <w:marBottom w:val="0"/>
          <w:divBdr>
            <w:top w:val="none" w:sz="0" w:space="0" w:color="auto"/>
            <w:left w:val="none" w:sz="0" w:space="0" w:color="auto"/>
            <w:bottom w:val="none" w:sz="0" w:space="0" w:color="auto"/>
            <w:right w:val="none" w:sz="0" w:space="0" w:color="auto"/>
          </w:divBdr>
          <w:divsChild>
            <w:div w:id="884294382">
              <w:marLeft w:val="0"/>
              <w:marRight w:val="0"/>
              <w:marTop w:val="0"/>
              <w:marBottom w:val="0"/>
              <w:divBdr>
                <w:top w:val="none" w:sz="0" w:space="0" w:color="auto"/>
                <w:left w:val="none" w:sz="0" w:space="0" w:color="auto"/>
                <w:bottom w:val="none" w:sz="0" w:space="0" w:color="auto"/>
                <w:right w:val="none" w:sz="0" w:space="0" w:color="auto"/>
              </w:divBdr>
              <w:divsChild>
                <w:div w:id="1430008877">
                  <w:marLeft w:val="0"/>
                  <w:marRight w:val="0"/>
                  <w:marTop w:val="0"/>
                  <w:marBottom w:val="0"/>
                  <w:divBdr>
                    <w:top w:val="none" w:sz="0" w:space="0" w:color="auto"/>
                    <w:left w:val="none" w:sz="0" w:space="0" w:color="auto"/>
                    <w:bottom w:val="none" w:sz="0" w:space="0" w:color="auto"/>
                    <w:right w:val="none" w:sz="0" w:space="0" w:color="auto"/>
                  </w:divBdr>
                  <w:divsChild>
                    <w:div w:id="527256720">
                      <w:marLeft w:val="0"/>
                      <w:marRight w:val="0"/>
                      <w:marTop w:val="0"/>
                      <w:marBottom w:val="0"/>
                      <w:divBdr>
                        <w:top w:val="none" w:sz="0" w:space="0" w:color="auto"/>
                        <w:left w:val="none" w:sz="0" w:space="0" w:color="auto"/>
                        <w:bottom w:val="none" w:sz="0" w:space="0" w:color="auto"/>
                        <w:right w:val="none" w:sz="0" w:space="0" w:color="auto"/>
                      </w:divBdr>
                      <w:divsChild>
                        <w:div w:id="10025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844698">
      <w:bodyDiv w:val="1"/>
      <w:marLeft w:val="0"/>
      <w:marRight w:val="0"/>
      <w:marTop w:val="0"/>
      <w:marBottom w:val="0"/>
      <w:divBdr>
        <w:top w:val="none" w:sz="0" w:space="0" w:color="auto"/>
        <w:left w:val="none" w:sz="0" w:space="0" w:color="auto"/>
        <w:bottom w:val="none" w:sz="0" w:space="0" w:color="auto"/>
        <w:right w:val="none" w:sz="0" w:space="0" w:color="auto"/>
      </w:divBdr>
    </w:div>
    <w:div w:id="789781597">
      <w:bodyDiv w:val="1"/>
      <w:marLeft w:val="0"/>
      <w:marRight w:val="0"/>
      <w:marTop w:val="0"/>
      <w:marBottom w:val="0"/>
      <w:divBdr>
        <w:top w:val="none" w:sz="0" w:space="0" w:color="auto"/>
        <w:left w:val="none" w:sz="0" w:space="0" w:color="auto"/>
        <w:bottom w:val="none" w:sz="0" w:space="0" w:color="auto"/>
        <w:right w:val="none" w:sz="0" w:space="0" w:color="auto"/>
      </w:divBdr>
    </w:div>
    <w:div w:id="836968244">
      <w:bodyDiv w:val="1"/>
      <w:marLeft w:val="0"/>
      <w:marRight w:val="0"/>
      <w:marTop w:val="0"/>
      <w:marBottom w:val="0"/>
      <w:divBdr>
        <w:top w:val="none" w:sz="0" w:space="0" w:color="auto"/>
        <w:left w:val="none" w:sz="0" w:space="0" w:color="auto"/>
        <w:bottom w:val="none" w:sz="0" w:space="0" w:color="auto"/>
        <w:right w:val="none" w:sz="0" w:space="0" w:color="auto"/>
      </w:divBdr>
    </w:div>
    <w:div w:id="856045377">
      <w:bodyDiv w:val="1"/>
      <w:marLeft w:val="0"/>
      <w:marRight w:val="0"/>
      <w:marTop w:val="0"/>
      <w:marBottom w:val="0"/>
      <w:divBdr>
        <w:top w:val="none" w:sz="0" w:space="0" w:color="auto"/>
        <w:left w:val="none" w:sz="0" w:space="0" w:color="auto"/>
        <w:bottom w:val="none" w:sz="0" w:space="0" w:color="auto"/>
        <w:right w:val="none" w:sz="0" w:space="0" w:color="auto"/>
      </w:divBdr>
    </w:div>
    <w:div w:id="861935402">
      <w:bodyDiv w:val="1"/>
      <w:marLeft w:val="0"/>
      <w:marRight w:val="0"/>
      <w:marTop w:val="0"/>
      <w:marBottom w:val="0"/>
      <w:divBdr>
        <w:top w:val="none" w:sz="0" w:space="0" w:color="auto"/>
        <w:left w:val="none" w:sz="0" w:space="0" w:color="auto"/>
        <w:bottom w:val="none" w:sz="0" w:space="0" w:color="auto"/>
        <w:right w:val="none" w:sz="0" w:space="0" w:color="auto"/>
      </w:divBdr>
    </w:div>
    <w:div w:id="894894661">
      <w:bodyDiv w:val="1"/>
      <w:marLeft w:val="0"/>
      <w:marRight w:val="0"/>
      <w:marTop w:val="0"/>
      <w:marBottom w:val="0"/>
      <w:divBdr>
        <w:top w:val="none" w:sz="0" w:space="0" w:color="auto"/>
        <w:left w:val="none" w:sz="0" w:space="0" w:color="auto"/>
        <w:bottom w:val="none" w:sz="0" w:space="0" w:color="auto"/>
        <w:right w:val="none" w:sz="0" w:space="0" w:color="auto"/>
      </w:divBdr>
    </w:div>
    <w:div w:id="1004209613">
      <w:bodyDiv w:val="1"/>
      <w:marLeft w:val="0"/>
      <w:marRight w:val="0"/>
      <w:marTop w:val="0"/>
      <w:marBottom w:val="0"/>
      <w:divBdr>
        <w:top w:val="none" w:sz="0" w:space="0" w:color="auto"/>
        <w:left w:val="none" w:sz="0" w:space="0" w:color="auto"/>
        <w:bottom w:val="none" w:sz="0" w:space="0" w:color="auto"/>
        <w:right w:val="none" w:sz="0" w:space="0" w:color="auto"/>
      </w:divBdr>
    </w:div>
    <w:div w:id="1023482354">
      <w:bodyDiv w:val="1"/>
      <w:marLeft w:val="0"/>
      <w:marRight w:val="0"/>
      <w:marTop w:val="0"/>
      <w:marBottom w:val="0"/>
      <w:divBdr>
        <w:top w:val="none" w:sz="0" w:space="0" w:color="auto"/>
        <w:left w:val="none" w:sz="0" w:space="0" w:color="auto"/>
        <w:bottom w:val="none" w:sz="0" w:space="0" w:color="auto"/>
        <w:right w:val="none" w:sz="0" w:space="0" w:color="auto"/>
      </w:divBdr>
    </w:div>
    <w:div w:id="1140345872">
      <w:bodyDiv w:val="1"/>
      <w:marLeft w:val="0"/>
      <w:marRight w:val="0"/>
      <w:marTop w:val="0"/>
      <w:marBottom w:val="0"/>
      <w:divBdr>
        <w:top w:val="none" w:sz="0" w:space="0" w:color="auto"/>
        <w:left w:val="none" w:sz="0" w:space="0" w:color="auto"/>
        <w:bottom w:val="none" w:sz="0" w:space="0" w:color="auto"/>
        <w:right w:val="none" w:sz="0" w:space="0" w:color="auto"/>
      </w:divBdr>
    </w:div>
    <w:div w:id="1162310902">
      <w:bodyDiv w:val="1"/>
      <w:marLeft w:val="0"/>
      <w:marRight w:val="0"/>
      <w:marTop w:val="0"/>
      <w:marBottom w:val="0"/>
      <w:divBdr>
        <w:top w:val="none" w:sz="0" w:space="0" w:color="auto"/>
        <w:left w:val="none" w:sz="0" w:space="0" w:color="auto"/>
        <w:bottom w:val="none" w:sz="0" w:space="0" w:color="auto"/>
        <w:right w:val="none" w:sz="0" w:space="0" w:color="auto"/>
      </w:divBdr>
    </w:div>
    <w:div w:id="1172988935">
      <w:bodyDiv w:val="1"/>
      <w:marLeft w:val="0"/>
      <w:marRight w:val="0"/>
      <w:marTop w:val="0"/>
      <w:marBottom w:val="0"/>
      <w:divBdr>
        <w:top w:val="none" w:sz="0" w:space="0" w:color="auto"/>
        <w:left w:val="none" w:sz="0" w:space="0" w:color="auto"/>
        <w:bottom w:val="none" w:sz="0" w:space="0" w:color="auto"/>
        <w:right w:val="none" w:sz="0" w:space="0" w:color="auto"/>
      </w:divBdr>
      <w:divsChild>
        <w:div w:id="1941526892">
          <w:marLeft w:val="0"/>
          <w:marRight w:val="0"/>
          <w:marTop w:val="0"/>
          <w:marBottom w:val="0"/>
          <w:divBdr>
            <w:top w:val="none" w:sz="0" w:space="0" w:color="auto"/>
            <w:left w:val="none" w:sz="0" w:space="0" w:color="auto"/>
            <w:bottom w:val="none" w:sz="0" w:space="0" w:color="auto"/>
            <w:right w:val="none" w:sz="0" w:space="0" w:color="auto"/>
          </w:divBdr>
          <w:divsChild>
            <w:div w:id="145713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29776">
      <w:bodyDiv w:val="1"/>
      <w:marLeft w:val="0"/>
      <w:marRight w:val="0"/>
      <w:marTop w:val="0"/>
      <w:marBottom w:val="0"/>
      <w:divBdr>
        <w:top w:val="none" w:sz="0" w:space="0" w:color="auto"/>
        <w:left w:val="none" w:sz="0" w:space="0" w:color="auto"/>
        <w:bottom w:val="none" w:sz="0" w:space="0" w:color="auto"/>
        <w:right w:val="none" w:sz="0" w:space="0" w:color="auto"/>
      </w:divBdr>
    </w:div>
    <w:div w:id="1208252417">
      <w:bodyDiv w:val="1"/>
      <w:marLeft w:val="0"/>
      <w:marRight w:val="0"/>
      <w:marTop w:val="0"/>
      <w:marBottom w:val="0"/>
      <w:divBdr>
        <w:top w:val="none" w:sz="0" w:space="0" w:color="auto"/>
        <w:left w:val="none" w:sz="0" w:space="0" w:color="auto"/>
        <w:bottom w:val="none" w:sz="0" w:space="0" w:color="auto"/>
        <w:right w:val="none" w:sz="0" w:space="0" w:color="auto"/>
      </w:divBdr>
    </w:div>
    <w:div w:id="1238632021">
      <w:bodyDiv w:val="1"/>
      <w:marLeft w:val="0"/>
      <w:marRight w:val="0"/>
      <w:marTop w:val="0"/>
      <w:marBottom w:val="0"/>
      <w:divBdr>
        <w:top w:val="none" w:sz="0" w:space="0" w:color="auto"/>
        <w:left w:val="none" w:sz="0" w:space="0" w:color="auto"/>
        <w:bottom w:val="none" w:sz="0" w:space="0" w:color="auto"/>
        <w:right w:val="none" w:sz="0" w:space="0" w:color="auto"/>
      </w:divBdr>
    </w:div>
    <w:div w:id="1243485867">
      <w:bodyDiv w:val="1"/>
      <w:marLeft w:val="0"/>
      <w:marRight w:val="0"/>
      <w:marTop w:val="0"/>
      <w:marBottom w:val="0"/>
      <w:divBdr>
        <w:top w:val="none" w:sz="0" w:space="0" w:color="auto"/>
        <w:left w:val="none" w:sz="0" w:space="0" w:color="auto"/>
        <w:bottom w:val="none" w:sz="0" w:space="0" w:color="auto"/>
        <w:right w:val="none" w:sz="0" w:space="0" w:color="auto"/>
      </w:divBdr>
      <w:divsChild>
        <w:div w:id="1291283108">
          <w:marLeft w:val="0"/>
          <w:marRight w:val="0"/>
          <w:marTop w:val="0"/>
          <w:marBottom w:val="0"/>
          <w:divBdr>
            <w:top w:val="none" w:sz="0" w:space="0" w:color="auto"/>
            <w:left w:val="none" w:sz="0" w:space="0" w:color="auto"/>
            <w:bottom w:val="none" w:sz="0" w:space="0" w:color="auto"/>
            <w:right w:val="none" w:sz="0" w:space="0" w:color="auto"/>
          </w:divBdr>
          <w:divsChild>
            <w:div w:id="1892307405">
              <w:marLeft w:val="0"/>
              <w:marRight w:val="0"/>
              <w:marTop w:val="0"/>
              <w:marBottom w:val="0"/>
              <w:divBdr>
                <w:top w:val="none" w:sz="0" w:space="0" w:color="auto"/>
                <w:left w:val="none" w:sz="0" w:space="0" w:color="auto"/>
                <w:bottom w:val="none" w:sz="0" w:space="0" w:color="auto"/>
                <w:right w:val="none" w:sz="0" w:space="0" w:color="auto"/>
              </w:divBdr>
              <w:divsChild>
                <w:div w:id="665133128">
                  <w:marLeft w:val="0"/>
                  <w:marRight w:val="0"/>
                  <w:marTop w:val="0"/>
                  <w:marBottom w:val="0"/>
                  <w:divBdr>
                    <w:top w:val="none" w:sz="0" w:space="0" w:color="auto"/>
                    <w:left w:val="none" w:sz="0" w:space="0" w:color="auto"/>
                    <w:bottom w:val="none" w:sz="0" w:space="0" w:color="auto"/>
                    <w:right w:val="none" w:sz="0" w:space="0" w:color="auto"/>
                  </w:divBdr>
                  <w:divsChild>
                    <w:div w:id="2126540492">
                      <w:marLeft w:val="0"/>
                      <w:marRight w:val="0"/>
                      <w:marTop w:val="0"/>
                      <w:marBottom w:val="0"/>
                      <w:divBdr>
                        <w:top w:val="none" w:sz="0" w:space="0" w:color="auto"/>
                        <w:left w:val="none" w:sz="0" w:space="0" w:color="auto"/>
                        <w:bottom w:val="none" w:sz="0" w:space="0" w:color="auto"/>
                        <w:right w:val="none" w:sz="0" w:space="0" w:color="auto"/>
                      </w:divBdr>
                      <w:divsChild>
                        <w:div w:id="331641402">
                          <w:marLeft w:val="0"/>
                          <w:marRight w:val="0"/>
                          <w:marTop w:val="0"/>
                          <w:marBottom w:val="0"/>
                          <w:divBdr>
                            <w:top w:val="none" w:sz="0" w:space="0" w:color="auto"/>
                            <w:left w:val="none" w:sz="0" w:space="0" w:color="auto"/>
                            <w:bottom w:val="none" w:sz="0" w:space="0" w:color="auto"/>
                            <w:right w:val="none" w:sz="0" w:space="0" w:color="auto"/>
                          </w:divBdr>
                          <w:divsChild>
                            <w:div w:id="26608257">
                              <w:marLeft w:val="0"/>
                              <w:marRight w:val="0"/>
                              <w:marTop w:val="0"/>
                              <w:marBottom w:val="0"/>
                              <w:divBdr>
                                <w:top w:val="none" w:sz="0" w:space="0" w:color="auto"/>
                                <w:left w:val="none" w:sz="0" w:space="0" w:color="auto"/>
                                <w:bottom w:val="none" w:sz="0" w:space="0" w:color="auto"/>
                                <w:right w:val="none" w:sz="0" w:space="0" w:color="auto"/>
                              </w:divBdr>
                              <w:divsChild>
                                <w:div w:id="1092817938">
                                  <w:marLeft w:val="0"/>
                                  <w:marRight w:val="0"/>
                                  <w:marTop w:val="0"/>
                                  <w:marBottom w:val="0"/>
                                  <w:divBdr>
                                    <w:top w:val="none" w:sz="0" w:space="0" w:color="auto"/>
                                    <w:left w:val="none" w:sz="0" w:space="0" w:color="auto"/>
                                    <w:bottom w:val="none" w:sz="0" w:space="0" w:color="auto"/>
                                    <w:right w:val="none" w:sz="0" w:space="0" w:color="auto"/>
                                  </w:divBdr>
                                  <w:divsChild>
                                    <w:div w:id="80393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603708">
                          <w:marLeft w:val="0"/>
                          <w:marRight w:val="0"/>
                          <w:marTop w:val="0"/>
                          <w:marBottom w:val="0"/>
                          <w:divBdr>
                            <w:top w:val="none" w:sz="0" w:space="0" w:color="auto"/>
                            <w:left w:val="none" w:sz="0" w:space="0" w:color="auto"/>
                            <w:bottom w:val="none" w:sz="0" w:space="0" w:color="auto"/>
                            <w:right w:val="none" w:sz="0" w:space="0" w:color="auto"/>
                          </w:divBdr>
                          <w:divsChild>
                            <w:div w:id="2102751675">
                              <w:marLeft w:val="0"/>
                              <w:marRight w:val="0"/>
                              <w:marTop w:val="0"/>
                              <w:marBottom w:val="0"/>
                              <w:divBdr>
                                <w:top w:val="none" w:sz="0" w:space="0" w:color="auto"/>
                                <w:left w:val="none" w:sz="0" w:space="0" w:color="auto"/>
                                <w:bottom w:val="none" w:sz="0" w:space="0" w:color="auto"/>
                                <w:right w:val="none" w:sz="0" w:space="0" w:color="auto"/>
                              </w:divBdr>
                              <w:divsChild>
                                <w:div w:id="10126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131948">
      <w:bodyDiv w:val="1"/>
      <w:marLeft w:val="0"/>
      <w:marRight w:val="0"/>
      <w:marTop w:val="0"/>
      <w:marBottom w:val="0"/>
      <w:divBdr>
        <w:top w:val="none" w:sz="0" w:space="0" w:color="auto"/>
        <w:left w:val="none" w:sz="0" w:space="0" w:color="auto"/>
        <w:bottom w:val="none" w:sz="0" w:space="0" w:color="auto"/>
        <w:right w:val="none" w:sz="0" w:space="0" w:color="auto"/>
      </w:divBdr>
      <w:divsChild>
        <w:div w:id="1524787429">
          <w:marLeft w:val="0"/>
          <w:marRight w:val="0"/>
          <w:marTop w:val="0"/>
          <w:marBottom w:val="0"/>
          <w:divBdr>
            <w:top w:val="none" w:sz="0" w:space="0" w:color="auto"/>
            <w:left w:val="none" w:sz="0" w:space="0" w:color="auto"/>
            <w:bottom w:val="none" w:sz="0" w:space="0" w:color="auto"/>
            <w:right w:val="none" w:sz="0" w:space="0" w:color="auto"/>
          </w:divBdr>
          <w:divsChild>
            <w:div w:id="1907687460">
              <w:marLeft w:val="0"/>
              <w:marRight w:val="0"/>
              <w:marTop w:val="0"/>
              <w:marBottom w:val="0"/>
              <w:divBdr>
                <w:top w:val="none" w:sz="0" w:space="0" w:color="auto"/>
                <w:left w:val="none" w:sz="0" w:space="0" w:color="auto"/>
                <w:bottom w:val="none" w:sz="0" w:space="0" w:color="auto"/>
                <w:right w:val="none" w:sz="0" w:space="0" w:color="auto"/>
              </w:divBdr>
              <w:divsChild>
                <w:div w:id="2146192639">
                  <w:marLeft w:val="0"/>
                  <w:marRight w:val="0"/>
                  <w:marTop w:val="0"/>
                  <w:marBottom w:val="0"/>
                  <w:divBdr>
                    <w:top w:val="none" w:sz="0" w:space="0" w:color="auto"/>
                    <w:left w:val="none" w:sz="0" w:space="0" w:color="auto"/>
                    <w:bottom w:val="none" w:sz="0" w:space="0" w:color="auto"/>
                    <w:right w:val="none" w:sz="0" w:space="0" w:color="auto"/>
                  </w:divBdr>
                  <w:divsChild>
                    <w:div w:id="2013413314">
                      <w:marLeft w:val="0"/>
                      <w:marRight w:val="0"/>
                      <w:marTop w:val="0"/>
                      <w:marBottom w:val="0"/>
                      <w:divBdr>
                        <w:top w:val="none" w:sz="0" w:space="0" w:color="auto"/>
                        <w:left w:val="none" w:sz="0" w:space="0" w:color="auto"/>
                        <w:bottom w:val="none" w:sz="0" w:space="0" w:color="auto"/>
                        <w:right w:val="none" w:sz="0" w:space="0" w:color="auto"/>
                      </w:divBdr>
                      <w:divsChild>
                        <w:div w:id="69349648">
                          <w:marLeft w:val="0"/>
                          <w:marRight w:val="0"/>
                          <w:marTop w:val="0"/>
                          <w:marBottom w:val="0"/>
                          <w:divBdr>
                            <w:top w:val="none" w:sz="0" w:space="0" w:color="auto"/>
                            <w:left w:val="none" w:sz="0" w:space="0" w:color="auto"/>
                            <w:bottom w:val="none" w:sz="0" w:space="0" w:color="auto"/>
                            <w:right w:val="none" w:sz="0" w:space="0" w:color="auto"/>
                          </w:divBdr>
                          <w:divsChild>
                            <w:div w:id="183905046">
                              <w:marLeft w:val="0"/>
                              <w:marRight w:val="0"/>
                              <w:marTop w:val="0"/>
                              <w:marBottom w:val="0"/>
                              <w:divBdr>
                                <w:top w:val="none" w:sz="0" w:space="0" w:color="auto"/>
                                <w:left w:val="none" w:sz="0" w:space="0" w:color="auto"/>
                                <w:bottom w:val="none" w:sz="0" w:space="0" w:color="auto"/>
                                <w:right w:val="none" w:sz="0" w:space="0" w:color="auto"/>
                              </w:divBdr>
                              <w:divsChild>
                                <w:div w:id="938296338">
                                  <w:marLeft w:val="0"/>
                                  <w:marRight w:val="0"/>
                                  <w:marTop w:val="0"/>
                                  <w:marBottom w:val="0"/>
                                  <w:divBdr>
                                    <w:top w:val="none" w:sz="0" w:space="0" w:color="auto"/>
                                    <w:left w:val="none" w:sz="0" w:space="0" w:color="auto"/>
                                    <w:bottom w:val="none" w:sz="0" w:space="0" w:color="auto"/>
                                    <w:right w:val="none" w:sz="0" w:space="0" w:color="auto"/>
                                  </w:divBdr>
                                  <w:divsChild>
                                    <w:div w:id="137292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917684">
                          <w:marLeft w:val="0"/>
                          <w:marRight w:val="0"/>
                          <w:marTop w:val="0"/>
                          <w:marBottom w:val="0"/>
                          <w:divBdr>
                            <w:top w:val="none" w:sz="0" w:space="0" w:color="auto"/>
                            <w:left w:val="none" w:sz="0" w:space="0" w:color="auto"/>
                            <w:bottom w:val="none" w:sz="0" w:space="0" w:color="auto"/>
                            <w:right w:val="none" w:sz="0" w:space="0" w:color="auto"/>
                          </w:divBdr>
                          <w:divsChild>
                            <w:div w:id="1724326250">
                              <w:marLeft w:val="0"/>
                              <w:marRight w:val="0"/>
                              <w:marTop w:val="0"/>
                              <w:marBottom w:val="0"/>
                              <w:divBdr>
                                <w:top w:val="none" w:sz="0" w:space="0" w:color="auto"/>
                                <w:left w:val="none" w:sz="0" w:space="0" w:color="auto"/>
                                <w:bottom w:val="none" w:sz="0" w:space="0" w:color="auto"/>
                                <w:right w:val="none" w:sz="0" w:space="0" w:color="auto"/>
                              </w:divBdr>
                              <w:divsChild>
                                <w:div w:id="110677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3320361">
      <w:bodyDiv w:val="1"/>
      <w:marLeft w:val="0"/>
      <w:marRight w:val="0"/>
      <w:marTop w:val="0"/>
      <w:marBottom w:val="0"/>
      <w:divBdr>
        <w:top w:val="none" w:sz="0" w:space="0" w:color="auto"/>
        <w:left w:val="none" w:sz="0" w:space="0" w:color="auto"/>
        <w:bottom w:val="none" w:sz="0" w:space="0" w:color="auto"/>
        <w:right w:val="none" w:sz="0" w:space="0" w:color="auto"/>
      </w:divBdr>
    </w:div>
    <w:div w:id="1346859230">
      <w:bodyDiv w:val="1"/>
      <w:marLeft w:val="0"/>
      <w:marRight w:val="0"/>
      <w:marTop w:val="0"/>
      <w:marBottom w:val="0"/>
      <w:divBdr>
        <w:top w:val="none" w:sz="0" w:space="0" w:color="auto"/>
        <w:left w:val="none" w:sz="0" w:space="0" w:color="auto"/>
        <w:bottom w:val="none" w:sz="0" w:space="0" w:color="auto"/>
        <w:right w:val="none" w:sz="0" w:space="0" w:color="auto"/>
      </w:divBdr>
    </w:div>
    <w:div w:id="1388843382">
      <w:bodyDiv w:val="1"/>
      <w:marLeft w:val="0"/>
      <w:marRight w:val="0"/>
      <w:marTop w:val="0"/>
      <w:marBottom w:val="0"/>
      <w:divBdr>
        <w:top w:val="none" w:sz="0" w:space="0" w:color="auto"/>
        <w:left w:val="none" w:sz="0" w:space="0" w:color="auto"/>
        <w:bottom w:val="none" w:sz="0" w:space="0" w:color="auto"/>
        <w:right w:val="none" w:sz="0" w:space="0" w:color="auto"/>
      </w:divBdr>
      <w:divsChild>
        <w:div w:id="1594045334">
          <w:marLeft w:val="0"/>
          <w:marRight w:val="0"/>
          <w:marTop w:val="0"/>
          <w:marBottom w:val="0"/>
          <w:divBdr>
            <w:top w:val="none" w:sz="0" w:space="0" w:color="auto"/>
            <w:left w:val="none" w:sz="0" w:space="0" w:color="auto"/>
            <w:bottom w:val="none" w:sz="0" w:space="0" w:color="auto"/>
            <w:right w:val="none" w:sz="0" w:space="0" w:color="auto"/>
          </w:divBdr>
          <w:divsChild>
            <w:div w:id="19949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573925">
      <w:bodyDiv w:val="1"/>
      <w:marLeft w:val="0"/>
      <w:marRight w:val="0"/>
      <w:marTop w:val="0"/>
      <w:marBottom w:val="0"/>
      <w:divBdr>
        <w:top w:val="none" w:sz="0" w:space="0" w:color="auto"/>
        <w:left w:val="none" w:sz="0" w:space="0" w:color="auto"/>
        <w:bottom w:val="none" w:sz="0" w:space="0" w:color="auto"/>
        <w:right w:val="none" w:sz="0" w:space="0" w:color="auto"/>
      </w:divBdr>
    </w:div>
    <w:div w:id="1537238156">
      <w:bodyDiv w:val="1"/>
      <w:marLeft w:val="0"/>
      <w:marRight w:val="0"/>
      <w:marTop w:val="0"/>
      <w:marBottom w:val="0"/>
      <w:divBdr>
        <w:top w:val="none" w:sz="0" w:space="0" w:color="auto"/>
        <w:left w:val="none" w:sz="0" w:space="0" w:color="auto"/>
        <w:bottom w:val="none" w:sz="0" w:space="0" w:color="auto"/>
        <w:right w:val="none" w:sz="0" w:space="0" w:color="auto"/>
      </w:divBdr>
    </w:div>
    <w:div w:id="1542325288">
      <w:bodyDiv w:val="1"/>
      <w:marLeft w:val="0"/>
      <w:marRight w:val="0"/>
      <w:marTop w:val="0"/>
      <w:marBottom w:val="0"/>
      <w:divBdr>
        <w:top w:val="none" w:sz="0" w:space="0" w:color="auto"/>
        <w:left w:val="none" w:sz="0" w:space="0" w:color="auto"/>
        <w:bottom w:val="none" w:sz="0" w:space="0" w:color="auto"/>
        <w:right w:val="none" w:sz="0" w:space="0" w:color="auto"/>
      </w:divBdr>
    </w:div>
    <w:div w:id="1577126607">
      <w:bodyDiv w:val="1"/>
      <w:marLeft w:val="0"/>
      <w:marRight w:val="0"/>
      <w:marTop w:val="0"/>
      <w:marBottom w:val="0"/>
      <w:divBdr>
        <w:top w:val="none" w:sz="0" w:space="0" w:color="auto"/>
        <w:left w:val="none" w:sz="0" w:space="0" w:color="auto"/>
        <w:bottom w:val="none" w:sz="0" w:space="0" w:color="auto"/>
        <w:right w:val="none" w:sz="0" w:space="0" w:color="auto"/>
      </w:divBdr>
    </w:div>
    <w:div w:id="1582982203">
      <w:bodyDiv w:val="1"/>
      <w:marLeft w:val="0"/>
      <w:marRight w:val="0"/>
      <w:marTop w:val="0"/>
      <w:marBottom w:val="0"/>
      <w:divBdr>
        <w:top w:val="none" w:sz="0" w:space="0" w:color="auto"/>
        <w:left w:val="none" w:sz="0" w:space="0" w:color="auto"/>
        <w:bottom w:val="none" w:sz="0" w:space="0" w:color="auto"/>
        <w:right w:val="none" w:sz="0" w:space="0" w:color="auto"/>
      </w:divBdr>
    </w:div>
    <w:div w:id="1602880447">
      <w:bodyDiv w:val="1"/>
      <w:marLeft w:val="0"/>
      <w:marRight w:val="0"/>
      <w:marTop w:val="0"/>
      <w:marBottom w:val="0"/>
      <w:divBdr>
        <w:top w:val="none" w:sz="0" w:space="0" w:color="auto"/>
        <w:left w:val="none" w:sz="0" w:space="0" w:color="auto"/>
        <w:bottom w:val="none" w:sz="0" w:space="0" w:color="auto"/>
        <w:right w:val="none" w:sz="0" w:space="0" w:color="auto"/>
      </w:divBdr>
    </w:div>
    <w:div w:id="1619530418">
      <w:bodyDiv w:val="1"/>
      <w:marLeft w:val="0"/>
      <w:marRight w:val="0"/>
      <w:marTop w:val="0"/>
      <w:marBottom w:val="0"/>
      <w:divBdr>
        <w:top w:val="none" w:sz="0" w:space="0" w:color="auto"/>
        <w:left w:val="none" w:sz="0" w:space="0" w:color="auto"/>
        <w:bottom w:val="none" w:sz="0" w:space="0" w:color="auto"/>
        <w:right w:val="none" w:sz="0" w:space="0" w:color="auto"/>
      </w:divBdr>
    </w:div>
    <w:div w:id="1707682328">
      <w:bodyDiv w:val="1"/>
      <w:marLeft w:val="0"/>
      <w:marRight w:val="0"/>
      <w:marTop w:val="0"/>
      <w:marBottom w:val="0"/>
      <w:divBdr>
        <w:top w:val="none" w:sz="0" w:space="0" w:color="auto"/>
        <w:left w:val="none" w:sz="0" w:space="0" w:color="auto"/>
        <w:bottom w:val="none" w:sz="0" w:space="0" w:color="auto"/>
        <w:right w:val="none" w:sz="0" w:space="0" w:color="auto"/>
      </w:divBdr>
    </w:div>
    <w:div w:id="1759134546">
      <w:bodyDiv w:val="1"/>
      <w:marLeft w:val="0"/>
      <w:marRight w:val="0"/>
      <w:marTop w:val="0"/>
      <w:marBottom w:val="0"/>
      <w:divBdr>
        <w:top w:val="none" w:sz="0" w:space="0" w:color="auto"/>
        <w:left w:val="none" w:sz="0" w:space="0" w:color="auto"/>
        <w:bottom w:val="none" w:sz="0" w:space="0" w:color="auto"/>
        <w:right w:val="none" w:sz="0" w:space="0" w:color="auto"/>
      </w:divBdr>
      <w:divsChild>
        <w:div w:id="489492313">
          <w:marLeft w:val="0"/>
          <w:marRight w:val="0"/>
          <w:marTop w:val="0"/>
          <w:marBottom w:val="0"/>
          <w:divBdr>
            <w:top w:val="none" w:sz="0" w:space="0" w:color="auto"/>
            <w:left w:val="none" w:sz="0" w:space="0" w:color="auto"/>
            <w:bottom w:val="none" w:sz="0" w:space="0" w:color="auto"/>
            <w:right w:val="none" w:sz="0" w:space="0" w:color="auto"/>
          </w:divBdr>
          <w:divsChild>
            <w:div w:id="156266331">
              <w:marLeft w:val="0"/>
              <w:marRight w:val="0"/>
              <w:marTop w:val="0"/>
              <w:marBottom w:val="0"/>
              <w:divBdr>
                <w:top w:val="none" w:sz="0" w:space="0" w:color="auto"/>
                <w:left w:val="none" w:sz="0" w:space="0" w:color="auto"/>
                <w:bottom w:val="none" w:sz="0" w:space="0" w:color="auto"/>
                <w:right w:val="none" w:sz="0" w:space="0" w:color="auto"/>
              </w:divBdr>
              <w:divsChild>
                <w:div w:id="1427535954">
                  <w:marLeft w:val="0"/>
                  <w:marRight w:val="0"/>
                  <w:marTop w:val="0"/>
                  <w:marBottom w:val="0"/>
                  <w:divBdr>
                    <w:top w:val="none" w:sz="0" w:space="0" w:color="auto"/>
                    <w:left w:val="none" w:sz="0" w:space="0" w:color="auto"/>
                    <w:bottom w:val="none" w:sz="0" w:space="0" w:color="auto"/>
                    <w:right w:val="none" w:sz="0" w:space="0" w:color="auto"/>
                  </w:divBdr>
                  <w:divsChild>
                    <w:div w:id="672806107">
                      <w:marLeft w:val="0"/>
                      <w:marRight w:val="0"/>
                      <w:marTop w:val="0"/>
                      <w:marBottom w:val="0"/>
                      <w:divBdr>
                        <w:top w:val="none" w:sz="0" w:space="0" w:color="auto"/>
                        <w:left w:val="none" w:sz="0" w:space="0" w:color="auto"/>
                        <w:bottom w:val="none" w:sz="0" w:space="0" w:color="auto"/>
                        <w:right w:val="none" w:sz="0" w:space="0" w:color="auto"/>
                      </w:divBdr>
                      <w:divsChild>
                        <w:div w:id="1505054987">
                          <w:marLeft w:val="0"/>
                          <w:marRight w:val="0"/>
                          <w:marTop w:val="0"/>
                          <w:marBottom w:val="0"/>
                          <w:divBdr>
                            <w:top w:val="none" w:sz="0" w:space="0" w:color="auto"/>
                            <w:left w:val="none" w:sz="0" w:space="0" w:color="auto"/>
                            <w:bottom w:val="none" w:sz="0" w:space="0" w:color="auto"/>
                            <w:right w:val="none" w:sz="0" w:space="0" w:color="auto"/>
                          </w:divBdr>
                          <w:divsChild>
                            <w:div w:id="932931530">
                              <w:marLeft w:val="0"/>
                              <w:marRight w:val="0"/>
                              <w:marTop w:val="0"/>
                              <w:marBottom w:val="0"/>
                              <w:divBdr>
                                <w:top w:val="none" w:sz="0" w:space="0" w:color="auto"/>
                                <w:left w:val="none" w:sz="0" w:space="0" w:color="auto"/>
                                <w:bottom w:val="none" w:sz="0" w:space="0" w:color="auto"/>
                                <w:right w:val="none" w:sz="0" w:space="0" w:color="auto"/>
                              </w:divBdr>
                              <w:divsChild>
                                <w:div w:id="1467090525">
                                  <w:marLeft w:val="0"/>
                                  <w:marRight w:val="0"/>
                                  <w:marTop w:val="0"/>
                                  <w:marBottom w:val="0"/>
                                  <w:divBdr>
                                    <w:top w:val="none" w:sz="0" w:space="0" w:color="auto"/>
                                    <w:left w:val="none" w:sz="0" w:space="0" w:color="auto"/>
                                    <w:bottom w:val="none" w:sz="0" w:space="0" w:color="auto"/>
                                    <w:right w:val="none" w:sz="0" w:space="0" w:color="auto"/>
                                  </w:divBdr>
                                  <w:divsChild>
                                    <w:div w:id="84705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43421">
                          <w:marLeft w:val="0"/>
                          <w:marRight w:val="0"/>
                          <w:marTop w:val="0"/>
                          <w:marBottom w:val="0"/>
                          <w:divBdr>
                            <w:top w:val="none" w:sz="0" w:space="0" w:color="auto"/>
                            <w:left w:val="none" w:sz="0" w:space="0" w:color="auto"/>
                            <w:bottom w:val="none" w:sz="0" w:space="0" w:color="auto"/>
                            <w:right w:val="none" w:sz="0" w:space="0" w:color="auto"/>
                          </w:divBdr>
                          <w:divsChild>
                            <w:div w:id="1843471395">
                              <w:marLeft w:val="0"/>
                              <w:marRight w:val="0"/>
                              <w:marTop w:val="0"/>
                              <w:marBottom w:val="0"/>
                              <w:divBdr>
                                <w:top w:val="none" w:sz="0" w:space="0" w:color="auto"/>
                                <w:left w:val="none" w:sz="0" w:space="0" w:color="auto"/>
                                <w:bottom w:val="none" w:sz="0" w:space="0" w:color="auto"/>
                                <w:right w:val="none" w:sz="0" w:space="0" w:color="auto"/>
                              </w:divBdr>
                              <w:divsChild>
                                <w:div w:id="6218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344899">
      <w:bodyDiv w:val="1"/>
      <w:marLeft w:val="0"/>
      <w:marRight w:val="0"/>
      <w:marTop w:val="0"/>
      <w:marBottom w:val="0"/>
      <w:divBdr>
        <w:top w:val="none" w:sz="0" w:space="0" w:color="auto"/>
        <w:left w:val="none" w:sz="0" w:space="0" w:color="auto"/>
        <w:bottom w:val="none" w:sz="0" w:space="0" w:color="auto"/>
        <w:right w:val="none" w:sz="0" w:space="0" w:color="auto"/>
      </w:divBdr>
    </w:div>
    <w:div w:id="1894924958">
      <w:bodyDiv w:val="1"/>
      <w:marLeft w:val="0"/>
      <w:marRight w:val="0"/>
      <w:marTop w:val="0"/>
      <w:marBottom w:val="0"/>
      <w:divBdr>
        <w:top w:val="none" w:sz="0" w:space="0" w:color="auto"/>
        <w:left w:val="none" w:sz="0" w:space="0" w:color="auto"/>
        <w:bottom w:val="none" w:sz="0" w:space="0" w:color="auto"/>
        <w:right w:val="none" w:sz="0" w:space="0" w:color="auto"/>
      </w:divBdr>
    </w:div>
    <w:div w:id="1939437538">
      <w:bodyDiv w:val="1"/>
      <w:marLeft w:val="0"/>
      <w:marRight w:val="0"/>
      <w:marTop w:val="0"/>
      <w:marBottom w:val="0"/>
      <w:divBdr>
        <w:top w:val="none" w:sz="0" w:space="0" w:color="auto"/>
        <w:left w:val="none" w:sz="0" w:space="0" w:color="auto"/>
        <w:bottom w:val="none" w:sz="0" w:space="0" w:color="auto"/>
        <w:right w:val="none" w:sz="0" w:space="0" w:color="auto"/>
      </w:divBdr>
    </w:div>
    <w:div w:id="1965843257">
      <w:bodyDiv w:val="1"/>
      <w:marLeft w:val="0"/>
      <w:marRight w:val="0"/>
      <w:marTop w:val="0"/>
      <w:marBottom w:val="0"/>
      <w:divBdr>
        <w:top w:val="none" w:sz="0" w:space="0" w:color="auto"/>
        <w:left w:val="none" w:sz="0" w:space="0" w:color="auto"/>
        <w:bottom w:val="none" w:sz="0" w:space="0" w:color="auto"/>
        <w:right w:val="none" w:sz="0" w:space="0" w:color="auto"/>
      </w:divBdr>
      <w:divsChild>
        <w:div w:id="1109276512">
          <w:marLeft w:val="0"/>
          <w:marRight w:val="0"/>
          <w:marTop w:val="0"/>
          <w:marBottom w:val="0"/>
          <w:divBdr>
            <w:top w:val="none" w:sz="0" w:space="0" w:color="auto"/>
            <w:left w:val="none" w:sz="0" w:space="0" w:color="auto"/>
            <w:bottom w:val="none" w:sz="0" w:space="0" w:color="auto"/>
            <w:right w:val="none" w:sz="0" w:space="0" w:color="auto"/>
          </w:divBdr>
          <w:divsChild>
            <w:div w:id="1269004685">
              <w:marLeft w:val="0"/>
              <w:marRight w:val="0"/>
              <w:marTop w:val="0"/>
              <w:marBottom w:val="0"/>
              <w:divBdr>
                <w:top w:val="none" w:sz="0" w:space="0" w:color="auto"/>
                <w:left w:val="none" w:sz="0" w:space="0" w:color="auto"/>
                <w:bottom w:val="none" w:sz="0" w:space="0" w:color="auto"/>
                <w:right w:val="none" w:sz="0" w:space="0" w:color="auto"/>
              </w:divBdr>
              <w:divsChild>
                <w:div w:id="1547763807">
                  <w:marLeft w:val="0"/>
                  <w:marRight w:val="0"/>
                  <w:marTop w:val="0"/>
                  <w:marBottom w:val="0"/>
                  <w:divBdr>
                    <w:top w:val="none" w:sz="0" w:space="0" w:color="auto"/>
                    <w:left w:val="none" w:sz="0" w:space="0" w:color="auto"/>
                    <w:bottom w:val="none" w:sz="0" w:space="0" w:color="auto"/>
                    <w:right w:val="none" w:sz="0" w:space="0" w:color="auto"/>
                  </w:divBdr>
                  <w:divsChild>
                    <w:div w:id="1869250291">
                      <w:marLeft w:val="0"/>
                      <w:marRight w:val="0"/>
                      <w:marTop w:val="0"/>
                      <w:marBottom w:val="0"/>
                      <w:divBdr>
                        <w:top w:val="none" w:sz="0" w:space="0" w:color="auto"/>
                        <w:left w:val="none" w:sz="0" w:space="0" w:color="auto"/>
                        <w:bottom w:val="none" w:sz="0" w:space="0" w:color="auto"/>
                        <w:right w:val="none" w:sz="0" w:space="0" w:color="auto"/>
                      </w:divBdr>
                      <w:divsChild>
                        <w:div w:id="1603995619">
                          <w:marLeft w:val="0"/>
                          <w:marRight w:val="0"/>
                          <w:marTop w:val="0"/>
                          <w:marBottom w:val="0"/>
                          <w:divBdr>
                            <w:top w:val="none" w:sz="0" w:space="0" w:color="auto"/>
                            <w:left w:val="none" w:sz="0" w:space="0" w:color="auto"/>
                            <w:bottom w:val="none" w:sz="0" w:space="0" w:color="auto"/>
                            <w:right w:val="none" w:sz="0" w:space="0" w:color="auto"/>
                          </w:divBdr>
                          <w:divsChild>
                            <w:div w:id="596787344">
                              <w:marLeft w:val="0"/>
                              <w:marRight w:val="0"/>
                              <w:marTop w:val="0"/>
                              <w:marBottom w:val="0"/>
                              <w:divBdr>
                                <w:top w:val="none" w:sz="0" w:space="0" w:color="auto"/>
                                <w:left w:val="none" w:sz="0" w:space="0" w:color="auto"/>
                                <w:bottom w:val="none" w:sz="0" w:space="0" w:color="auto"/>
                                <w:right w:val="none" w:sz="0" w:space="0" w:color="auto"/>
                              </w:divBdr>
                              <w:divsChild>
                                <w:div w:id="1075469169">
                                  <w:marLeft w:val="0"/>
                                  <w:marRight w:val="0"/>
                                  <w:marTop w:val="0"/>
                                  <w:marBottom w:val="0"/>
                                  <w:divBdr>
                                    <w:top w:val="none" w:sz="0" w:space="0" w:color="auto"/>
                                    <w:left w:val="none" w:sz="0" w:space="0" w:color="auto"/>
                                    <w:bottom w:val="none" w:sz="0" w:space="0" w:color="auto"/>
                                    <w:right w:val="none" w:sz="0" w:space="0" w:color="auto"/>
                                  </w:divBdr>
                                  <w:divsChild>
                                    <w:div w:id="110677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61255">
                          <w:marLeft w:val="0"/>
                          <w:marRight w:val="0"/>
                          <w:marTop w:val="0"/>
                          <w:marBottom w:val="0"/>
                          <w:divBdr>
                            <w:top w:val="none" w:sz="0" w:space="0" w:color="auto"/>
                            <w:left w:val="none" w:sz="0" w:space="0" w:color="auto"/>
                            <w:bottom w:val="none" w:sz="0" w:space="0" w:color="auto"/>
                            <w:right w:val="none" w:sz="0" w:space="0" w:color="auto"/>
                          </w:divBdr>
                          <w:divsChild>
                            <w:div w:id="1400904126">
                              <w:marLeft w:val="0"/>
                              <w:marRight w:val="0"/>
                              <w:marTop w:val="0"/>
                              <w:marBottom w:val="0"/>
                              <w:divBdr>
                                <w:top w:val="none" w:sz="0" w:space="0" w:color="auto"/>
                                <w:left w:val="none" w:sz="0" w:space="0" w:color="auto"/>
                                <w:bottom w:val="none" w:sz="0" w:space="0" w:color="auto"/>
                                <w:right w:val="none" w:sz="0" w:space="0" w:color="auto"/>
                              </w:divBdr>
                              <w:divsChild>
                                <w:div w:id="159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058397">
      <w:bodyDiv w:val="1"/>
      <w:marLeft w:val="0"/>
      <w:marRight w:val="0"/>
      <w:marTop w:val="0"/>
      <w:marBottom w:val="0"/>
      <w:divBdr>
        <w:top w:val="none" w:sz="0" w:space="0" w:color="auto"/>
        <w:left w:val="none" w:sz="0" w:space="0" w:color="auto"/>
        <w:bottom w:val="none" w:sz="0" w:space="0" w:color="auto"/>
        <w:right w:val="none" w:sz="0" w:space="0" w:color="auto"/>
      </w:divBdr>
    </w:div>
    <w:div w:id="202540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17</Pages>
  <Words>5277</Words>
  <Characters>30081</Characters>
  <Application>Microsoft Office Word</Application>
  <DocSecurity>0</DocSecurity>
  <Lines>250</Lines>
  <Paragraphs>70</Paragraphs>
  <ScaleCrop>false</ScaleCrop>
  <Company/>
  <LinksUpToDate>false</LinksUpToDate>
  <CharactersWithSpaces>35288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Seema Deoli</dc:creator>
  <cp:keywords/>
  <dc:description/>
  <cp:lastModifiedBy>Editor-22</cp:lastModifiedBy>
  <cp:revision>270</cp:revision>
  <dcterms:created xsi:type="dcterms:W3CDTF">2025-03-31T05:18:00Z</dcterms:created>
  <dcterms:modified xsi:type="dcterms:W3CDTF">2025-06-07T12:22:00Z</dcterms:modified>
</cp:coreProperties>
</file>