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F623E" w14:textId="77777777" w:rsidR="00F35BF2" w:rsidRDefault="00B86A8A">
      <w:pPr>
        <w:jc w:val="center"/>
        <w:rPr>
          <w:b/>
          <w:bCs/>
          <w:i/>
          <w:iCs/>
        </w:rPr>
      </w:pPr>
      <w:bookmarkStart w:id="0" w:name="_GoBack"/>
      <w:r>
        <w:rPr>
          <w:b/>
          <w:bCs/>
        </w:rPr>
        <w:t>CONCENTRATION-DEPENDENT EFFECTS OF C</w:t>
      </w:r>
      <w:r>
        <w:rPr>
          <w:b/>
          <w:bCs/>
          <w:lang w:val="en-US"/>
        </w:rPr>
        <w:t>u</w:t>
      </w:r>
      <w:r>
        <w:rPr>
          <w:b/>
          <w:bCs/>
        </w:rPr>
        <w:t xml:space="preserve">O NANOPARTICLES ON SURVIVAL, BIOMASS AND REPRODUCTION IN </w:t>
      </w:r>
      <w:r>
        <w:rPr>
          <w:b/>
          <w:bCs/>
          <w:i/>
          <w:iCs/>
        </w:rPr>
        <w:t>DRAWIDA WILLSI</w:t>
      </w:r>
    </w:p>
    <w:p w14:paraId="7245E1CE" w14:textId="77233AA5" w:rsidR="00FB3E77" w:rsidRDefault="00FB3E77">
      <w:pPr>
        <w:jc w:val="center"/>
        <w:rPr>
          <w:b/>
          <w:bCs/>
        </w:rPr>
      </w:pPr>
    </w:p>
    <w:p w14:paraId="5498B91E" w14:textId="77777777" w:rsidR="00F35BF2" w:rsidRDefault="00B86A8A">
      <w:pPr>
        <w:rPr>
          <w:b/>
          <w:bCs/>
        </w:rPr>
      </w:pPr>
      <w:r>
        <w:rPr>
          <w:b/>
          <w:bCs/>
        </w:rPr>
        <w:t>Abstract</w:t>
      </w:r>
    </w:p>
    <w:p w14:paraId="02029084" w14:textId="77777777" w:rsidR="00F35BF2" w:rsidRDefault="00B86A8A">
      <w:pPr>
        <w:jc w:val="both"/>
      </w:pPr>
      <w:r>
        <w:t xml:space="preserve">The </w:t>
      </w:r>
      <w:r>
        <w:t>increasing use of copper oxide nanoparticles (</w:t>
      </w:r>
      <w:proofErr w:type="spellStart"/>
      <w:r>
        <w:t>CuO</w:t>
      </w:r>
      <w:proofErr w:type="spellEnd"/>
      <w:r>
        <w:t xml:space="preserve"> NPs) in agriculture and consumer products has raised concerns regarding their environmental impact, particularly on soil-dwelling organisms. This study evaluates the ecotoxicological effects of </w:t>
      </w:r>
      <w:proofErr w:type="spellStart"/>
      <w:r>
        <w:t>CuO</w:t>
      </w:r>
      <w:proofErr w:type="spellEnd"/>
      <w:r>
        <w:t xml:space="preserve"> NPs on </w:t>
      </w:r>
      <w:proofErr w:type="spellStart"/>
      <w:r>
        <w:rPr>
          <w:i/>
          <w:iCs/>
        </w:rPr>
        <w:t>D</w:t>
      </w:r>
      <w:r>
        <w:rPr>
          <w:i/>
          <w:iCs/>
        </w:rPr>
        <w:t>rawida</w:t>
      </w:r>
      <w:proofErr w:type="spellEnd"/>
      <w:r>
        <w:rPr>
          <w:i/>
          <w:iCs/>
        </w:rPr>
        <w:t xml:space="preserve"> </w:t>
      </w:r>
      <w:proofErr w:type="spellStart"/>
      <w:r>
        <w:rPr>
          <w:i/>
          <w:iCs/>
        </w:rPr>
        <w:t>willsi</w:t>
      </w:r>
      <w:proofErr w:type="spellEnd"/>
      <w:r>
        <w:t xml:space="preserve"> (</w:t>
      </w:r>
      <w:proofErr w:type="spellStart"/>
      <w:r>
        <w:t>Michaelsen</w:t>
      </w:r>
      <w:proofErr w:type="spellEnd"/>
      <w:r>
        <w:t xml:space="preserve">), a dominant earthworm species in Indian croplands and a vital indicator of soil health. Earthworms were exposed to varying concentrations of </w:t>
      </w:r>
      <w:proofErr w:type="spellStart"/>
      <w:r>
        <w:t>CuO</w:t>
      </w:r>
      <w:proofErr w:type="spellEnd"/>
      <w:r>
        <w:t xml:space="preserve"> NPs (0, 200, 400, 600, 800, and 1000 mg/kg soil) for 28 </w:t>
      </w:r>
      <w:proofErr w:type="spellStart"/>
      <w:proofErr w:type="gramStart"/>
      <w:r>
        <w:t>days.Observations</w:t>
      </w:r>
      <w:proofErr w:type="spellEnd"/>
      <w:proofErr w:type="gramEnd"/>
      <w:r>
        <w:t xml:space="preserve"> were recor</w:t>
      </w:r>
      <w:r>
        <w:t>ded at 7-day interval throughout the exposure period. Results revealed a significant, concentration-dependent decline in survival, biomass, and reproduction rate. While lower concentrations (≤400 mg/kg) exhibited minimal toxicity, higher concentrations cau</w:t>
      </w:r>
      <w:r>
        <w:t xml:space="preserve">sed substantial reductions in cocoon production and led to complete mortality at 1000 mg/kg. These findings highlight the potential ecological risks associated with </w:t>
      </w:r>
      <w:proofErr w:type="spellStart"/>
      <w:r>
        <w:t>CuO</w:t>
      </w:r>
      <w:proofErr w:type="spellEnd"/>
      <w:r>
        <w:t xml:space="preserve"> NP contamination in agricultural soils and emphasize the need for cautious application </w:t>
      </w:r>
      <w:r>
        <w:t>and disposal practices.</w:t>
      </w:r>
    </w:p>
    <w:p w14:paraId="376EB88C" w14:textId="77777777" w:rsidR="00F35BF2" w:rsidRDefault="00B86A8A">
      <w:pPr>
        <w:rPr>
          <w:b/>
          <w:bCs/>
        </w:rPr>
      </w:pPr>
      <w:r>
        <w:rPr>
          <w:b/>
          <w:bCs/>
        </w:rPr>
        <w:t xml:space="preserve">Keywords: </w:t>
      </w:r>
      <w:proofErr w:type="spellStart"/>
      <w:r>
        <w:t>CuO</w:t>
      </w:r>
      <w:proofErr w:type="spellEnd"/>
      <w:r>
        <w:t xml:space="preserve"> nanoparticles, </w:t>
      </w:r>
      <w:proofErr w:type="spellStart"/>
      <w:r>
        <w:rPr>
          <w:i/>
          <w:iCs/>
        </w:rPr>
        <w:t>Drawida</w:t>
      </w:r>
      <w:proofErr w:type="spellEnd"/>
      <w:r>
        <w:rPr>
          <w:i/>
          <w:iCs/>
        </w:rPr>
        <w:t xml:space="preserve"> </w:t>
      </w:r>
      <w:proofErr w:type="spellStart"/>
      <w:r>
        <w:rPr>
          <w:i/>
          <w:iCs/>
        </w:rPr>
        <w:t>willsi</w:t>
      </w:r>
      <w:proofErr w:type="spellEnd"/>
      <w:r>
        <w:t>, earthworm toxicity, reproduction, biomass, soil ecotoxicology, nanoparticle exposure</w:t>
      </w:r>
    </w:p>
    <w:p w14:paraId="2DAAAD3A" w14:textId="77777777" w:rsidR="00F35BF2" w:rsidRDefault="00B86A8A">
      <w:pPr>
        <w:rPr>
          <w:b/>
          <w:bCs/>
        </w:rPr>
      </w:pPr>
      <w:r>
        <w:rPr>
          <w:b/>
          <w:bCs/>
        </w:rPr>
        <w:t>INTRODUCTION</w:t>
      </w:r>
    </w:p>
    <w:p w14:paraId="07C456CD" w14:textId="77777777" w:rsidR="00F35BF2" w:rsidRDefault="00B86A8A">
      <w:pPr>
        <w:jc w:val="both"/>
      </w:pPr>
      <w:r>
        <w:t>Nanotechnology is revolutionizing multiple sectors due to the unique properties of nanopa</w:t>
      </w:r>
      <w:r>
        <w:t xml:space="preserve">rticles (NPs), which typically range from 1 to 100 </w:t>
      </w:r>
      <w:proofErr w:type="spellStart"/>
      <w:r>
        <w:t>nanometers</w:t>
      </w:r>
      <w:proofErr w:type="spellEnd"/>
      <w:r>
        <w:t xml:space="preserve"> in size. Their high surface-area-to-volume ratio enhances chemical reactivity, making them valuable in fields like medicine, agriculture, and materials science. Nanoparticles can be broadly cate</w:t>
      </w:r>
      <w:r>
        <w:t>gorized into several types, including fullerenes, ceramic NPs, polymeric NPs, and metal-based NPs. Among these, metal nanoparticles are of particular concern due to their persistence in the environment and potential long-term ecotoxicological effects (Roya</w:t>
      </w:r>
      <w:r>
        <w:t>l Society and The Royal Academy of Engineering 2004). With the increasing application of metal nanoparticles, including copper oxide nanoparticles (</w:t>
      </w:r>
      <w:proofErr w:type="spellStart"/>
      <w:r>
        <w:t>CuO</w:t>
      </w:r>
      <w:proofErr w:type="spellEnd"/>
      <w:r>
        <w:t xml:space="preserve"> NPs), it is estimated that thousands of tonnes are released into the environment annually through indust</w:t>
      </w:r>
      <w:r>
        <w:t>rial discharge, agricultural practices, and waste mismanagement (Keller 2021; McGillicuddy et al., 2017; Bundschuh et al., 2018). These particles accumulate in soil ecosystems and may interact with soil organisms, potentially disrupting ecological balance.</w:t>
      </w:r>
      <w:r>
        <w:t xml:space="preserve"> The toxicity of nanoparticles is influenced by factors such as concentration, exposure duration, particle stability, and bioaccumulation within tissues.</w:t>
      </w:r>
    </w:p>
    <w:p w14:paraId="1242A9F4" w14:textId="77777777" w:rsidR="00F35BF2" w:rsidRDefault="00B86A8A">
      <w:pPr>
        <w:jc w:val="both"/>
      </w:pPr>
      <w:proofErr w:type="spellStart"/>
      <w:r>
        <w:t>CuO</w:t>
      </w:r>
      <w:proofErr w:type="spellEnd"/>
      <w:r>
        <w:t xml:space="preserve"> nanoparticles are widely used in agriculture due to their strong antimicrobial properties. They ar</w:t>
      </w:r>
      <w:r>
        <w:t xml:space="preserve">e incorporated into fertilizers, insecticides, fungicides, herbicides, and soil amendment agents to enhance crop yield and manage pests (Kora 2022). These applications lead to the </w:t>
      </w:r>
      <w:r>
        <w:lastRenderedPageBreak/>
        <w:t xml:space="preserve">unintentional release of </w:t>
      </w:r>
      <w:proofErr w:type="spellStart"/>
      <w:r>
        <w:t>CuO</w:t>
      </w:r>
      <w:proofErr w:type="spellEnd"/>
      <w:r>
        <w:t xml:space="preserve"> NPs into the soil, where they may interact with</w:t>
      </w:r>
      <w:r>
        <w:t xml:space="preserve"> beneficial soil organisms and alter key biological processes.</w:t>
      </w:r>
    </w:p>
    <w:p w14:paraId="227EA0F4" w14:textId="77777777" w:rsidR="00F35BF2" w:rsidRDefault="00B86A8A">
      <w:pPr>
        <w:jc w:val="both"/>
        <w:rPr>
          <w:i/>
          <w:iCs/>
        </w:rPr>
      </w:pPr>
      <w:r>
        <w:t>Earthworms play a fundamental role in maintaining soil health. Through burrowing and feeding, they improve soil aeration, enhance nutrient cycling, and stimulate microbial activity (Blouin et a</w:t>
      </w:r>
      <w:r>
        <w:t>l., 2013; Boyle et al., 1997). Their castings improve soil structure and fertility, supporting plant growth and soil biodiversity (</w:t>
      </w:r>
      <w:proofErr w:type="spellStart"/>
      <w:r>
        <w:t>Nahmani</w:t>
      </w:r>
      <w:proofErr w:type="spellEnd"/>
      <w:r>
        <w:t xml:space="preserve"> and Rossi 2003). As they inhabit the upper layers of the soil and consume large amounts of organic matter, earthworms</w:t>
      </w:r>
      <w:r>
        <w:t xml:space="preserve"> are often exposed to contaminants and are considered reliable bioindicators in ecotoxicological studies (Edwards 2004; Sinha et al., 2010; Kale 1998; </w:t>
      </w:r>
      <w:proofErr w:type="spellStart"/>
      <w:r>
        <w:t>Nainawat</w:t>
      </w:r>
      <w:proofErr w:type="spellEnd"/>
      <w:r>
        <w:t xml:space="preserve"> and Nagendra 2001; Srivastava et al., 2013).</w:t>
      </w:r>
    </w:p>
    <w:p w14:paraId="6EF163AA" w14:textId="77777777" w:rsidR="00F35BF2" w:rsidRDefault="00B86A8A">
      <w:pPr>
        <w:jc w:val="both"/>
      </w:pPr>
      <w:proofErr w:type="spellStart"/>
      <w:r>
        <w:rPr>
          <w:i/>
          <w:iCs/>
        </w:rPr>
        <w:t>Drawida</w:t>
      </w:r>
      <w:proofErr w:type="spellEnd"/>
      <w:r>
        <w:rPr>
          <w:i/>
          <w:iCs/>
        </w:rPr>
        <w:t xml:space="preserve"> </w:t>
      </w:r>
      <w:proofErr w:type="spellStart"/>
      <w:r>
        <w:rPr>
          <w:i/>
          <w:iCs/>
        </w:rPr>
        <w:t>willsi</w:t>
      </w:r>
      <w:proofErr w:type="spellEnd"/>
      <w:r>
        <w:rPr>
          <w:i/>
          <w:iCs/>
        </w:rPr>
        <w:t xml:space="preserve"> </w:t>
      </w:r>
      <w:r>
        <w:t>(</w:t>
      </w:r>
      <w:proofErr w:type="spellStart"/>
      <w:r>
        <w:t>Michaelsen</w:t>
      </w:r>
      <w:proofErr w:type="spellEnd"/>
      <w:r>
        <w:t>) is a dominant native ea</w:t>
      </w:r>
      <w:r>
        <w:t>rthworm species in Indian agricultural systems, comprising more than 80% of both the population and biomass in many cultivated soils (Srivastava et al., 2013). It thrives in organically rich environments such as crop fields, compost pits, and drainage zone</w:t>
      </w:r>
      <w:r>
        <w:t xml:space="preserve">s. Given its ecological importance and prevalence, </w:t>
      </w:r>
      <w:r>
        <w:rPr>
          <w:i/>
          <w:iCs/>
        </w:rPr>
        <w:t xml:space="preserve">D. </w:t>
      </w:r>
      <w:proofErr w:type="spellStart"/>
      <w:r>
        <w:rPr>
          <w:i/>
          <w:iCs/>
        </w:rPr>
        <w:t>willsi</w:t>
      </w:r>
      <w:proofErr w:type="spellEnd"/>
      <w:r>
        <w:t xml:space="preserve"> serves as an ideal model for assessing the impact of pollutants, including metal-based nanoparticles, on soil fauna.</w:t>
      </w:r>
    </w:p>
    <w:p w14:paraId="3D896559" w14:textId="77777777" w:rsidR="00F35BF2" w:rsidRDefault="00B86A8A">
      <w:pPr>
        <w:jc w:val="both"/>
      </w:pPr>
      <w:r>
        <w:t>Although several studies have examined the effects of pesticides and heavy met</w:t>
      </w:r>
      <w:r>
        <w:t xml:space="preserve">als on </w:t>
      </w:r>
      <w:proofErr w:type="gramStart"/>
      <w:r>
        <w:t>earthworms(</w:t>
      </w:r>
      <w:proofErr w:type="gramEnd"/>
      <w:r>
        <w:t xml:space="preserve">Pani and Senapati 1986), limited attention has been paid to the impact of nanoparticles—especially </w:t>
      </w:r>
      <w:proofErr w:type="spellStart"/>
      <w:r>
        <w:t>CuO</w:t>
      </w:r>
      <w:proofErr w:type="spellEnd"/>
      <w:r>
        <w:t xml:space="preserve"> NPs—on </w:t>
      </w:r>
      <w:proofErr w:type="spellStart"/>
      <w:r>
        <w:rPr>
          <w:i/>
          <w:iCs/>
        </w:rPr>
        <w:t>D.willsi</w:t>
      </w:r>
      <w:proofErr w:type="spellEnd"/>
      <w:r>
        <w:t xml:space="preserve">. To date, no comprehensive study has evaluated the toxicity of </w:t>
      </w:r>
      <w:proofErr w:type="spellStart"/>
      <w:r>
        <w:t>CuO</w:t>
      </w:r>
      <w:proofErr w:type="spellEnd"/>
      <w:r>
        <w:t xml:space="preserve"> nanoparticles on this species. The present research </w:t>
      </w:r>
      <w:r>
        <w:t xml:space="preserve">addresses this gap by assessing the effects of </w:t>
      </w:r>
      <w:proofErr w:type="spellStart"/>
      <w:r>
        <w:t>CuO</w:t>
      </w:r>
      <w:proofErr w:type="spellEnd"/>
      <w:r>
        <w:t xml:space="preserve"> NPs on the population growth and reproductive rate of </w:t>
      </w:r>
      <w:r>
        <w:rPr>
          <w:i/>
          <w:iCs/>
        </w:rPr>
        <w:t xml:space="preserve">D. </w:t>
      </w:r>
      <w:proofErr w:type="spellStart"/>
      <w:r>
        <w:rPr>
          <w:i/>
          <w:iCs/>
        </w:rPr>
        <w:t>willsi</w:t>
      </w:r>
      <w:proofErr w:type="spellEnd"/>
      <w:r>
        <w:t>, providing novel insights into their potential ecotoxicological risks in soil ecosystems.</w:t>
      </w:r>
    </w:p>
    <w:p w14:paraId="5B01D315" w14:textId="77777777" w:rsidR="00F35BF2" w:rsidRDefault="00B86A8A">
      <w:pPr>
        <w:jc w:val="both"/>
        <w:rPr>
          <w:b/>
          <w:bCs/>
        </w:rPr>
      </w:pPr>
      <w:r>
        <w:rPr>
          <w:b/>
          <w:bCs/>
        </w:rPr>
        <w:t>MATERIALS AND METHODS</w:t>
      </w:r>
    </w:p>
    <w:p w14:paraId="700BBEF8" w14:textId="77777777" w:rsidR="00F35BF2" w:rsidRDefault="00B86A8A">
      <w:pPr>
        <w:jc w:val="both"/>
        <w:rPr>
          <w:b/>
          <w:bCs/>
        </w:rPr>
      </w:pPr>
      <w:r>
        <w:rPr>
          <w:b/>
          <w:bCs/>
        </w:rPr>
        <w:t>Test Organism</w:t>
      </w:r>
    </w:p>
    <w:p w14:paraId="0DAA10FB" w14:textId="77777777" w:rsidR="00F35BF2" w:rsidRDefault="00B86A8A">
      <w:pPr>
        <w:jc w:val="both"/>
      </w:pPr>
      <w:proofErr w:type="spellStart"/>
      <w:r>
        <w:rPr>
          <w:i/>
          <w:iCs/>
        </w:rPr>
        <w:t>Drawida</w:t>
      </w:r>
      <w:proofErr w:type="spellEnd"/>
      <w:r>
        <w:rPr>
          <w:i/>
          <w:iCs/>
        </w:rPr>
        <w:t xml:space="preserve"> </w:t>
      </w:r>
      <w:proofErr w:type="spellStart"/>
      <w:r>
        <w:rPr>
          <w:i/>
          <w:iCs/>
        </w:rPr>
        <w:t>willsi</w:t>
      </w:r>
      <w:proofErr w:type="spellEnd"/>
      <w:r>
        <w:t>,</w:t>
      </w:r>
      <w:r>
        <w:t xml:space="preserve"> a dominant native earthworm species found in croplands, grasslands, and organic waste-rich habitats, was selected as the test organism for this study. Specimens were collected using the hand-sorting method from different areas of </w:t>
      </w:r>
      <w:proofErr w:type="gramStart"/>
      <w:r>
        <w:t>Ranchi .</w:t>
      </w:r>
      <w:proofErr w:type="gramEnd"/>
      <w:r>
        <w:t xml:space="preserve"> The collected ea</w:t>
      </w:r>
      <w:r>
        <w:t>rthworms were classified into three age groups based on body length and the development of the clitellum. Juvenile earthworms were identified by their body length of less than 2 cm and the absence of a clitellum. The immature stage included earthworms with</w:t>
      </w:r>
      <w:r>
        <w:t xml:space="preserve"> a body length between 2 cm and less than 4 cm, also lacking a developed clitellum. Mature individuals measured 4 cm or more and exhibited a fully developed clitellum.</w:t>
      </w:r>
    </w:p>
    <w:p w14:paraId="505A1B6A" w14:textId="77777777" w:rsidR="00F35BF2" w:rsidRDefault="00B86A8A">
      <w:pPr>
        <w:jc w:val="both"/>
        <w:rPr>
          <w:b/>
          <w:bCs/>
        </w:rPr>
      </w:pPr>
      <w:r>
        <w:rPr>
          <w:b/>
          <w:bCs/>
        </w:rPr>
        <w:t>Soil Preparation</w:t>
      </w:r>
    </w:p>
    <w:p w14:paraId="2BDA8E1F" w14:textId="77777777" w:rsidR="00F35BF2" w:rsidRDefault="00B86A8A">
      <w:pPr>
        <w:jc w:val="both"/>
      </w:pPr>
      <w:r>
        <w:t>Artificial soil was prepared by mixing finely powdered cow dung (organi</w:t>
      </w:r>
      <w:r>
        <w:t xml:space="preserve">c matter content: ~15%), decomposed sawdust (particle size: 2 mm; commercial supplier), and garden soil (pH: 6.6) in a 1:1:1 ratio. The mixture had an organic carbon content of 1.34% and a pH of 6.8, both </w:t>
      </w:r>
      <w:r>
        <w:lastRenderedPageBreak/>
        <w:t>suitable for earthworm survival and growth (Sahu an</w:t>
      </w:r>
      <w:r>
        <w:t>d Senapati 1988</w:t>
      </w:r>
      <w:proofErr w:type="gramStart"/>
      <w:r>
        <w:t>).Soil</w:t>
      </w:r>
      <w:proofErr w:type="gramEnd"/>
      <w:r>
        <w:t xml:space="preserve"> moisture was adjusted to approximately 40–60% of the soil’s water holding capacity (WHC), following OECD Guideline 222(OECD 2008) for earthworm reproduction tests. This corresponds to a moisture content of about 25 ± 2%, providing opt</w:t>
      </w:r>
      <w:r>
        <w:t xml:space="preserve">imal conditions for the survival and activity of </w:t>
      </w:r>
      <w:proofErr w:type="spellStart"/>
      <w:r>
        <w:rPr>
          <w:i/>
          <w:iCs/>
        </w:rPr>
        <w:t>Drawida</w:t>
      </w:r>
      <w:proofErr w:type="spellEnd"/>
      <w:r>
        <w:rPr>
          <w:i/>
          <w:iCs/>
        </w:rPr>
        <w:t xml:space="preserve"> </w:t>
      </w:r>
      <w:proofErr w:type="spellStart"/>
      <w:r>
        <w:rPr>
          <w:i/>
          <w:iCs/>
        </w:rPr>
        <w:t>willsi</w:t>
      </w:r>
      <w:proofErr w:type="spellEnd"/>
      <w:r>
        <w:t>. Temperature was maintained at 22 ± 3°C throughout the experiment.</w:t>
      </w:r>
    </w:p>
    <w:p w14:paraId="7A8B0237" w14:textId="77777777" w:rsidR="00F35BF2" w:rsidRDefault="00B86A8A">
      <w:pPr>
        <w:jc w:val="both"/>
        <w:rPr>
          <w:b/>
          <w:bCs/>
        </w:rPr>
      </w:pPr>
      <w:r>
        <w:rPr>
          <w:b/>
          <w:bCs/>
        </w:rPr>
        <w:t>Earthworm Acclimatization</w:t>
      </w:r>
    </w:p>
    <w:p w14:paraId="41E0F8B5" w14:textId="77777777" w:rsidR="00F35BF2" w:rsidRDefault="00B86A8A">
      <w:pPr>
        <w:jc w:val="both"/>
      </w:pPr>
      <w:r>
        <w:t xml:space="preserve">Before the experimental exposure, collected earthworms were gut-cleared by partial submersion in a </w:t>
      </w:r>
      <w:r>
        <w:t>glass Petri dish containing 30 mL of tap water at 25 ± 2°C for 24 hours. After gut evacuation, they were transferred to prepared artificial soil and acclimatized under laboratory conditions for one week to minimize handling stress and adapt to the experime</w:t>
      </w:r>
      <w:r>
        <w:t>ntal environment.</w:t>
      </w:r>
    </w:p>
    <w:p w14:paraId="6EB213FD" w14:textId="77777777" w:rsidR="00F35BF2" w:rsidRDefault="00B86A8A">
      <w:pPr>
        <w:jc w:val="both"/>
        <w:rPr>
          <w:b/>
          <w:bCs/>
        </w:rPr>
      </w:pPr>
      <w:r>
        <w:rPr>
          <w:b/>
          <w:bCs/>
        </w:rPr>
        <w:t>Experimental Design and Exposure Method</w:t>
      </w:r>
    </w:p>
    <w:p w14:paraId="40B5C1C1" w14:textId="77777777" w:rsidR="00F35BF2" w:rsidRDefault="00B86A8A">
      <w:pPr>
        <w:jc w:val="both"/>
      </w:pPr>
      <w:r>
        <w:t>Following acclimatization, ten healthy, gut-evacuated earthworms were introduced into each experimental plastic container containing 1 kg of treated soil. Each treatment was replicated five times to</w:t>
      </w:r>
      <w:r>
        <w:t xml:space="preserve"> ensure statistical reliability. The containers were covered with perforated lids to facilitate adequate gaseous exchange. </w:t>
      </w:r>
      <w:proofErr w:type="spellStart"/>
      <w:r>
        <w:t>CuO</w:t>
      </w:r>
      <w:proofErr w:type="spellEnd"/>
      <w:r>
        <w:t xml:space="preserve"> nanoparticles (&gt;50 nm), obtained from Sigma-Aldrich, were thoroughly mixed into the soil at concentrations of 200, 400, 600, 800,</w:t>
      </w:r>
      <w:r>
        <w:t xml:space="preserve"> and 1000 mg/kg dry soil. Control groups received soil without nanoparticles, treated only with distilled water. Earthworms were exposed to the treated soil for a total period of 28 days using the soil-contact exposure method.</w:t>
      </w:r>
    </w:p>
    <w:p w14:paraId="17D6D1DF" w14:textId="77777777" w:rsidR="00F35BF2" w:rsidRDefault="00B86A8A">
      <w:pPr>
        <w:jc w:val="both"/>
        <w:rPr>
          <w:b/>
          <w:bCs/>
        </w:rPr>
      </w:pPr>
      <w:r>
        <w:rPr>
          <w:b/>
          <w:bCs/>
        </w:rPr>
        <w:t>Data Collection</w:t>
      </w:r>
    </w:p>
    <w:p w14:paraId="273E19CD" w14:textId="77777777" w:rsidR="00F35BF2" w:rsidRDefault="00B86A8A">
      <w:pPr>
        <w:jc w:val="both"/>
      </w:pPr>
      <w:r>
        <w:t>Earthworm sur</w:t>
      </w:r>
      <w:r>
        <w:t xml:space="preserve">vival and population were monitored daily throughout the exposure period. At weekly intervals, individuals were carefully removed from the soil, gut-cleared by placing them on moistened filter paper at 25 ± 2°C and approximately 80% humidity for 24 hours, </w:t>
      </w:r>
      <w:r>
        <w:t xml:space="preserve">and then weighed. The experiment evaluated survival, biomass, and reproductive responses of earthworms to </w:t>
      </w:r>
      <w:proofErr w:type="spellStart"/>
      <w:r>
        <w:t>CuO</w:t>
      </w:r>
      <w:proofErr w:type="spellEnd"/>
      <w:r>
        <w:t xml:space="preserve"> nanoparticle exposure.</w:t>
      </w:r>
    </w:p>
    <w:p w14:paraId="14709362" w14:textId="77777777" w:rsidR="00F35BF2" w:rsidRDefault="00B86A8A">
      <w:pPr>
        <w:jc w:val="both"/>
        <w:rPr>
          <w:b/>
          <w:bCs/>
        </w:rPr>
      </w:pPr>
      <w:r>
        <w:rPr>
          <w:b/>
          <w:bCs/>
        </w:rPr>
        <w:t>Reproduction Rate Assessment</w:t>
      </w:r>
    </w:p>
    <w:p w14:paraId="3DD2DC23" w14:textId="77777777" w:rsidR="00F35BF2" w:rsidRDefault="00B86A8A">
      <w:pPr>
        <w:jc w:val="both"/>
        <w:rPr>
          <w:b/>
          <w:bCs/>
        </w:rPr>
      </w:pPr>
      <w:r>
        <w:t>The reproductive rate was determined by calculating the number of cocoons produced per adult e</w:t>
      </w:r>
      <w:r>
        <w:t>arthworm during the 28-day exposure period, following the method described by Sahu and Senapati (1988).</w:t>
      </w:r>
    </w:p>
    <w:p w14:paraId="5D53F3C5" w14:textId="77777777" w:rsidR="00F35BF2" w:rsidRDefault="00B86A8A">
      <w:pPr>
        <w:jc w:val="both"/>
        <w:rPr>
          <w:b/>
          <w:bCs/>
        </w:rPr>
      </w:pPr>
      <w:r>
        <w:rPr>
          <w:b/>
          <w:bCs/>
        </w:rPr>
        <w:t>Biomass Measurement</w:t>
      </w:r>
    </w:p>
    <w:p w14:paraId="78BBAA39" w14:textId="77777777" w:rsidR="00F35BF2" w:rsidRDefault="00B86A8A">
      <w:pPr>
        <w:jc w:val="both"/>
      </w:pPr>
      <w:r>
        <w:t>Earthworm biomass was evaluated using both wet weight (WW) and dry weight (DW) methods. Wet weights were recorded for live, gut-evacuated earthworms at 7-day intervals. For dry weight measurements, gut-cleared individuals were oven-dried at 60°C for 48 hou</w:t>
      </w:r>
      <w:r>
        <w:t>rs and then weighed, following the procedure of Dash and Patra (2015). This approach ensured a more accurate estimation of biomass by accounting for moisture variations.</w:t>
      </w:r>
    </w:p>
    <w:p w14:paraId="527E4EDB" w14:textId="77777777" w:rsidR="00F35BF2" w:rsidRDefault="00B86A8A">
      <w:pPr>
        <w:jc w:val="both"/>
        <w:rPr>
          <w:b/>
          <w:bCs/>
        </w:rPr>
      </w:pPr>
      <w:r>
        <w:rPr>
          <w:b/>
          <w:bCs/>
        </w:rPr>
        <w:lastRenderedPageBreak/>
        <w:t>Statistical Analysis</w:t>
      </w:r>
    </w:p>
    <w:p w14:paraId="52A41507" w14:textId="77777777" w:rsidR="00F35BF2" w:rsidRDefault="00B86A8A">
      <w:pPr>
        <w:jc w:val="both"/>
        <w:rPr>
          <w:b/>
          <w:bCs/>
        </w:rPr>
      </w:pPr>
      <w:r>
        <w:t>All data were subjected to two-way ANOVA to assess the effects of</w:t>
      </w:r>
      <w:r>
        <w:t xml:space="preserve"> </w:t>
      </w:r>
      <w:proofErr w:type="spellStart"/>
      <w:r>
        <w:t>CuO</w:t>
      </w:r>
      <w:proofErr w:type="spellEnd"/>
      <w:r>
        <w:t xml:space="preserve"> nanoparticle concentration and exposure duration on survival, biomass, and reproduction of </w:t>
      </w:r>
      <w:proofErr w:type="spellStart"/>
      <w:r>
        <w:rPr>
          <w:i/>
          <w:iCs/>
        </w:rPr>
        <w:t>Drawida</w:t>
      </w:r>
      <w:proofErr w:type="spellEnd"/>
      <w:r>
        <w:rPr>
          <w:i/>
          <w:iCs/>
        </w:rPr>
        <w:t xml:space="preserve"> </w:t>
      </w:r>
      <w:proofErr w:type="spellStart"/>
      <w:r>
        <w:rPr>
          <w:i/>
          <w:iCs/>
        </w:rPr>
        <w:t>willsi</w:t>
      </w:r>
      <w:proofErr w:type="spellEnd"/>
      <w:r>
        <w:t xml:space="preserve">. The statistical analysis was performed using Microsoft Excel (with the Data Analysis </w:t>
      </w:r>
      <w:proofErr w:type="spellStart"/>
      <w:r>
        <w:t>Toolpak</w:t>
      </w:r>
      <w:proofErr w:type="spellEnd"/>
      <w:r>
        <w:t>). Differences were considered significant at p &lt; 0.</w:t>
      </w:r>
      <w:r>
        <w:t>05.</w:t>
      </w:r>
    </w:p>
    <w:p w14:paraId="7BC795D7" w14:textId="77777777" w:rsidR="00F35BF2" w:rsidRDefault="00B86A8A">
      <w:pPr>
        <w:jc w:val="both"/>
        <w:rPr>
          <w:b/>
          <w:bCs/>
        </w:rPr>
      </w:pPr>
      <w:r>
        <w:rPr>
          <w:b/>
          <w:bCs/>
        </w:rPr>
        <w:t>RESULTS</w:t>
      </w:r>
    </w:p>
    <w:p w14:paraId="32CC5351" w14:textId="77777777" w:rsidR="00F35BF2" w:rsidRDefault="00B86A8A">
      <w:pPr>
        <w:jc w:val="both"/>
      </w:pPr>
      <w:r>
        <w:t xml:space="preserve">Earthworms in the control group exhibited 100% survival and no significant loss in biomass over the 28-day exposure period (p &gt; 0.05). In contrast, soil treated with </w:t>
      </w:r>
      <w:proofErr w:type="spellStart"/>
      <w:r>
        <w:t>CuO</w:t>
      </w:r>
      <w:proofErr w:type="spellEnd"/>
      <w:r>
        <w:t xml:space="preserve"> nanoparticles displayed a clear concentration-dependent toxic effect on </w:t>
      </w:r>
      <w:proofErr w:type="spellStart"/>
      <w:r>
        <w:rPr>
          <w:i/>
          <w:iCs/>
        </w:rPr>
        <w:t>Dr</w:t>
      </w:r>
      <w:r>
        <w:rPr>
          <w:i/>
          <w:iCs/>
        </w:rPr>
        <w:t>awida</w:t>
      </w:r>
      <w:proofErr w:type="spellEnd"/>
      <w:r>
        <w:rPr>
          <w:i/>
          <w:iCs/>
        </w:rPr>
        <w:t xml:space="preserve"> </w:t>
      </w:r>
      <w:proofErr w:type="spellStart"/>
      <w:r>
        <w:rPr>
          <w:i/>
          <w:iCs/>
        </w:rPr>
        <w:t>willsi</w:t>
      </w:r>
      <w:proofErr w:type="spellEnd"/>
      <w:r>
        <w:t>. At the lower concentrations of 200 mg/kg and 400 mg/kg, survival remained comparable to the control, with no significant reduction in biomass (p &gt; 0.05). However, at 600 mg/kg, moderate toxicity became evident after 14 days, reflected in a si</w:t>
      </w:r>
      <w:r>
        <w:t>gnificant reduction in biomass (p &lt; 0.01). Higher concentrations, namely 800 mg/kg and 1000 mg/kg, resulted in complete mortality (100%) by the end of the 28-day period.</w:t>
      </w:r>
    </w:p>
    <w:p w14:paraId="63A507CA" w14:textId="77777777" w:rsidR="00F35BF2" w:rsidRDefault="00B86A8A">
      <w:pPr>
        <w:jc w:val="both"/>
      </w:pPr>
      <w:r>
        <w:t>Biomass analysis, presented in Tables 1 and 2 and illustrated in Fig.1 and Fig.2, show</w:t>
      </w:r>
      <w:r>
        <w:t xml:space="preserve">ed both wet and dry weight reductions with increasing </w:t>
      </w:r>
      <w:proofErr w:type="spellStart"/>
      <w:r>
        <w:t>CuO</w:t>
      </w:r>
      <w:proofErr w:type="spellEnd"/>
      <w:r>
        <w:t xml:space="preserve"> NP concentrations. The most pronounced biomass loss occurred at 1000 mg/kg, suggesting severe physiological stress or damage.</w:t>
      </w:r>
    </w:p>
    <w:p w14:paraId="4D28C785" w14:textId="77777777" w:rsidR="00F35BF2" w:rsidRDefault="00B86A8A">
      <w:pPr>
        <w:jc w:val="both"/>
      </w:pPr>
      <w:r>
        <w:rPr>
          <w:rFonts w:ascii="Calibri" w:hAnsi="Calibri" w:cs="Calibri"/>
        </w:rPr>
        <w:t xml:space="preserve">Table 1. Wet weight biomass of </w:t>
      </w:r>
      <w:proofErr w:type="spellStart"/>
      <w:r>
        <w:rPr>
          <w:rFonts w:ascii="Calibri" w:hAnsi="Calibri" w:cs="Calibri"/>
          <w:i/>
          <w:iCs/>
        </w:rPr>
        <w:t>Drawida</w:t>
      </w:r>
      <w:proofErr w:type="spellEnd"/>
      <w:r>
        <w:rPr>
          <w:rFonts w:ascii="Calibri" w:hAnsi="Calibri" w:cs="Calibri"/>
          <w:i/>
          <w:iCs/>
        </w:rPr>
        <w:t xml:space="preserve"> </w:t>
      </w:r>
      <w:proofErr w:type="spellStart"/>
      <w:r>
        <w:rPr>
          <w:rFonts w:ascii="Calibri" w:hAnsi="Calibri" w:cs="Calibri"/>
          <w:i/>
          <w:iCs/>
        </w:rPr>
        <w:t>willsi</w:t>
      </w:r>
      <w:proofErr w:type="spellEnd"/>
      <w:r>
        <w:rPr>
          <w:rFonts w:ascii="Calibri" w:hAnsi="Calibri" w:cs="Calibri"/>
        </w:rPr>
        <w:t xml:space="preserve"> at various </w:t>
      </w:r>
      <w:proofErr w:type="spellStart"/>
      <w:r>
        <w:rPr>
          <w:rFonts w:ascii="Calibri" w:hAnsi="Calibri" w:cs="Calibri"/>
        </w:rPr>
        <w:t>CuO</w:t>
      </w:r>
      <w:proofErr w:type="spellEnd"/>
      <w:r>
        <w:rPr>
          <w:rFonts w:ascii="Calibri" w:hAnsi="Calibri" w:cs="Calibri"/>
        </w:rPr>
        <w:t xml:space="preserve"> NP concentr</w:t>
      </w:r>
      <w:r>
        <w:rPr>
          <w:rFonts w:ascii="Calibri" w:hAnsi="Calibri" w:cs="Calibri"/>
        </w:rPr>
        <w:t xml:space="preserve">ations (mg/kg soil) in treated and control groups </w:t>
      </w:r>
      <w:r>
        <w:t>from 0 to 28 days at 7-day intervals.</w:t>
      </w:r>
    </w:p>
    <w:p w14:paraId="307B0BD0" w14:textId="77777777" w:rsidR="00F35BF2" w:rsidRDefault="00B86A8A">
      <w:pPr>
        <w:jc w:val="both"/>
      </w:pPr>
      <w:r>
        <w:rPr>
          <w:noProof/>
        </w:rPr>
        <w:drawing>
          <wp:anchor distT="0" distB="0" distL="114300" distR="114300" simplePos="0" relativeHeight="251660288" behindDoc="1" locked="0" layoutInCell="1" allowOverlap="1" wp14:anchorId="0B759C2B" wp14:editId="39F4DA63">
            <wp:simplePos x="0" y="0"/>
            <wp:positionH relativeFrom="margin">
              <wp:posOffset>-222250</wp:posOffset>
            </wp:positionH>
            <wp:positionV relativeFrom="paragraph">
              <wp:posOffset>1435735</wp:posOffset>
            </wp:positionV>
            <wp:extent cx="5384800" cy="2336800"/>
            <wp:effectExtent l="0" t="0" r="6350" b="6350"/>
            <wp:wrapTight wrapText="bothSides">
              <wp:wrapPolygon edited="0">
                <wp:start x="0" y="0"/>
                <wp:lineTo x="0" y="21483"/>
                <wp:lineTo x="21549" y="21483"/>
                <wp:lineTo x="21549" y="0"/>
                <wp:lineTo x="0" y="0"/>
              </wp:wrapPolygon>
            </wp:wrapTight>
            <wp:docPr id="15251105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imes New Roman" w:eastAsia="Calibri" w:hAnsi="Times New Roman" w:cs="Times New Roman"/>
          <w:b/>
          <w:bCs/>
          <w:noProof/>
        </w:rPr>
        <w:drawing>
          <wp:inline distT="0" distB="0" distL="0" distR="0" wp14:anchorId="016AEDB9" wp14:editId="7E2E78F1">
            <wp:extent cx="4432300" cy="1323340"/>
            <wp:effectExtent l="0" t="0" r="6350" b="0"/>
            <wp:docPr id="1749759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59149"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64256" cy="1333471"/>
                    </a:xfrm>
                    <a:prstGeom prst="rect">
                      <a:avLst/>
                    </a:prstGeom>
                    <a:noFill/>
                  </pic:spPr>
                </pic:pic>
              </a:graphicData>
            </a:graphic>
          </wp:inline>
        </w:drawing>
      </w:r>
    </w:p>
    <w:p w14:paraId="7B8103E0" w14:textId="77777777" w:rsidR="00F35BF2" w:rsidRDefault="00F35BF2">
      <w:pPr>
        <w:jc w:val="both"/>
      </w:pPr>
    </w:p>
    <w:p w14:paraId="1F7E95FF" w14:textId="77777777" w:rsidR="00F35BF2" w:rsidRDefault="00F35BF2">
      <w:pPr>
        <w:jc w:val="both"/>
      </w:pPr>
    </w:p>
    <w:p w14:paraId="564D2796" w14:textId="77777777" w:rsidR="00F35BF2" w:rsidRDefault="00F35BF2">
      <w:pPr>
        <w:jc w:val="both"/>
      </w:pPr>
    </w:p>
    <w:p w14:paraId="68F47810" w14:textId="77777777" w:rsidR="00F35BF2" w:rsidRDefault="00F35BF2">
      <w:pPr>
        <w:jc w:val="both"/>
      </w:pPr>
    </w:p>
    <w:p w14:paraId="05AEDE19" w14:textId="77777777" w:rsidR="00F35BF2" w:rsidRDefault="00F35BF2">
      <w:pPr>
        <w:jc w:val="both"/>
      </w:pPr>
    </w:p>
    <w:p w14:paraId="208B2838" w14:textId="77777777" w:rsidR="00F35BF2" w:rsidRDefault="00F35BF2">
      <w:pPr>
        <w:jc w:val="both"/>
      </w:pPr>
    </w:p>
    <w:p w14:paraId="1592BC98" w14:textId="77777777" w:rsidR="00F35BF2" w:rsidRDefault="00F35BF2">
      <w:pPr>
        <w:jc w:val="both"/>
      </w:pPr>
    </w:p>
    <w:p w14:paraId="3959DB4D" w14:textId="77777777" w:rsidR="00F35BF2" w:rsidRDefault="00F35BF2">
      <w:pPr>
        <w:jc w:val="both"/>
      </w:pPr>
    </w:p>
    <w:p w14:paraId="473EE8C5" w14:textId="77777777" w:rsidR="00F35BF2" w:rsidRDefault="00B86A8A">
      <w:pPr>
        <w:jc w:val="both"/>
      </w:pPr>
      <w:r>
        <w:lastRenderedPageBreak/>
        <w:t xml:space="preserve">Fig1- Biomass (wet weight) of </w:t>
      </w:r>
      <w:proofErr w:type="spellStart"/>
      <w:r>
        <w:rPr>
          <w:i/>
          <w:iCs/>
        </w:rPr>
        <w:t>Drawida</w:t>
      </w:r>
      <w:proofErr w:type="spellEnd"/>
      <w:r>
        <w:rPr>
          <w:i/>
          <w:iCs/>
        </w:rPr>
        <w:t xml:space="preserve"> </w:t>
      </w:r>
      <w:proofErr w:type="spellStart"/>
      <w:r>
        <w:rPr>
          <w:i/>
          <w:iCs/>
        </w:rPr>
        <w:t>willsi</w:t>
      </w:r>
      <w:proofErr w:type="spellEnd"/>
      <w:r>
        <w:t xml:space="preserve"> at different concentration from 0 to 28 days at 7-day intervals</w:t>
      </w:r>
    </w:p>
    <w:p w14:paraId="5374B890" w14:textId="77777777" w:rsidR="00F35BF2" w:rsidRDefault="00B86A8A">
      <w:pPr>
        <w:jc w:val="both"/>
      </w:pPr>
      <w:r>
        <w:rPr>
          <w:rFonts w:cstheme="minorHAnsi"/>
        </w:rPr>
        <w:t xml:space="preserve">Table 2. Dry weight biomass of </w:t>
      </w:r>
      <w:proofErr w:type="spellStart"/>
      <w:r>
        <w:rPr>
          <w:rFonts w:cstheme="minorHAnsi"/>
          <w:i/>
          <w:iCs/>
        </w:rPr>
        <w:t>Drawida</w:t>
      </w:r>
      <w:proofErr w:type="spellEnd"/>
      <w:r>
        <w:rPr>
          <w:rFonts w:cstheme="minorHAnsi"/>
          <w:i/>
          <w:iCs/>
        </w:rPr>
        <w:t xml:space="preserve"> </w:t>
      </w:r>
      <w:proofErr w:type="spellStart"/>
      <w:r>
        <w:rPr>
          <w:rFonts w:cstheme="minorHAnsi"/>
          <w:i/>
          <w:iCs/>
        </w:rPr>
        <w:t>willsi</w:t>
      </w:r>
      <w:proofErr w:type="spellEnd"/>
      <w:r>
        <w:rPr>
          <w:rFonts w:cstheme="minorHAnsi"/>
        </w:rPr>
        <w:t xml:space="preserve"> at</w:t>
      </w:r>
      <w:r>
        <w:rPr>
          <w:rFonts w:cstheme="minorHAnsi"/>
        </w:rPr>
        <w:t xml:space="preserve"> various </w:t>
      </w:r>
      <w:proofErr w:type="spellStart"/>
      <w:r>
        <w:rPr>
          <w:rFonts w:cstheme="minorHAnsi"/>
        </w:rPr>
        <w:t>CuO</w:t>
      </w:r>
      <w:proofErr w:type="spellEnd"/>
      <w:r>
        <w:rPr>
          <w:rFonts w:cstheme="minorHAnsi"/>
        </w:rPr>
        <w:t xml:space="preserve"> NP concentrations (mg/kg soil) in treated and control groups </w:t>
      </w:r>
      <w:r>
        <w:t>from 0 to 28 days at 7-day intervals.</w:t>
      </w:r>
    </w:p>
    <w:p w14:paraId="3FD954D6" w14:textId="77777777" w:rsidR="00F35BF2" w:rsidRDefault="00B86A8A">
      <w:pPr>
        <w:rPr>
          <w:rFonts w:ascii="Times New Roman" w:hAnsi="Times New Roman" w:cs="Times New Roman"/>
        </w:rPr>
      </w:pPr>
      <w:r>
        <w:rPr>
          <w:rFonts w:ascii="Times New Roman" w:hAnsi="Times New Roman" w:cs="Times New Roman"/>
          <w:b/>
          <w:bCs/>
          <w:noProof/>
        </w:rPr>
        <w:drawing>
          <wp:inline distT="0" distB="0" distL="0" distR="0" wp14:anchorId="57E2B23B" wp14:editId="2EDC7067">
            <wp:extent cx="4712335" cy="1487805"/>
            <wp:effectExtent l="0" t="0" r="0" b="0"/>
            <wp:docPr id="1264544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4423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12335" cy="1487805"/>
                    </a:xfrm>
                    <a:prstGeom prst="rect">
                      <a:avLst/>
                    </a:prstGeom>
                    <a:noFill/>
                  </pic:spPr>
                </pic:pic>
              </a:graphicData>
            </a:graphic>
          </wp:inline>
        </w:drawing>
      </w:r>
    </w:p>
    <w:p w14:paraId="0F987E7F" w14:textId="77777777" w:rsidR="00F35BF2" w:rsidRDefault="00F35BF2">
      <w:pPr>
        <w:rPr>
          <w:rFonts w:ascii="Times New Roman" w:hAnsi="Times New Roman" w:cs="Times New Roman"/>
        </w:rPr>
      </w:pPr>
    </w:p>
    <w:p w14:paraId="68397F10" w14:textId="77777777" w:rsidR="00F35BF2" w:rsidRDefault="00B86A8A">
      <w:pPr>
        <w:rPr>
          <w:rFonts w:ascii="Times New Roman" w:hAnsi="Times New Roman" w:cs="Times New Roman"/>
        </w:rPr>
      </w:pPr>
      <w:r>
        <w:rPr>
          <w:noProof/>
        </w:rPr>
        <w:drawing>
          <wp:inline distT="0" distB="0" distL="0" distR="0" wp14:anchorId="59D0F9A1" wp14:editId="41058A01">
            <wp:extent cx="4572000" cy="2927350"/>
            <wp:effectExtent l="0" t="0" r="0" b="6350"/>
            <wp:docPr id="10645814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CC7A1C" w14:textId="77777777" w:rsidR="00F35BF2" w:rsidRDefault="00B86A8A">
      <w:pPr>
        <w:jc w:val="both"/>
      </w:pPr>
      <w:r>
        <w:t xml:space="preserve">Fig2- Biomass (dry weight) of </w:t>
      </w:r>
      <w:proofErr w:type="spellStart"/>
      <w:r>
        <w:rPr>
          <w:i/>
          <w:iCs/>
        </w:rPr>
        <w:t>Drawida</w:t>
      </w:r>
      <w:proofErr w:type="spellEnd"/>
      <w:r>
        <w:rPr>
          <w:i/>
          <w:iCs/>
        </w:rPr>
        <w:t xml:space="preserve"> </w:t>
      </w:r>
      <w:proofErr w:type="spellStart"/>
      <w:r>
        <w:rPr>
          <w:i/>
          <w:iCs/>
        </w:rPr>
        <w:t>willsi</w:t>
      </w:r>
      <w:proofErr w:type="spellEnd"/>
      <w:r>
        <w:t xml:space="preserve"> at different concentration from 0 to 28 days at 7-day intervals.</w:t>
      </w:r>
    </w:p>
    <w:p w14:paraId="3F7529DC" w14:textId="77777777" w:rsidR="00F35BF2" w:rsidRDefault="00B86A8A">
      <w:pPr>
        <w:jc w:val="both"/>
      </w:pPr>
      <w:r>
        <w:t xml:space="preserve">Reproductive performance was also adversely affected. In the control group, an average of four cocoons per adult were recorded during the study period. In contrast, no cocoon production was observed in any of the </w:t>
      </w:r>
      <w:proofErr w:type="spellStart"/>
      <w:r>
        <w:t>CuO</w:t>
      </w:r>
      <w:proofErr w:type="spellEnd"/>
      <w:r>
        <w:t xml:space="preserve"> NP-treated groups, including at the low</w:t>
      </w:r>
      <w:r>
        <w:t>est concentration of 200 mg/kg (Fig.3), indicating strong sub-lethal reproductive toxicity. Fig. 4 depicts image of Cocoon in control soil.</w:t>
      </w:r>
    </w:p>
    <w:p w14:paraId="0CD3C4C7" w14:textId="77777777" w:rsidR="00F35BF2" w:rsidRDefault="00F35BF2">
      <w:pPr>
        <w:jc w:val="both"/>
      </w:pPr>
    </w:p>
    <w:p w14:paraId="3330BBCB" w14:textId="2D651629" w:rsidR="00F35BF2" w:rsidRDefault="001C27DF">
      <w:pPr>
        <w:jc w:val="both"/>
      </w:pPr>
      <w:r>
        <w:rPr>
          <w:rFonts w:ascii="Times New Roman" w:hAnsi="Times New Roman" w:cs="Times New Roman"/>
          <w:b/>
          <w:bCs/>
          <w:noProof/>
        </w:rPr>
        <w:lastRenderedPageBreak/>
        <w:drawing>
          <wp:anchor distT="0" distB="0" distL="114300" distR="114300" simplePos="0" relativeHeight="251662336" behindDoc="1" locked="0" layoutInCell="1" allowOverlap="1" wp14:anchorId="42087490" wp14:editId="535F90B8">
            <wp:simplePos x="0" y="0"/>
            <wp:positionH relativeFrom="margin">
              <wp:posOffset>742950</wp:posOffset>
            </wp:positionH>
            <wp:positionV relativeFrom="page">
              <wp:posOffset>6022340</wp:posOffset>
            </wp:positionV>
            <wp:extent cx="4413250" cy="3206750"/>
            <wp:effectExtent l="0" t="0" r="6350" b="12700"/>
            <wp:wrapTight wrapText="bothSides">
              <wp:wrapPolygon edited="0">
                <wp:start x="0" y="0"/>
                <wp:lineTo x="0" y="21557"/>
                <wp:lineTo x="21538" y="21557"/>
                <wp:lineTo x="21538" y="0"/>
                <wp:lineTo x="0" y="0"/>
              </wp:wrapPolygon>
            </wp:wrapTight>
            <wp:docPr id="6608517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FA128BE" w14:textId="280FEF1B" w:rsidR="00F35BF2" w:rsidRDefault="00F35BF2">
      <w:pPr>
        <w:jc w:val="both"/>
      </w:pPr>
    </w:p>
    <w:p w14:paraId="14A5049A" w14:textId="467C6615" w:rsidR="00F35BF2" w:rsidRDefault="00F35BF2">
      <w:pPr>
        <w:jc w:val="both"/>
      </w:pPr>
    </w:p>
    <w:p w14:paraId="19AE39ED" w14:textId="77777777" w:rsidR="00F35BF2" w:rsidRDefault="00F35BF2">
      <w:pPr>
        <w:jc w:val="both"/>
      </w:pPr>
    </w:p>
    <w:p w14:paraId="4BF0F27E" w14:textId="77777777" w:rsidR="00F35BF2" w:rsidRDefault="00F35BF2">
      <w:pPr>
        <w:jc w:val="both"/>
      </w:pPr>
    </w:p>
    <w:p w14:paraId="7593AADB" w14:textId="77777777" w:rsidR="00F35BF2" w:rsidRDefault="00F35BF2">
      <w:pPr>
        <w:jc w:val="both"/>
      </w:pPr>
    </w:p>
    <w:p w14:paraId="3D0E80A8" w14:textId="77777777" w:rsidR="00F35BF2" w:rsidRDefault="00F35BF2">
      <w:pPr>
        <w:jc w:val="both"/>
      </w:pPr>
    </w:p>
    <w:p w14:paraId="706A727D" w14:textId="77777777" w:rsidR="00F35BF2" w:rsidRDefault="00F35BF2">
      <w:pPr>
        <w:jc w:val="both"/>
      </w:pPr>
    </w:p>
    <w:p w14:paraId="3EB70DDC" w14:textId="77777777" w:rsidR="00F35BF2" w:rsidRDefault="00F35BF2">
      <w:pPr>
        <w:jc w:val="both"/>
      </w:pPr>
    </w:p>
    <w:p w14:paraId="0F9B92DB" w14:textId="77777777" w:rsidR="00F35BF2" w:rsidRDefault="00F35BF2">
      <w:pPr>
        <w:jc w:val="both"/>
      </w:pPr>
    </w:p>
    <w:p w14:paraId="5E5D9E8B" w14:textId="77777777" w:rsidR="00F35BF2" w:rsidRDefault="00B86A8A">
      <w:pPr>
        <w:jc w:val="both"/>
      </w:pPr>
      <w:r>
        <w:t xml:space="preserve">Fig3-Graphical representation of rate of reproduction of </w:t>
      </w:r>
      <w:proofErr w:type="spellStart"/>
      <w:r>
        <w:rPr>
          <w:i/>
          <w:iCs/>
        </w:rPr>
        <w:t>Drawida</w:t>
      </w:r>
      <w:proofErr w:type="spellEnd"/>
      <w:r>
        <w:rPr>
          <w:i/>
          <w:iCs/>
        </w:rPr>
        <w:t xml:space="preserve"> </w:t>
      </w:r>
      <w:proofErr w:type="spellStart"/>
      <w:r>
        <w:rPr>
          <w:i/>
          <w:iCs/>
        </w:rPr>
        <w:t>willsi</w:t>
      </w:r>
      <w:proofErr w:type="spellEnd"/>
      <w:r>
        <w:t xml:space="preserve"> in control and treated soil at 0 ,14 and 28</w:t>
      </w:r>
      <w:r>
        <w:rPr>
          <w:vertAlign w:val="superscript"/>
        </w:rPr>
        <w:t>th</w:t>
      </w:r>
      <w:r>
        <w:t xml:space="preserve"> day.    </w:t>
      </w:r>
    </w:p>
    <w:p w14:paraId="4898232C" w14:textId="77777777" w:rsidR="00F35BF2" w:rsidRDefault="00B86A8A">
      <w:pPr>
        <w:jc w:val="both"/>
      </w:pPr>
      <w:r>
        <w:t xml:space="preserve">   </w:t>
      </w:r>
    </w:p>
    <w:p w14:paraId="0F8A1F50" w14:textId="77777777" w:rsidR="00F35BF2" w:rsidRDefault="00B86A8A">
      <w:pPr>
        <w:jc w:val="both"/>
      </w:pPr>
      <w:r>
        <w:lastRenderedPageBreak/>
        <w:t xml:space="preserve">                                     </w:t>
      </w:r>
      <w:r>
        <w:rPr>
          <w:noProof/>
        </w:rPr>
        <w:drawing>
          <wp:inline distT="0" distB="0" distL="0" distR="0" wp14:anchorId="229D906D" wp14:editId="11BA7DA4">
            <wp:extent cx="2499360" cy="2512060"/>
            <wp:effectExtent l="0" t="0" r="0" b="2540"/>
            <wp:docPr id="1348186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86099"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99360" cy="2512060"/>
                    </a:xfrm>
                    <a:prstGeom prst="rect">
                      <a:avLst/>
                    </a:prstGeom>
                    <a:noFill/>
                  </pic:spPr>
                </pic:pic>
              </a:graphicData>
            </a:graphic>
          </wp:inline>
        </w:drawing>
      </w:r>
    </w:p>
    <w:p w14:paraId="40DFE8C0" w14:textId="77777777" w:rsidR="00F35BF2" w:rsidRDefault="00B86A8A">
      <w:pPr>
        <w:jc w:val="both"/>
      </w:pPr>
      <w:r>
        <w:t xml:space="preserve">                          Fig-4 Image of Cocoon in control </w:t>
      </w:r>
      <w:proofErr w:type="gramStart"/>
      <w:r>
        <w:t>soil(</w:t>
      </w:r>
      <w:proofErr w:type="gramEnd"/>
      <w:r>
        <w:t>20x magnification)</w:t>
      </w:r>
    </w:p>
    <w:p w14:paraId="68F0D96D" w14:textId="2AAF0E74" w:rsidR="00F35BF2" w:rsidRDefault="00B86A8A">
      <w:pPr>
        <w:jc w:val="both"/>
      </w:pPr>
      <w:r>
        <w:t>Survivability trends are depicted in Table.</w:t>
      </w:r>
      <w:r w:rsidR="001C27DF">
        <w:t>3</w:t>
      </w:r>
      <w:r>
        <w:t xml:space="preserve"> and Fig5, which clearly depic</w:t>
      </w:r>
      <w:r>
        <w:t>ts a dose-dependent decline in earthworm survival, especially beyond 600 mg/kg.</w:t>
      </w:r>
    </w:p>
    <w:p w14:paraId="7AD215F7" w14:textId="23AC87E3" w:rsidR="00F35BF2" w:rsidRDefault="00B86A8A">
      <w:pPr>
        <w:jc w:val="both"/>
        <w:rPr>
          <w:rFonts w:ascii="Times New Roman" w:hAnsi="Times New Roman" w:cs="Times New Roman"/>
          <w:b/>
          <w:bCs/>
        </w:rPr>
      </w:pPr>
      <w:r>
        <w:t xml:space="preserve">Table </w:t>
      </w:r>
      <w:r w:rsidR="001C27DF">
        <w:t>3</w:t>
      </w:r>
      <w:r>
        <w:t xml:space="preserve">. </w:t>
      </w:r>
      <w:proofErr w:type="spellStart"/>
      <w:r>
        <w:t>Suvivability</w:t>
      </w:r>
      <w:proofErr w:type="spellEnd"/>
      <w:r>
        <w:t xml:space="preserve"> percentage table of </w:t>
      </w:r>
      <w:proofErr w:type="spellStart"/>
      <w:r>
        <w:rPr>
          <w:i/>
          <w:iCs/>
        </w:rPr>
        <w:t>Drawida</w:t>
      </w:r>
      <w:proofErr w:type="spellEnd"/>
      <w:r>
        <w:rPr>
          <w:i/>
          <w:iCs/>
        </w:rPr>
        <w:t xml:space="preserve"> </w:t>
      </w:r>
      <w:proofErr w:type="spellStart"/>
      <w:r>
        <w:rPr>
          <w:i/>
          <w:iCs/>
        </w:rPr>
        <w:t>willsi</w:t>
      </w:r>
      <w:proofErr w:type="spellEnd"/>
      <w:r>
        <w:t xml:space="preserve"> at different concentration from 0 to 28 days at 7-day intervals.</w:t>
      </w:r>
      <w:r>
        <w:rPr>
          <w:rFonts w:ascii="Times New Roman" w:hAnsi="Times New Roman" w:cs="Times New Roman"/>
          <w:b/>
          <w:bCs/>
        </w:rPr>
        <w:t xml:space="preserve"> </w:t>
      </w:r>
    </w:p>
    <w:p w14:paraId="68A1B018" w14:textId="77777777" w:rsidR="00F35BF2" w:rsidRDefault="00B86A8A">
      <w:pPr>
        <w:jc w:val="both"/>
      </w:pPr>
      <w:r>
        <w:rPr>
          <w:rFonts w:ascii="Times New Roman" w:hAnsi="Times New Roman" w:cs="Times New Roman"/>
          <w:b/>
          <w:bCs/>
          <w:noProof/>
        </w:rPr>
        <w:drawing>
          <wp:inline distT="0" distB="0" distL="0" distR="0" wp14:anchorId="3A72C077" wp14:editId="5F4E5E6F">
            <wp:extent cx="4633595" cy="1481455"/>
            <wp:effectExtent l="0" t="0" r="0" b="4445"/>
            <wp:docPr id="1853665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65049"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33595" cy="1481455"/>
                    </a:xfrm>
                    <a:prstGeom prst="rect">
                      <a:avLst/>
                    </a:prstGeom>
                    <a:noFill/>
                  </pic:spPr>
                </pic:pic>
              </a:graphicData>
            </a:graphic>
          </wp:inline>
        </w:drawing>
      </w:r>
    </w:p>
    <w:p w14:paraId="1DED833B" w14:textId="77777777" w:rsidR="00F35BF2" w:rsidRDefault="00F35BF2">
      <w:pPr>
        <w:jc w:val="both"/>
      </w:pPr>
    </w:p>
    <w:p w14:paraId="3BD0213C" w14:textId="77777777" w:rsidR="00F35BF2" w:rsidRDefault="00B86A8A">
      <w:pPr>
        <w:jc w:val="both"/>
      </w:pPr>
      <w:r>
        <w:rPr>
          <w:rFonts w:ascii="Times New Roman" w:hAnsi="Times New Roman" w:cs="Times New Roman"/>
          <w:b/>
          <w:bCs/>
          <w:noProof/>
        </w:rPr>
        <w:drawing>
          <wp:inline distT="0" distB="0" distL="0" distR="0" wp14:anchorId="5C89B3EB" wp14:editId="29C83848">
            <wp:extent cx="4584700" cy="2755900"/>
            <wp:effectExtent l="0" t="0" r="6350" b="6350"/>
            <wp:docPr id="594451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5147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3A97DA7B" w14:textId="77777777" w:rsidR="00F35BF2" w:rsidRDefault="00B86A8A">
      <w:pPr>
        <w:jc w:val="both"/>
      </w:pPr>
      <w:r>
        <w:lastRenderedPageBreak/>
        <w:t xml:space="preserve">Fig 5. Graphical representation of </w:t>
      </w:r>
      <w:proofErr w:type="spellStart"/>
      <w:r>
        <w:t>Suvivability</w:t>
      </w:r>
      <w:proofErr w:type="spellEnd"/>
      <w:r>
        <w:t xml:space="preserve"> </w:t>
      </w:r>
      <w:r>
        <w:t xml:space="preserve">of </w:t>
      </w:r>
      <w:proofErr w:type="spellStart"/>
      <w:r>
        <w:rPr>
          <w:i/>
          <w:iCs/>
        </w:rPr>
        <w:t>Drawida</w:t>
      </w:r>
      <w:proofErr w:type="spellEnd"/>
      <w:r>
        <w:rPr>
          <w:i/>
          <w:iCs/>
        </w:rPr>
        <w:t xml:space="preserve"> </w:t>
      </w:r>
      <w:proofErr w:type="spellStart"/>
      <w:r>
        <w:rPr>
          <w:i/>
          <w:iCs/>
        </w:rPr>
        <w:t>willsi</w:t>
      </w:r>
      <w:proofErr w:type="spellEnd"/>
      <w:r>
        <w:t xml:space="preserve"> at different concentration from 0 to 28 days at 7-day intervals.</w:t>
      </w:r>
    </w:p>
    <w:p w14:paraId="6EA578CC" w14:textId="77777777" w:rsidR="00F35BF2" w:rsidRDefault="00B86A8A">
      <w:pPr>
        <w:jc w:val="both"/>
      </w:pPr>
      <w:r>
        <w:t xml:space="preserve">At concentration above 400 mg/kg, the earthworms exhibited notable morphological alterations, including body swelling, discoloration, and tissue rupture. Additionally, </w:t>
      </w:r>
      <w:proofErr w:type="spellStart"/>
      <w:r>
        <w:t>behav</w:t>
      </w:r>
      <w:r>
        <w:t>ioral</w:t>
      </w:r>
      <w:proofErr w:type="spellEnd"/>
      <w:r>
        <w:t xml:space="preserve"> changes were observed, as the earthworm avoided feeding and burrowing activities at these higher concentrations.</w:t>
      </w:r>
    </w:p>
    <w:p w14:paraId="5D181B53" w14:textId="77777777" w:rsidR="00F35BF2" w:rsidRDefault="00B86A8A">
      <w:pPr>
        <w:jc w:val="both"/>
        <w:rPr>
          <w:b/>
          <w:bCs/>
        </w:rPr>
      </w:pPr>
      <w:r>
        <w:rPr>
          <w:b/>
          <w:bCs/>
        </w:rPr>
        <w:t>DISCUSSION</w:t>
      </w:r>
    </w:p>
    <w:p w14:paraId="00DD2AAE" w14:textId="77777777" w:rsidR="00F35BF2" w:rsidRDefault="00B86A8A">
      <w:pPr>
        <w:jc w:val="both"/>
      </w:pPr>
      <w:r>
        <w:t xml:space="preserve">The results of this study demonstrate that </w:t>
      </w:r>
      <w:proofErr w:type="spellStart"/>
      <w:r>
        <w:t>CuO</w:t>
      </w:r>
      <w:proofErr w:type="spellEnd"/>
      <w:r>
        <w:t xml:space="preserve"> nanoparticles exert significant toxic effects on </w:t>
      </w:r>
      <w:proofErr w:type="spellStart"/>
      <w:r>
        <w:rPr>
          <w:i/>
          <w:iCs/>
        </w:rPr>
        <w:t>Drawida</w:t>
      </w:r>
      <w:proofErr w:type="spellEnd"/>
      <w:r>
        <w:rPr>
          <w:i/>
          <w:iCs/>
        </w:rPr>
        <w:t xml:space="preserve"> </w:t>
      </w:r>
      <w:proofErr w:type="spellStart"/>
      <w:r>
        <w:rPr>
          <w:i/>
          <w:iCs/>
        </w:rPr>
        <w:t>willsi</w:t>
      </w:r>
      <w:proofErr w:type="spellEnd"/>
      <w:r>
        <w:t>, impacting surv</w:t>
      </w:r>
      <w:r>
        <w:t xml:space="preserve">ival, biomass, and reproduction in a concentration-dependent manner. Although lower concentrations (200–400 mg/kg) did not result in immediate mortality, they completely inhibited cocoon production, indicating pronounced sub-lethal effects. These findings </w:t>
      </w:r>
      <w:r>
        <w:t xml:space="preserve">suggest that even minimal exposure to </w:t>
      </w:r>
      <w:proofErr w:type="spellStart"/>
      <w:r>
        <w:t>CuO</w:t>
      </w:r>
      <w:proofErr w:type="spellEnd"/>
      <w:r>
        <w:t xml:space="preserve"> NPs can disrupt the reproductive biology of </w:t>
      </w:r>
      <w:r>
        <w:rPr>
          <w:i/>
          <w:iCs/>
        </w:rPr>
        <w:t xml:space="preserve">D. </w:t>
      </w:r>
      <w:proofErr w:type="spellStart"/>
      <w:r>
        <w:rPr>
          <w:i/>
          <w:iCs/>
        </w:rPr>
        <w:t>willsi</w:t>
      </w:r>
      <w:proofErr w:type="spellEnd"/>
      <w:r>
        <w:t>, likely due to physiological stress or reproductive interference.</w:t>
      </w:r>
    </w:p>
    <w:p w14:paraId="3FBAFB6D" w14:textId="77777777" w:rsidR="00F35BF2" w:rsidRDefault="00B86A8A">
      <w:pPr>
        <w:jc w:val="both"/>
      </w:pPr>
      <w:r>
        <w:t>Comparable effects have been observed in other earthworm species exposed to metal or metal oxi</w:t>
      </w:r>
      <w:r>
        <w:t xml:space="preserve">de nanoparticles. For instance, exposure to </w:t>
      </w:r>
      <w:proofErr w:type="spellStart"/>
      <w:r>
        <w:t>CuO</w:t>
      </w:r>
      <w:proofErr w:type="spellEnd"/>
      <w:r>
        <w:t xml:space="preserve"> nanoparticles significantly affected growth, survival, and cocoon production in </w:t>
      </w:r>
      <w:r>
        <w:rPr>
          <w:i/>
          <w:iCs/>
        </w:rPr>
        <w:t xml:space="preserve">Eisenia </w:t>
      </w:r>
      <w:proofErr w:type="spellStart"/>
      <w:r>
        <w:rPr>
          <w:i/>
          <w:iCs/>
        </w:rPr>
        <w:t>fetida</w:t>
      </w:r>
      <w:proofErr w:type="spellEnd"/>
      <w:r>
        <w:t xml:space="preserve"> (</w:t>
      </w:r>
      <w:proofErr w:type="spellStart"/>
      <w:r>
        <w:t>Bicho</w:t>
      </w:r>
      <w:proofErr w:type="spellEnd"/>
      <w:r>
        <w:t xml:space="preserve"> et al., 2022). Similarly, </w:t>
      </w:r>
      <w:proofErr w:type="spellStart"/>
      <w:r>
        <w:rPr>
          <w:i/>
          <w:iCs/>
        </w:rPr>
        <w:t>Lumbricus</w:t>
      </w:r>
      <w:proofErr w:type="spellEnd"/>
      <w:r>
        <w:rPr>
          <w:i/>
          <w:iCs/>
        </w:rPr>
        <w:t xml:space="preserve"> </w:t>
      </w:r>
      <w:proofErr w:type="spellStart"/>
      <w:r>
        <w:rPr>
          <w:i/>
          <w:iCs/>
        </w:rPr>
        <w:t>terrestris</w:t>
      </w:r>
      <w:proofErr w:type="spellEnd"/>
      <w:r>
        <w:t xml:space="preserve"> exhibited adverse effects when exposed to metal-based nanop</w:t>
      </w:r>
      <w:r>
        <w:t>articles, including decreased viability and phagocytic activity (Mosleh et al., 2023).</w:t>
      </w:r>
      <w:r>
        <w:rPr>
          <w:i/>
          <w:iCs/>
        </w:rPr>
        <w:t xml:space="preserve"> Perionyx </w:t>
      </w:r>
      <w:proofErr w:type="spellStart"/>
      <w:r>
        <w:rPr>
          <w:i/>
          <w:iCs/>
        </w:rPr>
        <w:t>excavatus</w:t>
      </w:r>
      <w:proofErr w:type="spellEnd"/>
      <w:r>
        <w:rPr>
          <w:i/>
          <w:iCs/>
        </w:rPr>
        <w:t xml:space="preserve"> </w:t>
      </w:r>
      <w:r>
        <w:t xml:space="preserve">showed genotoxic effects upon exposure to heavy metals like Pb and Cd (Das and Gupta 2021), while </w:t>
      </w:r>
      <w:proofErr w:type="spellStart"/>
      <w:r>
        <w:rPr>
          <w:i/>
          <w:iCs/>
        </w:rPr>
        <w:t>Metaphire</w:t>
      </w:r>
      <w:proofErr w:type="spellEnd"/>
      <w:r>
        <w:rPr>
          <w:i/>
          <w:iCs/>
        </w:rPr>
        <w:t xml:space="preserve"> </w:t>
      </w:r>
      <w:proofErr w:type="spellStart"/>
      <w:r>
        <w:rPr>
          <w:i/>
          <w:iCs/>
        </w:rPr>
        <w:t>posthuma</w:t>
      </w:r>
      <w:proofErr w:type="spellEnd"/>
      <w:r>
        <w:t xml:space="preserve"> demonstrated </w:t>
      </w:r>
      <w:proofErr w:type="spellStart"/>
      <w:r>
        <w:t>immunotoxic</w:t>
      </w:r>
      <w:proofErr w:type="spellEnd"/>
      <w:r>
        <w:t xml:space="preserve"> response</w:t>
      </w:r>
      <w:r>
        <w:t xml:space="preserve">s to Cu nanoparticles and </w:t>
      </w:r>
      <w:proofErr w:type="spellStart"/>
      <w:r>
        <w:t>CuSO</w:t>
      </w:r>
      <w:proofErr w:type="spellEnd"/>
      <w:r>
        <w:t>₄ (Gautam et al., 2017). These findings align with our study and confirm the general sensitivity of earthworms to nanoparticle contamination in soil.</w:t>
      </w:r>
    </w:p>
    <w:p w14:paraId="034C5081" w14:textId="77777777" w:rsidR="00F35BF2" w:rsidRDefault="00B86A8A">
      <w:pPr>
        <w:jc w:val="both"/>
      </w:pPr>
      <w:r>
        <w:t xml:space="preserve">However, the current study is the first to evaluate </w:t>
      </w:r>
      <w:proofErr w:type="spellStart"/>
      <w:r>
        <w:t>CuO</w:t>
      </w:r>
      <w:proofErr w:type="spellEnd"/>
      <w:r>
        <w:t xml:space="preserve"> NP toxicity in </w:t>
      </w:r>
      <w:proofErr w:type="spellStart"/>
      <w:r>
        <w:rPr>
          <w:i/>
          <w:iCs/>
        </w:rPr>
        <w:t>Drawi</w:t>
      </w:r>
      <w:r>
        <w:rPr>
          <w:i/>
          <w:iCs/>
        </w:rPr>
        <w:t>da</w:t>
      </w:r>
      <w:proofErr w:type="spellEnd"/>
      <w:r>
        <w:rPr>
          <w:i/>
          <w:iCs/>
        </w:rPr>
        <w:t xml:space="preserve"> </w:t>
      </w:r>
      <w:proofErr w:type="spellStart"/>
      <w:r>
        <w:rPr>
          <w:i/>
          <w:iCs/>
        </w:rPr>
        <w:t>willsi</w:t>
      </w:r>
      <w:proofErr w:type="spellEnd"/>
      <w:r>
        <w:t xml:space="preserve">, a dominant species in Indian agricultural ecosystems. Given its ecological importance, abundance, and sensitivity, </w:t>
      </w:r>
      <w:r>
        <w:rPr>
          <w:i/>
          <w:iCs/>
        </w:rPr>
        <w:t xml:space="preserve">D. </w:t>
      </w:r>
      <w:proofErr w:type="spellStart"/>
      <w:r>
        <w:rPr>
          <w:i/>
          <w:iCs/>
        </w:rPr>
        <w:t>willsi</w:t>
      </w:r>
      <w:proofErr w:type="spellEnd"/>
      <w:r>
        <w:t xml:space="preserve"> could serve as a valuable model organism and bioindicator for nanoparticle pollution in tropical soil environments.</w:t>
      </w:r>
    </w:p>
    <w:p w14:paraId="21B923E1" w14:textId="77777777" w:rsidR="00F35BF2" w:rsidRDefault="00B86A8A">
      <w:pPr>
        <w:jc w:val="both"/>
        <w:rPr>
          <w:b/>
          <w:bCs/>
        </w:rPr>
      </w:pPr>
      <w:r>
        <w:rPr>
          <w:b/>
          <w:bCs/>
        </w:rPr>
        <w:t>CONCLUSION</w:t>
      </w:r>
    </w:p>
    <w:p w14:paraId="56A23F5D" w14:textId="77777777" w:rsidR="00F35BF2" w:rsidRDefault="00B86A8A">
      <w:pPr>
        <w:jc w:val="both"/>
      </w:pPr>
      <w:r>
        <w:t>This study provides clear evidence of the toxic effects of copper oxide (</w:t>
      </w:r>
      <w:proofErr w:type="spellStart"/>
      <w:r>
        <w:t>CuO</w:t>
      </w:r>
      <w:proofErr w:type="spellEnd"/>
      <w:r>
        <w:t xml:space="preserve">) nanoparticles on the earthworm </w:t>
      </w:r>
      <w:proofErr w:type="spellStart"/>
      <w:r>
        <w:rPr>
          <w:i/>
          <w:iCs/>
        </w:rPr>
        <w:t>Drawida</w:t>
      </w:r>
      <w:proofErr w:type="spellEnd"/>
      <w:r>
        <w:rPr>
          <w:i/>
          <w:iCs/>
        </w:rPr>
        <w:t xml:space="preserve"> </w:t>
      </w:r>
      <w:proofErr w:type="spellStart"/>
      <w:r>
        <w:rPr>
          <w:i/>
          <w:iCs/>
        </w:rPr>
        <w:t>willsi</w:t>
      </w:r>
      <w:proofErr w:type="spellEnd"/>
      <w:r>
        <w:t>, with a particular focus on growth and reproductive parameters. A significant, concentration-dependent decline in biomass</w:t>
      </w:r>
      <w:r>
        <w:t xml:space="preserve"> and cocoon production was observed, indicating both lethal and sub-lethal impacts. While lower concentrations exhibited limited toxicity, higher concentrations resulted in severe adverse effects, including complete mortality. These findings underscore the</w:t>
      </w:r>
      <w:r>
        <w:t xml:space="preserve"> potential ecological risks posed by </w:t>
      </w:r>
      <w:proofErr w:type="spellStart"/>
      <w:r>
        <w:t>CuO</w:t>
      </w:r>
      <w:proofErr w:type="spellEnd"/>
      <w:r>
        <w:t xml:space="preserve"> nanoparticle contamination in soil ecosystems. Given the widespread agricultural use of </w:t>
      </w:r>
      <w:proofErr w:type="spellStart"/>
      <w:r>
        <w:t>CuO</w:t>
      </w:r>
      <w:proofErr w:type="spellEnd"/>
      <w:r>
        <w:t>-based products, the study emphasizes the need for stricter environmental monitoring, responsible usage, and safe disposal p</w:t>
      </w:r>
      <w:r>
        <w:t>ractices to mitigate unintended harm to non-target soil organisms such as earthworms.</w:t>
      </w:r>
    </w:p>
    <w:p w14:paraId="2965AE59" w14:textId="77777777" w:rsidR="00F35BF2" w:rsidRDefault="00B86A8A">
      <w:pPr>
        <w:jc w:val="both"/>
        <w:rPr>
          <w:b/>
          <w:bCs/>
        </w:rPr>
      </w:pPr>
      <w:r>
        <w:rPr>
          <w:b/>
          <w:bCs/>
        </w:rPr>
        <w:lastRenderedPageBreak/>
        <w:t>REFERENCES</w:t>
      </w:r>
    </w:p>
    <w:p w14:paraId="3CDE64D3" w14:textId="77777777" w:rsidR="00F35BF2" w:rsidRDefault="00B86A8A">
      <w:pPr>
        <w:pStyle w:val="ListParagraph"/>
        <w:numPr>
          <w:ilvl w:val="0"/>
          <w:numId w:val="1"/>
        </w:numPr>
        <w:spacing w:line="259" w:lineRule="auto"/>
      </w:pPr>
      <w:proofErr w:type="spellStart"/>
      <w:r>
        <w:t>Bicho</w:t>
      </w:r>
      <w:proofErr w:type="spellEnd"/>
      <w:r>
        <w:t xml:space="preserve"> R C, Ribeiro T, Rodrigues N P, Scott-</w:t>
      </w:r>
      <w:proofErr w:type="spellStart"/>
      <w:r>
        <w:t>Fordsmand</w:t>
      </w:r>
      <w:proofErr w:type="spellEnd"/>
      <w:r>
        <w:t xml:space="preserve"> J </w:t>
      </w:r>
      <w:proofErr w:type="spellStart"/>
      <w:r>
        <w:t>J</w:t>
      </w:r>
      <w:proofErr w:type="spellEnd"/>
      <w:r>
        <w:t xml:space="preserve"> and Amorim M J B 2022. Full life cycle test with Eisenia </w:t>
      </w:r>
      <w:proofErr w:type="spellStart"/>
      <w:r>
        <w:t>fetida</w:t>
      </w:r>
      <w:proofErr w:type="spellEnd"/>
      <w:r>
        <w:t>—copper oxide NM toxicity and recovery.</w:t>
      </w:r>
      <w:r>
        <w:t xml:space="preserve"> Environmental Toxicology and Chemistry 41(9): 2147–57.</w:t>
      </w:r>
    </w:p>
    <w:p w14:paraId="3ACEB9FC" w14:textId="77777777" w:rsidR="00F35BF2" w:rsidRDefault="00B86A8A">
      <w:pPr>
        <w:pStyle w:val="ListParagraph"/>
        <w:numPr>
          <w:ilvl w:val="0"/>
          <w:numId w:val="1"/>
        </w:numPr>
        <w:spacing w:line="259" w:lineRule="auto"/>
      </w:pPr>
      <w:r>
        <w:t xml:space="preserve">Blouin M, Hodson M E, Delgado E A, Baker G, </w:t>
      </w:r>
      <w:proofErr w:type="spellStart"/>
      <w:r>
        <w:t>Brussaard</w:t>
      </w:r>
      <w:proofErr w:type="spellEnd"/>
      <w:r>
        <w:t xml:space="preserve"> L, Butt K R, Dai L, </w:t>
      </w:r>
      <w:proofErr w:type="spellStart"/>
      <w:r>
        <w:t>Dendooven</w:t>
      </w:r>
      <w:proofErr w:type="spellEnd"/>
      <w:r>
        <w:t xml:space="preserve"> L, Peres G, </w:t>
      </w:r>
      <w:proofErr w:type="spellStart"/>
      <w:r>
        <w:t>Tondoh</w:t>
      </w:r>
      <w:proofErr w:type="spellEnd"/>
      <w:r>
        <w:t xml:space="preserve"> J E and </w:t>
      </w:r>
      <w:proofErr w:type="spellStart"/>
      <w:r>
        <w:t>Cluzeau</w:t>
      </w:r>
      <w:proofErr w:type="spellEnd"/>
      <w:r>
        <w:t xml:space="preserve"> D 2013. A review of earthworm impact on soil function and ecosystem services. Eur</w:t>
      </w:r>
      <w:r>
        <w:t>opean Journal of Soil Science 64(2): 161–82.</w:t>
      </w:r>
    </w:p>
    <w:p w14:paraId="27C1CF64" w14:textId="77777777" w:rsidR="00F35BF2" w:rsidRDefault="00B86A8A">
      <w:pPr>
        <w:pStyle w:val="ListParagraph"/>
        <w:numPr>
          <w:ilvl w:val="0"/>
          <w:numId w:val="1"/>
        </w:numPr>
        <w:spacing w:line="259" w:lineRule="auto"/>
      </w:pPr>
      <w:r>
        <w:t>Boyle K, Curry J and Farrell E 1997. Influence of earthworms on soil properties and grass production in reclaimed cutover peat. Biology and Fertility of Soils 25(1): 20–26.</w:t>
      </w:r>
    </w:p>
    <w:p w14:paraId="513DF6CF" w14:textId="77777777" w:rsidR="00F35BF2" w:rsidRDefault="00B86A8A">
      <w:pPr>
        <w:pStyle w:val="ListParagraph"/>
        <w:numPr>
          <w:ilvl w:val="0"/>
          <w:numId w:val="1"/>
        </w:numPr>
        <w:spacing w:line="259" w:lineRule="auto"/>
      </w:pPr>
      <w:proofErr w:type="spellStart"/>
      <w:r>
        <w:t>Bundschuh</w:t>
      </w:r>
      <w:proofErr w:type="spellEnd"/>
      <w:r>
        <w:t xml:space="preserve"> M, </w:t>
      </w:r>
      <w:proofErr w:type="spellStart"/>
      <w:r>
        <w:t>Filser</w:t>
      </w:r>
      <w:proofErr w:type="spellEnd"/>
      <w:r>
        <w:t xml:space="preserve"> J, </w:t>
      </w:r>
      <w:proofErr w:type="spellStart"/>
      <w:r>
        <w:t>Lüderwald</w:t>
      </w:r>
      <w:proofErr w:type="spellEnd"/>
      <w:r>
        <w:t xml:space="preserve"> S, McKee M S, Metreveli G, Schaumann G E, Schulz R and Wagner S 2018. Nanoparticles in the environment: Where do we come from, where do we go to? Environmental Sciences Europe 30(1): 6.</w:t>
      </w:r>
    </w:p>
    <w:p w14:paraId="513247FA" w14:textId="77777777" w:rsidR="00F35BF2" w:rsidRDefault="00B86A8A">
      <w:pPr>
        <w:pStyle w:val="ListParagraph"/>
        <w:numPr>
          <w:ilvl w:val="0"/>
          <w:numId w:val="1"/>
        </w:numPr>
        <w:spacing w:line="259" w:lineRule="auto"/>
      </w:pPr>
      <w:r>
        <w:t xml:space="preserve">Das S and Gupta P 2021. Genotoxicity of two heavy metals, Pb and Cd, </w:t>
      </w:r>
      <w:r>
        <w:t xml:space="preserve">on Perionyx </w:t>
      </w:r>
      <w:proofErr w:type="spellStart"/>
      <w:r>
        <w:t>excavatus</w:t>
      </w:r>
      <w:proofErr w:type="spellEnd"/>
      <w:r>
        <w:t xml:space="preserve">, an </w:t>
      </w:r>
      <w:proofErr w:type="spellStart"/>
      <w:r>
        <w:t>epigeic</w:t>
      </w:r>
      <w:proofErr w:type="spellEnd"/>
      <w:r>
        <w:t xml:space="preserve"> earthworm. Environmental Science and Pollution Research 28: 12345–54.</w:t>
      </w:r>
    </w:p>
    <w:p w14:paraId="1100276D" w14:textId="77777777" w:rsidR="00F35BF2" w:rsidRDefault="00B86A8A">
      <w:pPr>
        <w:pStyle w:val="ListParagraph"/>
        <w:numPr>
          <w:ilvl w:val="0"/>
          <w:numId w:val="1"/>
        </w:numPr>
        <w:spacing w:line="259" w:lineRule="auto"/>
      </w:pPr>
      <w:r>
        <w:t xml:space="preserve">Das S and Patra R C 2015. Effect of heavy metals on earthworm biomass in contaminated soils of Joda region, Odisha, India. Environmental Monitoring and </w:t>
      </w:r>
      <w:r>
        <w:t>Assessment 187: Article 262.</w:t>
      </w:r>
    </w:p>
    <w:p w14:paraId="4DF53FC3" w14:textId="77777777" w:rsidR="00F35BF2" w:rsidRDefault="00B86A8A">
      <w:pPr>
        <w:pStyle w:val="ListParagraph"/>
        <w:numPr>
          <w:ilvl w:val="0"/>
          <w:numId w:val="1"/>
        </w:numPr>
        <w:spacing w:line="259" w:lineRule="auto"/>
      </w:pPr>
      <w:r>
        <w:t>Edwards C A 2004. Earthworm Ecology. CRC Press, 456 pp.</w:t>
      </w:r>
    </w:p>
    <w:p w14:paraId="549BFA66" w14:textId="77777777" w:rsidR="00F35BF2" w:rsidRDefault="00B86A8A">
      <w:pPr>
        <w:pStyle w:val="ListParagraph"/>
        <w:numPr>
          <w:ilvl w:val="0"/>
          <w:numId w:val="1"/>
        </w:numPr>
        <w:spacing w:line="259" w:lineRule="auto"/>
      </w:pPr>
      <w:r>
        <w:t xml:space="preserve">Gautam R K, Gautam P K, Banerjee S, Chattopadhyaya M C and Pandey J D 2017. Immunotoxicity of copper nanoparticle and copper </w:t>
      </w:r>
      <w:proofErr w:type="spellStart"/>
      <w:r>
        <w:t>sulfate</w:t>
      </w:r>
      <w:proofErr w:type="spellEnd"/>
      <w:r>
        <w:t xml:space="preserve"> in a common Indian earthworm. Ecotoxic</w:t>
      </w:r>
      <w:r>
        <w:t>ology and Environmental Safety 144: 430–38.</w:t>
      </w:r>
    </w:p>
    <w:p w14:paraId="7EE1FDBB" w14:textId="77777777" w:rsidR="00F35BF2" w:rsidRDefault="00B86A8A">
      <w:pPr>
        <w:pStyle w:val="ListParagraph"/>
        <w:numPr>
          <w:ilvl w:val="0"/>
          <w:numId w:val="1"/>
        </w:numPr>
        <w:spacing w:line="259" w:lineRule="auto"/>
      </w:pPr>
      <w:r>
        <w:t xml:space="preserve">Kale R D 1998. Earthworm: Cinderella of Organic Farming. Prism Book </w:t>
      </w:r>
      <w:proofErr w:type="spellStart"/>
      <w:r>
        <w:t>Pvt.</w:t>
      </w:r>
      <w:proofErr w:type="spellEnd"/>
      <w:r>
        <w:t xml:space="preserve"> Ltd., Bangalore, India, 88 pp.</w:t>
      </w:r>
    </w:p>
    <w:p w14:paraId="3ECFF79A" w14:textId="77777777" w:rsidR="00F35BF2" w:rsidRDefault="00B86A8A">
      <w:pPr>
        <w:pStyle w:val="ListParagraph"/>
        <w:numPr>
          <w:ilvl w:val="0"/>
          <w:numId w:val="1"/>
        </w:numPr>
        <w:spacing w:line="259" w:lineRule="auto"/>
      </w:pPr>
      <w:r>
        <w:t xml:space="preserve">Keller A </w:t>
      </w:r>
      <w:proofErr w:type="spellStart"/>
      <w:r>
        <w:t>A</w:t>
      </w:r>
      <w:proofErr w:type="spellEnd"/>
      <w:r>
        <w:t xml:space="preserve"> 2021. Incidence of metal-based nanoparticles in the conventional wastewater treatment process. Wa</w:t>
      </w:r>
      <w:r>
        <w:t>ter Research 189: 116603.</w:t>
      </w:r>
    </w:p>
    <w:p w14:paraId="4B5AB4C6" w14:textId="77777777" w:rsidR="00F35BF2" w:rsidRDefault="00B86A8A">
      <w:pPr>
        <w:pStyle w:val="ListParagraph"/>
        <w:numPr>
          <w:ilvl w:val="0"/>
          <w:numId w:val="1"/>
        </w:numPr>
        <w:spacing w:line="259" w:lineRule="auto"/>
      </w:pPr>
      <w:r>
        <w:t xml:space="preserve">Kora A J 2022. Copper-based </w:t>
      </w:r>
      <w:proofErr w:type="spellStart"/>
      <w:r>
        <w:t>nanopesticides</w:t>
      </w:r>
      <w:proofErr w:type="spellEnd"/>
      <w:r>
        <w:t>. In: Abd-</w:t>
      </w:r>
      <w:proofErr w:type="spellStart"/>
      <w:r>
        <w:t>Elsalam</w:t>
      </w:r>
      <w:proofErr w:type="spellEnd"/>
      <w:r>
        <w:t xml:space="preserve"> K A (Ed.), Nanobiotechnology for Plant Protection (pp. 133–53). Elsevier. ISBN 9780128238332.</w:t>
      </w:r>
    </w:p>
    <w:p w14:paraId="71D5E3FF" w14:textId="77777777" w:rsidR="00F35BF2" w:rsidRDefault="00B86A8A">
      <w:pPr>
        <w:pStyle w:val="ListParagraph"/>
        <w:numPr>
          <w:ilvl w:val="0"/>
          <w:numId w:val="1"/>
        </w:numPr>
        <w:spacing w:line="259" w:lineRule="auto"/>
      </w:pPr>
      <w:r>
        <w:t>McGillicuddy E, Murray I, Kavanagh S, Morrison L, Fogarty A, Cormican M, Doc</w:t>
      </w:r>
      <w:r>
        <w:t>kery P, Prendergast M, Rowan N and Morris D 2017. Silver nanoparticles in the environment: Sources, detection and ecotoxicology. Science of The Total Environment 575: 231–46.</w:t>
      </w:r>
    </w:p>
    <w:p w14:paraId="3598A633" w14:textId="77777777" w:rsidR="00F35BF2" w:rsidRDefault="00B86A8A">
      <w:pPr>
        <w:pStyle w:val="ListParagraph"/>
        <w:numPr>
          <w:ilvl w:val="0"/>
          <w:numId w:val="1"/>
        </w:numPr>
        <w:spacing w:line="259" w:lineRule="auto"/>
      </w:pPr>
      <w:proofErr w:type="spellStart"/>
      <w:r>
        <w:t>Mosleh</w:t>
      </w:r>
      <w:proofErr w:type="spellEnd"/>
      <w:r>
        <w:t xml:space="preserve"> Y </w:t>
      </w:r>
      <w:proofErr w:type="spellStart"/>
      <w:r>
        <w:t>Y</w:t>
      </w:r>
      <w:proofErr w:type="spellEnd"/>
      <w:r>
        <w:t xml:space="preserve">, Paris-Palacios S and </w:t>
      </w:r>
      <w:proofErr w:type="spellStart"/>
      <w:r>
        <w:t>Coulaud</w:t>
      </w:r>
      <w:proofErr w:type="spellEnd"/>
      <w:r>
        <w:t xml:space="preserve"> R 2023. Toxicological effects of enginee</w:t>
      </w:r>
      <w:r>
        <w:t>red nanoparticles on earthworms (</w:t>
      </w:r>
      <w:proofErr w:type="spellStart"/>
      <w:r>
        <w:t>Lumbricus</w:t>
      </w:r>
      <w:proofErr w:type="spellEnd"/>
      <w:r>
        <w:t xml:space="preserve"> </w:t>
      </w:r>
      <w:proofErr w:type="spellStart"/>
      <w:r>
        <w:t>rubellus</w:t>
      </w:r>
      <w:proofErr w:type="spellEnd"/>
      <w:r>
        <w:t>) in short exposure. Environmental Toxicology and Pharmacology 98: 103414.</w:t>
      </w:r>
    </w:p>
    <w:p w14:paraId="3C2CB00B" w14:textId="77777777" w:rsidR="00F35BF2" w:rsidRDefault="00B86A8A">
      <w:pPr>
        <w:pStyle w:val="ListParagraph"/>
        <w:numPr>
          <w:ilvl w:val="0"/>
          <w:numId w:val="1"/>
        </w:numPr>
        <w:spacing w:line="259" w:lineRule="auto"/>
      </w:pPr>
      <w:proofErr w:type="spellStart"/>
      <w:r>
        <w:t>Nainawat</w:t>
      </w:r>
      <w:proofErr w:type="spellEnd"/>
      <w:r>
        <w:t xml:space="preserve"> R and Nagendra B 2001. Density and distribution of earthworms in different localities of Jaipur. Journal of Eco-physiolog</w:t>
      </w:r>
      <w:r>
        <w:t>y 4: 9–13.</w:t>
      </w:r>
    </w:p>
    <w:p w14:paraId="196A74B5" w14:textId="77777777" w:rsidR="00F35BF2" w:rsidRDefault="00B86A8A">
      <w:pPr>
        <w:pStyle w:val="ListParagraph"/>
        <w:numPr>
          <w:ilvl w:val="0"/>
          <w:numId w:val="1"/>
        </w:numPr>
        <w:spacing w:line="259" w:lineRule="auto"/>
      </w:pPr>
      <w:proofErr w:type="spellStart"/>
      <w:r>
        <w:t>Nahmani</w:t>
      </w:r>
      <w:proofErr w:type="spellEnd"/>
      <w:r>
        <w:t xml:space="preserve"> J and Rossi J-P 2003. Soil macroinvertebrates as indicators of pollution by heavy metals. </w:t>
      </w:r>
      <w:proofErr w:type="spellStart"/>
      <w:r>
        <w:t>Comptes</w:t>
      </w:r>
      <w:proofErr w:type="spellEnd"/>
      <w:r>
        <w:t xml:space="preserve"> </w:t>
      </w:r>
      <w:proofErr w:type="spellStart"/>
      <w:r>
        <w:t>Rendus</w:t>
      </w:r>
      <w:proofErr w:type="spellEnd"/>
      <w:r>
        <w:t xml:space="preserve"> </w:t>
      </w:r>
      <w:proofErr w:type="spellStart"/>
      <w:r>
        <w:t>Biologies</w:t>
      </w:r>
      <w:proofErr w:type="spellEnd"/>
      <w:r>
        <w:t xml:space="preserve"> 326(4): 295–303.</w:t>
      </w:r>
    </w:p>
    <w:p w14:paraId="240C0E03" w14:textId="77777777" w:rsidR="00F35BF2" w:rsidRDefault="00B86A8A">
      <w:pPr>
        <w:pStyle w:val="ListParagraph"/>
        <w:numPr>
          <w:ilvl w:val="0"/>
          <w:numId w:val="1"/>
        </w:numPr>
        <w:spacing w:line="259" w:lineRule="auto"/>
      </w:pPr>
      <w:r>
        <w:lastRenderedPageBreak/>
        <w:t>OECD 2008. OECD Guidelines for the Testing of Chemicals. Test No. 222: Earthworm Reproduction Test (Eisen</w:t>
      </w:r>
      <w:r>
        <w:t xml:space="preserve">ia </w:t>
      </w:r>
      <w:proofErr w:type="spellStart"/>
      <w:r>
        <w:t>fetida</w:t>
      </w:r>
      <w:proofErr w:type="spellEnd"/>
      <w:r>
        <w:t xml:space="preserve">/Eisenia </w:t>
      </w:r>
      <w:proofErr w:type="spellStart"/>
      <w:r>
        <w:t>andrei</w:t>
      </w:r>
      <w:proofErr w:type="spellEnd"/>
      <w:r>
        <w:t>). Organisation for Economic Co-operation and Development, Paris.</w:t>
      </w:r>
    </w:p>
    <w:p w14:paraId="7D823CC9" w14:textId="77777777" w:rsidR="00F35BF2" w:rsidRDefault="00B86A8A">
      <w:pPr>
        <w:pStyle w:val="ListParagraph"/>
        <w:numPr>
          <w:ilvl w:val="0"/>
          <w:numId w:val="1"/>
        </w:numPr>
        <w:spacing w:line="259" w:lineRule="auto"/>
      </w:pPr>
      <w:r>
        <w:t xml:space="preserve">Pani S C and Senapati B K 1986. Effect of malathion on population dynamics, reproductive biology, and secondary production of </w:t>
      </w:r>
      <w:proofErr w:type="spellStart"/>
      <w:r>
        <w:t>Drawida</w:t>
      </w:r>
      <w:proofErr w:type="spellEnd"/>
      <w:r>
        <w:t xml:space="preserve"> </w:t>
      </w:r>
      <w:proofErr w:type="spellStart"/>
      <w:r>
        <w:t>willsi</w:t>
      </w:r>
      <w:proofErr w:type="spellEnd"/>
      <w:r>
        <w:t xml:space="preserve">, </w:t>
      </w:r>
      <w:proofErr w:type="spellStart"/>
      <w:r>
        <w:t>Michaelsen</w:t>
      </w:r>
      <w:proofErr w:type="spellEnd"/>
      <w:r>
        <w:t xml:space="preserve">, from upland </w:t>
      </w:r>
      <w:r>
        <w:t>irrigated paddy field soil of Orissa, India. In: Dash M C, Senapati B K and Mishra P C (Eds.), Proceedings of the National Seminar on Organic Waste Utilization and Vermicomposting (pp. 97–110). Five Star, Burla, India.</w:t>
      </w:r>
    </w:p>
    <w:p w14:paraId="0862F7F7" w14:textId="77777777" w:rsidR="00F35BF2" w:rsidRDefault="00B86A8A">
      <w:pPr>
        <w:pStyle w:val="ListParagraph"/>
        <w:numPr>
          <w:ilvl w:val="0"/>
          <w:numId w:val="1"/>
        </w:numPr>
        <w:spacing w:line="259" w:lineRule="auto"/>
      </w:pPr>
      <w:r>
        <w:t>Royal Society and The Royal Academy o</w:t>
      </w:r>
      <w:r>
        <w:t>f Engineering 2004. Nanoscience and Nanotechnologies: Opportunities and Uncertainties. London, UK.</w:t>
      </w:r>
    </w:p>
    <w:p w14:paraId="57CF6578" w14:textId="77777777" w:rsidR="00F35BF2" w:rsidRDefault="00B86A8A">
      <w:pPr>
        <w:pStyle w:val="ListParagraph"/>
        <w:numPr>
          <w:ilvl w:val="0"/>
          <w:numId w:val="1"/>
        </w:numPr>
        <w:spacing w:line="259" w:lineRule="auto"/>
      </w:pPr>
      <w:r>
        <w:t xml:space="preserve">Sahu M P and Senapati B K 1988. Differential growth and reproduction of earthworms in organic wastes. </w:t>
      </w:r>
      <w:proofErr w:type="spellStart"/>
      <w:r>
        <w:t>Pedobiologia</w:t>
      </w:r>
      <w:proofErr w:type="spellEnd"/>
      <w:r>
        <w:t xml:space="preserve"> 32(5): 331–39.</w:t>
      </w:r>
    </w:p>
    <w:p w14:paraId="4A7482E9" w14:textId="77777777" w:rsidR="00F35BF2" w:rsidRDefault="00B86A8A">
      <w:pPr>
        <w:pStyle w:val="ListParagraph"/>
        <w:numPr>
          <w:ilvl w:val="0"/>
          <w:numId w:val="1"/>
        </w:numPr>
        <w:spacing w:line="259" w:lineRule="auto"/>
      </w:pPr>
      <w:r>
        <w:t xml:space="preserve">Sinha R, Heart S, Valani D </w:t>
      </w:r>
      <w:r>
        <w:t>B and Chauhan K A 2010. The environmental engineers: A review of vermiculture technologies for environmental management and resource development. International Journal of Global Environmental Issues 10(3/4): 274–88.</w:t>
      </w:r>
    </w:p>
    <w:p w14:paraId="72CF0812" w14:textId="77777777" w:rsidR="00F35BF2" w:rsidRDefault="00B86A8A">
      <w:pPr>
        <w:pStyle w:val="ListParagraph"/>
        <w:numPr>
          <w:ilvl w:val="0"/>
          <w:numId w:val="1"/>
        </w:numPr>
        <w:spacing w:line="259" w:lineRule="auto"/>
      </w:pPr>
      <w:r>
        <w:t>Srivastava R, Gupta D K, Choudhary A K a</w:t>
      </w:r>
      <w:r>
        <w:t xml:space="preserve">nd Sinha M P 2013. Biomass and secondary production of earthworm </w:t>
      </w:r>
      <w:proofErr w:type="spellStart"/>
      <w:r>
        <w:t>Drawida</w:t>
      </w:r>
      <w:proofErr w:type="spellEnd"/>
      <w:r>
        <w:t xml:space="preserve"> </w:t>
      </w:r>
      <w:proofErr w:type="spellStart"/>
      <w:r>
        <w:t>willsi</w:t>
      </w:r>
      <w:proofErr w:type="spellEnd"/>
      <w:r>
        <w:t xml:space="preserve"> (</w:t>
      </w:r>
      <w:proofErr w:type="spellStart"/>
      <w:r>
        <w:t>Michaelsen</w:t>
      </w:r>
      <w:proofErr w:type="spellEnd"/>
      <w:r>
        <w:t>) from a tropical agroecosystem in Ranchi, Jharkhand. Nature Environment and Pollution Technology 12(1): 179–82.</w:t>
      </w:r>
      <w:bookmarkEnd w:id="0"/>
    </w:p>
    <w:sectPr w:rsidR="00F35B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E821C" w14:textId="77777777" w:rsidR="00B86A8A" w:rsidRDefault="00B86A8A">
      <w:pPr>
        <w:spacing w:line="240" w:lineRule="auto"/>
      </w:pPr>
      <w:r>
        <w:separator/>
      </w:r>
    </w:p>
  </w:endnote>
  <w:endnote w:type="continuationSeparator" w:id="0">
    <w:p w14:paraId="13D91853" w14:textId="77777777" w:rsidR="00B86A8A" w:rsidRDefault="00B86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0AAE" w14:textId="77777777" w:rsidR="00B86A8A" w:rsidRDefault="00B86A8A">
      <w:pPr>
        <w:spacing w:after="0"/>
      </w:pPr>
      <w:r>
        <w:separator/>
      </w:r>
    </w:p>
  </w:footnote>
  <w:footnote w:type="continuationSeparator" w:id="0">
    <w:p w14:paraId="550E1D16" w14:textId="77777777" w:rsidR="00B86A8A" w:rsidRDefault="00B86A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5663A"/>
    <w:multiLevelType w:val="multilevel"/>
    <w:tmpl w:val="3985663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87"/>
    <w:rsid w:val="00004367"/>
    <w:rsid w:val="000230AB"/>
    <w:rsid w:val="000569DC"/>
    <w:rsid w:val="000B0C56"/>
    <w:rsid w:val="000D0AE7"/>
    <w:rsid w:val="000E79B5"/>
    <w:rsid w:val="00114F7C"/>
    <w:rsid w:val="00130491"/>
    <w:rsid w:val="00130690"/>
    <w:rsid w:val="00164228"/>
    <w:rsid w:val="0017416F"/>
    <w:rsid w:val="001B583A"/>
    <w:rsid w:val="001B7B07"/>
    <w:rsid w:val="001C27DF"/>
    <w:rsid w:val="001C786F"/>
    <w:rsid w:val="001D534E"/>
    <w:rsid w:val="00243C31"/>
    <w:rsid w:val="002F20E9"/>
    <w:rsid w:val="00314557"/>
    <w:rsid w:val="00332040"/>
    <w:rsid w:val="0033469A"/>
    <w:rsid w:val="0036530F"/>
    <w:rsid w:val="00432F30"/>
    <w:rsid w:val="00436DA0"/>
    <w:rsid w:val="00470A85"/>
    <w:rsid w:val="0047345D"/>
    <w:rsid w:val="004B1BD7"/>
    <w:rsid w:val="004C1B60"/>
    <w:rsid w:val="004C341C"/>
    <w:rsid w:val="004C5255"/>
    <w:rsid w:val="004E17B3"/>
    <w:rsid w:val="004E3BC7"/>
    <w:rsid w:val="004E6B20"/>
    <w:rsid w:val="00521C6F"/>
    <w:rsid w:val="00524055"/>
    <w:rsid w:val="00544E26"/>
    <w:rsid w:val="00574F72"/>
    <w:rsid w:val="005830E1"/>
    <w:rsid w:val="005A1DEA"/>
    <w:rsid w:val="005B1387"/>
    <w:rsid w:val="005D0160"/>
    <w:rsid w:val="00601955"/>
    <w:rsid w:val="006227B9"/>
    <w:rsid w:val="006452F4"/>
    <w:rsid w:val="00645CAD"/>
    <w:rsid w:val="006629AF"/>
    <w:rsid w:val="007A0D74"/>
    <w:rsid w:val="007A20DB"/>
    <w:rsid w:val="007B3A61"/>
    <w:rsid w:val="007B3E01"/>
    <w:rsid w:val="008042A2"/>
    <w:rsid w:val="00862E1E"/>
    <w:rsid w:val="00884A35"/>
    <w:rsid w:val="008E399B"/>
    <w:rsid w:val="00995167"/>
    <w:rsid w:val="00A05EB6"/>
    <w:rsid w:val="00A06A45"/>
    <w:rsid w:val="00A1338B"/>
    <w:rsid w:val="00A23126"/>
    <w:rsid w:val="00A65BD8"/>
    <w:rsid w:val="00A66E1A"/>
    <w:rsid w:val="00A94441"/>
    <w:rsid w:val="00AB43C2"/>
    <w:rsid w:val="00B37CC4"/>
    <w:rsid w:val="00B4464D"/>
    <w:rsid w:val="00B741BA"/>
    <w:rsid w:val="00B86A8A"/>
    <w:rsid w:val="00BA11DD"/>
    <w:rsid w:val="00BA414E"/>
    <w:rsid w:val="00BA5272"/>
    <w:rsid w:val="00BC3ADD"/>
    <w:rsid w:val="00C27E55"/>
    <w:rsid w:val="00C35D77"/>
    <w:rsid w:val="00C4035D"/>
    <w:rsid w:val="00C84AAF"/>
    <w:rsid w:val="00C97939"/>
    <w:rsid w:val="00D11DE4"/>
    <w:rsid w:val="00D16852"/>
    <w:rsid w:val="00D561BC"/>
    <w:rsid w:val="00D93A87"/>
    <w:rsid w:val="00DB10A7"/>
    <w:rsid w:val="00E50CC1"/>
    <w:rsid w:val="00EA3A52"/>
    <w:rsid w:val="00EA6523"/>
    <w:rsid w:val="00EE32BE"/>
    <w:rsid w:val="00F13EB4"/>
    <w:rsid w:val="00F35BF2"/>
    <w:rsid w:val="00F66377"/>
    <w:rsid w:val="00F70725"/>
    <w:rsid w:val="00F71E6C"/>
    <w:rsid w:val="00FA7A43"/>
    <w:rsid w:val="00FB3E77"/>
    <w:rsid w:val="00FF216E"/>
    <w:rsid w:val="00FF7F42"/>
    <w:rsid w:val="2E7745CB"/>
    <w:rsid w:val="60AF544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EE090F"/>
  <w15:docId w15:val="{F07BFB02-21D0-45D7-9AEB-84C8ED74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940830">
      <w:bodyDiv w:val="1"/>
      <w:marLeft w:val="0"/>
      <w:marRight w:val="0"/>
      <w:marTop w:val="0"/>
      <w:marBottom w:val="0"/>
      <w:divBdr>
        <w:top w:val="none" w:sz="0" w:space="0" w:color="auto"/>
        <w:left w:val="none" w:sz="0" w:space="0" w:color="auto"/>
        <w:bottom w:val="none" w:sz="0" w:space="0" w:color="auto"/>
        <w:right w:val="none" w:sz="0" w:space="0" w:color="auto"/>
      </w:divBdr>
    </w:div>
    <w:div w:id="1966497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Biomass (Wet Weight) of earthworm at diff.</a:t>
            </a:r>
            <a:r>
              <a:rPr lang="en-US" baseline="0"/>
              <a:t> conc for 28 days</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'Biomass wet weight'!$B$33</c:f>
              <c:strCache>
                <c:ptCount val="1"/>
                <c:pt idx="0">
                  <c:v>0</c:v>
                </c:pt>
              </c:strCache>
            </c:strRef>
          </c:tx>
          <c:spPr>
            <a:solidFill>
              <a:schemeClr val="accent1"/>
            </a:solidFill>
            <a:ln>
              <a:noFill/>
            </a:ln>
            <a:effectLst/>
          </c:spPr>
          <c:invertIfNegative val="0"/>
          <c:errBars>
            <c:errBarType val="both"/>
            <c:errValType val="cust"/>
            <c:noEndCap val="0"/>
            <c:plus>
              <c:numRef>
                <c:f>'Biomass wet weight'!$B$25:$B$30</c:f>
                <c:numCache>
                  <c:formatCode>General</c:formatCode>
                  <c:ptCount val="6"/>
                  <c:pt idx="0">
                    <c:v>2.5166114784234399E-2</c:v>
                  </c:pt>
                  <c:pt idx="1">
                    <c:v>0.23586719427112601</c:v>
                  </c:pt>
                  <c:pt idx="2">
                    <c:v>3.0550504633038301E-2</c:v>
                  </c:pt>
                  <c:pt idx="3">
                    <c:v>0.23797758998135299</c:v>
                  </c:pt>
                  <c:pt idx="4">
                    <c:v>0.29308701779505603</c:v>
                  </c:pt>
                  <c:pt idx="5">
                    <c:v>0.39627431576287397</c:v>
                  </c:pt>
                </c:numCache>
              </c:numRef>
            </c:plus>
            <c:minus>
              <c:numRef>
                <c:f>'Biomass wet weight'!$B$25:$B$30</c:f>
                <c:numCache>
                  <c:formatCode>General</c:formatCode>
                  <c:ptCount val="6"/>
                  <c:pt idx="0">
                    <c:v>2.5166114784234399E-2</c:v>
                  </c:pt>
                  <c:pt idx="1">
                    <c:v>0.23586719427112601</c:v>
                  </c:pt>
                  <c:pt idx="2">
                    <c:v>3.0550504633038301E-2</c:v>
                  </c:pt>
                  <c:pt idx="3">
                    <c:v>0.23797758998135299</c:v>
                  </c:pt>
                  <c:pt idx="4">
                    <c:v>0.29308701779505603</c:v>
                  </c:pt>
                  <c:pt idx="5">
                    <c:v>0.39627431576287397</c:v>
                  </c:pt>
                </c:numCache>
              </c:numRef>
            </c:minus>
            <c:spPr>
              <a:noFill/>
              <a:ln w="9525" cap="flat" cmpd="sng" algn="ctr">
                <a:solidFill>
                  <a:schemeClr val="tx1">
                    <a:lumMod val="65000"/>
                    <a:lumOff val="35000"/>
                  </a:schemeClr>
                </a:solidFill>
                <a:round/>
              </a:ln>
              <a:effectLst/>
            </c:spPr>
          </c:errBars>
          <c:cat>
            <c:strRef>
              <c:f>'Biomass wet weight'!$A$34:$A$39</c:f>
              <c:strCache>
                <c:ptCount val="6"/>
                <c:pt idx="0">
                  <c:v>CONTROL</c:v>
                </c:pt>
                <c:pt idx="1">
                  <c:v>200</c:v>
                </c:pt>
                <c:pt idx="2">
                  <c:v>400</c:v>
                </c:pt>
                <c:pt idx="3">
                  <c:v>600</c:v>
                </c:pt>
                <c:pt idx="4">
                  <c:v>800</c:v>
                </c:pt>
                <c:pt idx="5">
                  <c:v>1000</c:v>
                </c:pt>
              </c:strCache>
            </c:strRef>
          </c:cat>
          <c:val>
            <c:numRef>
              <c:f>'Biomass wet weight'!$B$34:$B$39</c:f>
              <c:numCache>
                <c:formatCode>General</c:formatCode>
                <c:ptCount val="6"/>
                <c:pt idx="0">
                  <c:v>17.8</c:v>
                </c:pt>
                <c:pt idx="1">
                  <c:v>18.22</c:v>
                </c:pt>
                <c:pt idx="2">
                  <c:v>17.77</c:v>
                </c:pt>
                <c:pt idx="3">
                  <c:v>18.23</c:v>
                </c:pt>
                <c:pt idx="4">
                  <c:v>18.05</c:v>
                </c:pt>
                <c:pt idx="5">
                  <c:v>18.440000000000001</c:v>
                </c:pt>
              </c:numCache>
            </c:numRef>
          </c:val>
          <c:extLst>
            <c:ext xmlns:c16="http://schemas.microsoft.com/office/drawing/2014/chart" uri="{C3380CC4-5D6E-409C-BE32-E72D297353CC}">
              <c16:uniqueId val="{00000000-CD4D-401B-AFED-39A6E7DF1315}"/>
            </c:ext>
          </c:extLst>
        </c:ser>
        <c:ser>
          <c:idx val="1"/>
          <c:order val="1"/>
          <c:tx>
            <c:strRef>
              <c:f>'Biomass wet weight'!$C$33</c:f>
              <c:strCache>
                <c:ptCount val="1"/>
                <c:pt idx="0">
                  <c:v>7</c:v>
                </c:pt>
              </c:strCache>
            </c:strRef>
          </c:tx>
          <c:spPr>
            <a:solidFill>
              <a:schemeClr val="accent2"/>
            </a:solidFill>
            <a:ln>
              <a:noFill/>
            </a:ln>
            <a:effectLst/>
          </c:spPr>
          <c:invertIfNegative val="0"/>
          <c:errBars>
            <c:errBarType val="both"/>
            <c:errValType val="cust"/>
            <c:noEndCap val="0"/>
            <c:plus>
              <c:numRef>
                <c:f>'Biomass wet weight'!$D$25:$D$30</c:f>
                <c:numCache>
                  <c:formatCode>General</c:formatCode>
                  <c:ptCount val="6"/>
                  <c:pt idx="0">
                    <c:v>1.9999999999999601E-2</c:v>
                  </c:pt>
                  <c:pt idx="1">
                    <c:v>0.141891977691952</c:v>
                  </c:pt>
                  <c:pt idx="2">
                    <c:v>1.52752523165184E-2</c:v>
                  </c:pt>
                  <c:pt idx="3">
                    <c:v>0.199749843554381</c:v>
                  </c:pt>
                  <c:pt idx="4">
                    <c:v>0.49812983581927101</c:v>
                  </c:pt>
                  <c:pt idx="5">
                    <c:v>0.38552993831002702</c:v>
                  </c:pt>
                </c:numCache>
              </c:numRef>
            </c:plus>
            <c:minus>
              <c:numRef>
                <c:f>'Biomass wet weight'!$D$25:$D$30</c:f>
                <c:numCache>
                  <c:formatCode>General</c:formatCode>
                  <c:ptCount val="6"/>
                  <c:pt idx="0">
                    <c:v>1.9999999999999601E-2</c:v>
                  </c:pt>
                  <c:pt idx="1">
                    <c:v>0.141891977691952</c:v>
                  </c:pt>
                  <c:pt idx="2">
                    <c:v>1.52752523165184E-2</c:v>
                  </c:pt>
                  <c:pt idx="3">
                    <c:v>0.199749843554381</c:v>
                  </c:pt>
                  <c:pt idx="4">
                    <c:v>0.49812983581927101</c:v>
                  </c:pt>
                  <c:pt idx="5">
                    <c:v>0.38552993831002702</c:v>
                  </c:pt>
                </c:numCache>
              </c:numRef>
            </c:minus>
            <c:spPr>
              <a:noFill/>
              <a:ln w="9525" cap="flat" cmpd="sng" algn="ctr">
                <a:solidFill>
                  <a:schemeClr val="tx1">
                    <a:lumMod val="65000"/>
                    <a:lumOff val="35000"/>
                  </a:schemeClr>
                </a:solidFill>
                <a:round/>
              </a:ln>
              <a:effectLst/>
            </c:spPr>
          </c:errBars>
          <c:cat>
            <c:strRef>
              <c:f>'Biomass wet weight'!$A$34:$A$39</c:f>
              <c:strCache>
                <c:ptCount val="6"/>
                <c:pt idx="0">
                  <c:v>CONTROL</c:v>
                </c:pt>
                <c:pt idx="1">
                  <c:v>200</c:v>
                </c:pt>
                <c:pt idx="2">
                  <c:v>400</c:v>
                </c:pt>
                <c:pt idx="3">
                  <c:v>600</c:v>
                </c:pt>
                <c:pt idx="4">
                  <c:v>800</c:v>
                </c:pt>
                <c:pt idx="5">
                  <c:v>1000</c:v>
                </c:pt>
              </c:strCache>
            </c:strRef>
          </c:cat>
          <c:val>
            <c:numRef>
              <c:f>'Biomass wet weight'!$C$34:$C$39</c:f>
              <c:numCache>
                <c:formatCode>General</c:formatCode>
                <c:ptCount val="6"/>
                <c:pt idx="0">
                  <c:v>17.809999999999999</c:v>
                </c:pt>
                <c:pt idx="1">
                  <c:v>18.27</c:v>
                </c:pt>
                <c:pt idx="2">
                  <c:v>17.77</c:v>
                </c:pt>
                <c:pt idx="3">
                  <c:v>18.12</c:v>
                </c:pt>
                <c:pt idx="4">
                  <c:v>14.56</c:v>
                </c:pt>
                <c:pt idx="5">
                  <c:v>12.42</c:v>
                </c:pt>
              </c:numCache>
            </c:numRef>
          </c:val>
          <c:extLst>
            <c:ext xmlns:c16="http://schemas.microsoft.com/office/drawing/2014/chart" uri="{C3380CC4-5D6E-409C-BE32-E72D297353CC}">
              <c16:uniqueId val="{00000001-CD4D-401B-AFED-39A6E7DF1315}"/>
            </c:ext>
          </c:extLst>
        </c:ser>
        <c:ser>
          <c:idx val="2"/>
          <c:order val="2"/>
          <c:tx>
            <c:strRef>
              <c:f>'Biomass wet weight'!$D$33</c:f>
              <c:strCache>
                <c:ptCount val="1"/>
                <c:pt idx="0">
                  <c:v>14</c:v>
                </c:pt>
              </c:strCache>
            </c:strRef>
          </c:tx>
          <c:spPr>
            <a:solidFill>
              <a:schemeClr val="accent3"/>
            </a:solidFill>
            <a:ln>
              <a:noFill/>
            </a:ln>
            <a:effectLst/>
          </c:spPr>
          <c:invertIfNegative val="0"/>
          <c:errBars>
            <c:errBarType val="both"/>
            <c:errValType val="cust"/>
            <c:noEndCap val="0"/>
            <c:plus>
              <c:numRef>
                <c:f>'Biomass wet weight'!$F$25:$F$30</c:f>
                <c:numCache>
                  <c:formatCode>General</c:formatCode>
                  <c:ptCount val="6"/>
                  <c:pt idx="0">
                    <c:v>1.9999999999999601E-2</c:v>
                  </c:pt>
                  <c:pt idx="1">
                    <c:v>0.13</c:v>
                  </c:pt>
                  <c:pt idx="2">
                    <c:v>3.0000000000001099E-2</c:v>
                  </c:pt>
                  <c:pt idx="3">
                    <c:v>8.3266639978644502E-2</c:v>
                  </c:pt>
                  <c:pt idx="4">
                    <c:v>0.494267134250296</c:v>
                  </c:pt>
                  <c:pt idx="5">
                    <c:v>4.7258156262526101E-2</c:v>
                  </c:pt>
                </c:numCache>
              </c:numRef>
            </c:plus>
            <c:minus>
              <c:numRef>
                <c:f>'Biomass wet weight'!$F$25:$F$30</c:f>
                <c:numCache>
                  <c:formatCode>General</c:formatCode>
                  <c:ptCount val="6"/>
                  <c:pt idx="0">
                    <c:v>1.9999999999999601E-2</c:v>
                  </c:pt>
                  <c:pt idx="1">
                    <c:v>0.13</c:v>
                  </c:pt>
                  <c:pt idx="2">
                    <c:v>3.0000000000001099E-2</c:v>
                  </c:pt>
                  <c:pt idx="3">
                    <c:v>8.3266639978644502E-2</c:v>
                  </c:pt>
                  <c:pt idx="4">
                    <c:v>0.494267134250296</c:v>
                  </c:pt>
                  <c:pt idx="5">
                    <c:v>4.7258156262526101E-2</c:v>
                  </c:pt>
                </c:numCache>
              </c:numRef>
            </c:minus>
            <c:spPr>
              <a:noFill/>
              <a:ln w="9525" cap="flat" cmpd="sng" algn="ctr">
                <a:solidFill>
                  <a:schemeClr val="tx1">
                    <a:lumMod val="65000"/>
                    <a:lumOff val="35000"/>
                  </a:schemeClr>
                </a:solidFill>
                <a:round/>
              </a:ln>
              <a:effectLst/>
            </c:spPr>
          </c:errBars>
          <c:cat>
            <c:strRef>
              <c:f>'Biomass wet weight'!$A$34:$A$39</c:f>
              <c:strCache>
                <c:ptCount val="6"/>
                <c:pt idx="0">
                  <c:v>CONTROL</c:v>
                </c:pt>
                <c:pt idx="1">
                  <c:v>200</c:v>
                </c:pt>
                <c:pt idx="2">
                  <c:v>400</c:v>
                </c:pt>
                <c:pt idx="3">
                  <c:v>600</c:v>
                </c:pt>
                <c:pt idx="4">
                  <c:v>800</c:v>
                </c:pt>
                <c:pt idx="5">
                  <c:v>1000</c:v>
                </c:pt>
              </c:strCache>
            </c:strRef>
          </c:cat>
          <c:val>
            <c:numRef>
              <c:f>'Biomass wet weight'!$D$34:$D$39</c:f>
              <c:numCache>
                <c:formatCode>General</c:formatCode>
                <c:ptCount val="6"/>
                <c:pt idx="0">
                  <c:v>17.88</c:v>
                </c:pt>
                <c:pt idx="1">
                  <c:v>18.28</c:v>
                </c:pt>
                <c:pt idx="2">
                  <c:v>16.25</c:v>
                </c:pt>
                <c:pt idx="3">
                  <c:v>16.079999999999998</c:v>
                </c:pt>
                <c:pt idx="4">
                  <c:v>9.5500000000000007</c:v>
                </c:pt>
                <c:pt idx="5">
                  <c:v>7.22</c:v>
                </c:pt>
              </c:numCache>
            </c:numRef>
          </c:val>
          <c:extLst>
            <c:ext xmlns:c16="http://schemas.microsoft.com/office/drawing/2014/chart" uri="{C3380CC4-5D6E-409C-BE32-E72D297353CC}">
              <c16:uniqueId val="{00000002-CD4D-401B-AFED-39A6E7DF1315}"/>
            </c:ext>
          </c:extLst>
        </c:ser>
        <c:ser>
          <c:idx val="3"/>
          <c:order val="3"/>
          <c:tx>
            <c:strRef>
              <c:f>'Biomass wet weight'!$E$33</c:f>
              <c:strCache>
                <c:ptCount val="1"/>
                <c:pt idx="0">
                  <c:v>21</c:v>
                </c:pt>
              </c:strCache>
            </c:strRef>
          </c:tx>
          <c:spPr>
            <a:solidFill>
              <a:schemeClr val="accent4"/>
            </a:solidFill>
            <a:ln>
              <a:noFill/>
            </a:ln>
            <a:effectLst/>
          </c:spPr>
          <c:invertIfNegative val="0"/>
          <c:errBars>
            <c:errBarType val="both"/>
            <c:errValType val="cust"/>
            <c:noEndCap val="0"/>
            <c:plus>
              <c:numRef>
                <c:f>'Biomass wet weight'!$H$25:$H$30</c:f>
                <c:numCache>
                  <c:formatCode>General</c:formatCode>
                  <c:ptCount val="6"/>
                  <c:pt idx="0">
                    <c:v>2.51661147842362E-2</c:v>
                  </c:pt>
                  <c:pt idx="1">
                    <c:v>0.128582010146574</c:v>
                  </c:pt>
                  <c:pt idx="2">
                    <c:v>3.5118845842842597E-2</c:v>
                  </c:pt>
                  <c:pt idx="3">
                    <c:v>0.51156622249714701</c:v>
                  </c:pt>
                  <c:pt idx="4">
                    <c:v>5.2915026221292003E-2</c:v>
                  </c:pt>
                  <c:pt idx="5">
                    <c:v>4.7258156262526198E-2</c:v>
                  </c:pt>
                </c:numCache>
              </c:numRef>
            </c:plus>
            <c:minus>
              <c:numRef>
                <c:f>'Biomass wet weight'!$H$25:$H$30</c:f>
                <c:numCache>
                  <c:formatCode>General</c:formatCode>
                  <c:ptCount val="6"/>
                  <c:pt idx="0">
                    <c:v>2.51661147842362E-2</c:v>
                  </c:pt>
                  <c:pt idx="1">
                    <c:v>0.128582010146574</c:v>
                  </c:pt>
                  <c:pt idx="2">
                    <c:v>3.5118845842842597E-2</c:v>
                  </c:pt>
                  <c:pt idx="3">
                    <c:v>0.51156622249714701</c:v>
                  </c:pt>
                  <c:pt idx="4">
                    <c:v>5.2915026221292003E-2</c:v>
                  </c:pt>
                  <c:pt idx="5">
                    <c:v>4.7258156262526198E-2</c:v>
                  </c:pt>
                </c:numCache>
              </c:numRef>
            </c:minus>
            <c:spPr>
              <a:noFill/>
              <a:ln w="9525" cap="flat" cmpd="sng" algn="ctr">
                <a:solidFill>
                  <a:schemeClr val="tx1">
                    <a:lumMod val="65000"/>
                    <a:lumOff val="35000"/>
                  </a:schemeClr>
                </a:solidFill>
                <a:round/>
              </a:ln>
              <a:effectLst/>
            </c:spPr>
          </c:errBars>
          <c:cat>
            <c:strRef>
              <c:f>'Biomass wet weight'!$A$34:$A$39</c:f>
              <c:strCache>
                <c:ptCount val="6"/>
                <c:pt idx="0">
                  <c:v>CONTROL</c:v>
                </c:pt>
                <c:pt idx="1">
                  <c:v>200</c:v>
                </c:pt>
                <c:pt idx="2">
                  <c:v>400</c:v>
                </c:pt>
                <c:pt idx="3">
                  <c:v>600</c:v>
                </c:pt>
                <c:pt idx="4">
                  <c:v>800</c:v>
                </c:pt>
                <c:pt idx="5">
                  <c:v>1000</c:v>
                </c:pt>
              </c:strCache>
            </c:strRef>
          </c:cat>
          <c:val>
            <c:numRef>
              <c:f>'Biomass wet weight'!$E$34:$E$39</c:f>
              <c:numCache>
                <c:formatCode>General</c:formatCode>
                <c:ptCount val="6"/>
                <c:pt idx="0">
                  <c:v>17.88</c:v>
                </c:pt>
                <c:pt idx="1">
                  <c:v>18.13</c:v>
                </c:pt>
                <c:pt idx="2">
                  <c:v>13.54</c:v>
                </c:pt>
                <c:pt idx="3">
                  <c:v>10.54</c:v>
                </c:pt>
                <c:pt idx="4">
                  <c:v>5.42</c:v>
                </c:pt>
                <c:pt idx="5">
                  <c:v>3.62</c:v>
                </c:pt>
              </c:numCache>
            </c:numRef>
          </c:val>
          <c:extLst>
            <c:ext xmlns:c16="http://schemas.microsoft.com/office/drawing/2014/chart" uri="{C3380CC4-5D6E-409C-BE32-E72D297353CC}">
              <c16:uniqueId val="{00000003-CD4D-401B-AFED-39A6E7DF1315}"/>
            </c:ext>
          </c:extLst>
        </c:ser>
        <c:ser>
          <c:idx val="4"/>
          <c:order val="4"/>
          <c:tx>
            <c:strRef>
              <c:f>'Biomass wet weight'!$F$33</c:f>
              <c:strCache>
                <c:ptCount val="1"/>
                <c:pt idx="0">
                  <c:v>28</c:v>
                </c:pt>
              </c:strCache>
            </c:strRef>
          </c:tx>
          <c:spPr>
            <a:solidFill>
              <a:schemeClr val="accent5"/>
            </a:solidFill>
            <a:ln>
              <a:noFill/>
            </a:ln>
            <a:effectLst/>
          </c:spPr>
          <c:invertIfNegative val="0"/>
          <c:errBars>
            <c:errBarType val="both"/>
            <c:errValType val="cust"/>
            <c:noEndCap val="0"/>
            <c:plus>
              <c:numRef>
                <c:f>'Biomass wet weight'!$J$25:$J$30</c:f>
                <c:numCache>
                  <c:formatCode>General</c:formatCode>
                  <c:ptCount val="6"/>
                  <c:pt idx="0">
                    <c:v>5.1316014394468E-2</c:v>
                  </c:pt>
                  <c:pt idx="1">
                    <c:v>8.7368949480541899E-2</c:v>
                  </c:pt>
                  <c:pt idx="2">
                    <c:v>3.21455025366435E-2</c:v>
                  </c:pt>
                  <c:pt idx="3">
                    <c:v>0.10214368964029701</c:v>
                  </c:pt>
                  <c:pt idx="4">
                    <c:v>4.7258156262525997E-2</c:v>
                  </c:pt>
                  <c:pt idx="5">
                    <c:v>5.0332229568471602E-2</c:v>
                  </c:pt>
                </c:numCache>
              </c:numRef>
            </c:plus>
            <c:minus>
              <c:numRef>
                <c:f>'Biomass wet weight'!$J$25:$J$30</c:f>
                <c:numCache>
                  <c:formatCode>General</c:formatCode>
                  <c:ptCount val="6"/>
                  <c:pt idx="0">
                    <c:v>5.1316014394468E-2</c:v>
                  </c:pt>
                  <c:pt idx="1">
                    <c:v>8.7368949480541899E-2</c:v>
                  </c:pt>
                  <c:pt idx="2">
                    <c:v>3.21455025366435E-2</c:v>
                  </c:pt>
                  <c:pt idx="3">
                    <c:v>0.10214368964029701</c:v>
                  </c:pt>
                  <c:pt idx="4">
                    <c:v>4.7258156262525997E-2</c:v>
                  </c:pt>
                  <c:pt idx="5">
                    <c:v>5.0332229568471602E-2</c:v>
                  </c:pt>
                </c:numCache>
              </c:numRef>
            </c:minus>
            <c:spPr>
              <a:noFill/>
              <a:ln w="9525" cap="flat" cmpd="sng" algn="ctr">
                <a:solidFill>
                  <a:schemeClr val="tx1">
                    <a:lumMod val="65000"/>
                    <a:lumOff val="35000"/>
                  </a:schemeClr>
                </a:solidFill>
                <a:round/>
              </a:ln>
              <a:effectLst/>
            </c:spPr>
          </c:errBars>
          <c:cat>
            <c:strRef>
              <c:f>'Biomass wet weight'!$A$34:$A$39</c:f>
              <c:strCache>
                <c:ptCount val="6"/>
                <c:pt idx="0">
                  <c:v>CONTROL</c:v>
                </c:pt>
                <c:pt idx="1">
                  <c:v>200</c:v>
                </c:pt>
                <c:pt idx="2">
                  <c:v>400</c:v>
                </c:pt>
                <c:pt idx="3">
                  <c:v>600</c:v>
                </c:pt>
                <c:pt idx="4">
                  <c:v>800</c:v>
                </c:pt>
                <c:pt idx="5">
                  <c:v>1000</c:v>
                </c:pt>
              </c:strCache>
            </c:strRef>
          </c:cat>
          <c:val>
            <c:numRef>
              <c:f>'Biomass wet weight'!$F$34:$F$39</c:f>
              <c:numCache>
                <c:formatCode>General</c:formatCode>
                <c:ptCount val="6"/>
                <c:pt idx="0">
                  <c:v>17.940000000000001</c:v>
                </c:pt>
                <c:pt idx="1">
                  <c:v>18.079999999999998</c:v>
                </c:pt>
                <c:pt idx="2">
                  <c:v>10.84</c:v>
                </c:pt>
                <c:pt idx="3">
                  <c:v>8.09</c:v>
                </c:pt>
                <c:pt idx="4">
                  <c:v>2.72</c:v>
                </c:pt>
                <c:pt idx="5">
                  <c:v>1.83</c:v>
                </c:pt>
              </c:numCache>
            </c:numRef>
          </c:val>
          <c:extLst>
            <c:ext xmlns:c16="http://schemas.microsoft.com/office/drawing/2014/chart" uri="{C3380CC4-5D6E-409C-BE32-E72D297353CC}">
              <c16:uniqueId val="{00000004-CD4D-401B-AFED-39A6E7DF1315}"/>
            </c:ext>
          </c:extLst>
        </c:ser>
        <c:dLbls>
          <c:showLegendKey val="0"/>
          <c:showVal val="0"/>
          <c:showCatName val="0"/>
          <c:showSerName val="0"/>
          <c:showPercent val="0"/>
          <c:showBubbleSize val="0"/>
        </c:dLbls>
        <c:gapWidth val="219"/>
        <c:overlap val="-27"/>
        <c:axId val="1251444368"/>
        <c:axId val="1382231280"/>
      </c:barChart>
      <c:catAx>
        <c:axId val="12514443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Different conc. of CuO nanoparticles in mg per</a:t>
                </a:r>
                <a:r>
                  <a:rPr lang="en-US" baseline="0"/>
                  <a:t> kg of soil</a:t>
                </a:r>
                <a:endParaRPr lang="en-US"/>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82231280"/>
        <c:crosses val="autoZero"/>
        <c:auto val="1"/>
        <c:lblAlgn val="ctr"/>
        <c:lblOffset val="100"/>
        <c:noMultiLvlLbl val="0"/>
      </c:catAx>
      <c:valAx>
        <c:axId val="1382231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Biomass</a:t>
                </a:r>
                <a:r>
                  <a:rPr lang="en-IN" baseline="0"/>
                  <a:t> in g/m sq.</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5144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0357298-d74c-40bc-bac7-3e75c05fa0c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Biomass (Dry</a:t>
            </a:r>
            <a:r>
              <a:rPr lang="en-US" baseline="0"/>
              <a:t> weight)of earthworm at different concentration</a:t>
            </a:r>
            <a:r>
              <a:rPr lang="en-US"/>
              <a:t> for 28 days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'Biomass dry weight'!$P$4</c:f>
              <c:strCache>
                <c:ptCount val="1"/>
                <c:pt idx="0">
                  <c:v>0</c:v>
                </c:pt>
              </c:strCache>
            </c:strRef>
          </c:tx>
          <c:spPr>
            <a:solidFill>
              <a:schemeClr val="accent1"/>
            </a:solidFill>
            <a:ln>
              <a:noFill/>
            </a:ln>
            <a:effectLst/>
          </c:spPr>
          <c:invertIfNegative val="0"/>
          <c:errBars>
            <c:errBarType val="both"/>
            <c:errValType val="cust"/>
            <c:noEndCap val="0"/>
            <c:plus>
              <c:numRef>
                <c:f>'Biomass dry weight'!$B$25:$B$30</c:f>
                <c:numCache>
                  <c:formatCode>General</c:formatCode>
                  <c:ptCount val="6"/>
                  <c:pt idx="0">
                    <c:v>4.0414518843273801E-2</c:v>
                  </c:pt>
                  <c:pt idx="1">
                    <c:v>5.1316014394468902E-2</c:v>
                  </c:pt>
                  <c:pt idx="2">
                    <c:v>6.1101009266077901E-2</c:v>
                  </c:pt>
                  <c:pt idx="3">
                    <c:v>4.5092497528229102E-2</c:v>
                  </c:pt>
                  <c:pt idx="4">
                    <c:v>4.3588989435406698E-2</c:v>
                  </c:pt>
                  <c:pt idx="5">
                    <c:v>5.1316014394468902E-2</c:v>
                  </c:pt>
                </c:numCache>
              </c:numRef>
            </c:plus>
            <c:minus>
              <c:numRef>
                <c:f>'Biomass dry weight'!$B$25:$B$30</c:f>
                <c:numCache>
                  <c:formatCode>General</c:formatCode>
                  <c:ptCount val="6"/>
                  <c:pt idx="0">
                    <c:v>4.0414518843273801E-2</c:v>
                  </c:pt>
                  <c:pt idx="1">
                    <c:v>5.1316014394468902E-2</c:v>
                  </c:pt>
                  <c:pt idx="2">
                    <c:v>6.1101009266077901E-2</c:v>
                  </c:pt>
                  <c:pt idx="3">
                    <c:v>4.5092497528229102E-2</c:v>
                  </c:pt>
                  <c:pt idx="4">
                    <c:v>4.3588989435406698E-2</c:v>
                  </c:pt>
                  <c:pt idx="5">
                    <c:v>5.1316014394468902E-2</c:v>
                  </c:pt>
                </c:numCache>
              </c:numRef>
            </c:minus>
            <c:spPr>
              <a:noFill/>
              <a:ln w="9525" cap="flat" cmpd="sng" algn="ctr">
                <a:solidFill>
                  <a:schemeClr val="tx1">
                    <a:lumMod val="65000"/>
                    <a:lumOff val="35000"/>
                  </a:schemeClr>
                </a:solidFill>
                <a:round/>
              </a:ln>
              <a:effectLst/>
            </c:spPr>
          </c:errBars>
          <c:cat>
            <c:strRef>
              <c:f>'Biomass dry weight'!$O$5:$O$10</c:f>
              <c:strCache>
                <c:ptCount val="6"/>
                <c:pt idx="0">
                  <c:v>CONTROL</c:v>
                </c:pt>
                <c:pt idx="1">
                  <c:v>200</c:v>
                </c:pt>
                <c:pt idx="2">
                  <c:v>400</c:v>
                </c:pt>
                <c:pt idx="3">
                  <c:v>600</c:v>
                </c:pt>
                <c:pt idx="4">
                  <c:v>800</c:v>
                </c:pt>
                <c:pt idx="5">
                  <c:v>1000</c:v>
                </c:pt>
              </c:strCache>
            </c:strRef>
          </c:cat>
          <c:val>
            <c:numRef>
              <c:f>'Biomass dry weight'!$P$5:$P$10</c:f>
              <c:numCache>
                <c:formatCode>General</c:formatCode>
                <c:ptCount val="6"/>
                <c:pt idx="0">
                  <c:v>3.62</c:v>
                </c:pt>
                <c:pt idx="1">
                  <c:v>3.63</c:v>
                </c:pt>
                <c:pt idx="2">
                  <c:v>3.64</c:v>
                </c:pt>
                <c:pt idx="3">
                  <c:v>3.63</c:v>
                </c:pt>
                <c:pt idx="4">
                  <c:v>3.63</c:v>
                </c:pt>
                <c:pt idx="5">
                  <c:v>3.64</c:v>
                </c:pt>
              </c:numCache>
            </c:numRef>
          </c:val>
          <c:extLst>
            <c:ext xmlns:c16="http://schemas.microsoft.com/office/drawing/2014/chart" uri="{C3380CC4-5D6E-409C-BE32-E72D297353CC}">
              <c16:uniqueId val="{00000000-F7E0-46A3-9849-01A3B8F09A97}"/>
            </c:ext>
          </c:extLst>
        </c:ser>
        <c:ser>
          <c:idx val="1"/>
          <c:order val="1"/>
          <c:tx>
            <c:strRef>
              <c:f>'Biomass dry weight'!$Q$4</c:f>
              <c:strCache>
                <c:ptCount val="1"/>
                <c:pt idx="0">
                  <c:v>7</c:v>
                </c:pt>
              </c:strCache>
            </c:strRef>
          </c:tx>
          <c:spPr>
            <a:solidFill>
              <a:schemeClr val="accent2"/>
            </a:solidFill>
            <a:ln>
              <a:noFill/>
            </a:ln>
            <a:effectLst/>
          </c:spPr>
          <c:invertIfNegative val="0"/>
          <c:errBars>
            <c:errBarType val="both"/>
            <c:errValType val="cust"/>
            <c:noEndCap val="0"/>
            <c:plus>
              <c:numRef>
                <c:f>'Biomass dry weight'!$D$25:$D$30</c:f>
                <c:numCache>
                  <c:formatCode>General</c:formatCode>
                  <c:ptCount val="6"/>
                  <c:pt idx="0">
                    <c:v>4.0414518843273899E-2</c:v>
                  </c:pt>
                  <c:pt idx="1">
                    <c:v>4.1633319989322702E-2</c:v>
                  </c:pt>
                  <c:pt idx="2">
                    <c:v>4.9328828623162402E-2</c:v>
                  </c:pt>
                  <c:pt idx="3">
                    <c:v>4.3588989435406698E-2</c:v>
                  </c:pt>
                  <c:pt idx="4">
                    <c:v>3.60555127546398E-2</c:v>
                  </c:pt>
                  <c:pt idx="5">
                    <c:v>2.5166114784235701E-2</c:v>
                  </c:pt>
                </c:numCache>
              </c:numRef>
            </c:plus>
            <c:minus>
              <c:numRef>
                <c:f>'Biomass dry weight'!$D$25:$D$30</c:f>
                <c:numCache>
                  <c:formatCode>General</c:formatCode>
                  <c:ptCount val="6"/>
                  <c:pt idx="0">
                    <c:v>4.0414518843273899E-2</c:v>
                  </c:pt>
                  <c:pt idx="1">
                    <c:v>4.1633319989322702E-2</c:v>
                  </c:pt>
                  <c:pt idx="2">
                    <c:v>4.9328828623162402E-2</c:v>
                  </c:pt>
                  <c:pt idx="3">
                    <c:v>4.3588989435406698E-2</c:v>
                  </c:pt>
                  <c:pt idx="4">
                    <c:v>3.60555127546398E-2</c:v>
                  </c:pt>
                  <c:pt idx="5">
                    <c:v>2.5166114784235701E-2</c:v>
                  </c:pt>
                </c:numCache>
              </c:numRef>
            </c:minus>
            <c:spPr>
              <a:noFill/>
              <a:ln w="9525" cap="flat" cmpd="sng" algn="ctr">
                <a:solidFill>
                  <a:schemeClr val="tx1">
                    <a:lumMod val="65000"/>
                    <a:lumOff val="35000"/>
                  </a:schemeClr>
                </a:solidFill>
                <a:round/>
              </a:ln>
              <a:effectLst/>
            </c:spPr>
          </c:errBars>
          <c:cat>
            <c:strRef>
              <c:f>'Biomass dry weight'!$O$5:$O$10</c:f>
              <c:strCache>
                <c:ptCount val="6"/>
                <c:pt idx="0">
                  <c:v>CONTROL</c:v>
                </c:pt>
                <c:pt idx="1">
                  <c:v>200</c:v>
                </c:pt>
                <c:pt idx="2">
                  <c:v>400</c:v>
                </c:pt>
                <c:pt idx="3">
                  <c:v>600</c:v>
                </c:pt>
                <c:pt idx="4">
                  <c:v>800</c:v>
                </c:pt>
                <c:pt idx="5">
                  <c:v>1000</c:v>
                </c:pt>
              </c:strCache>
            </c:strRef>
          </c:cat>
          <c:val>
            <c:numRef>
              <c:f>'Biomass dry weight'!$Q$5:$Q$10</c:f>
              <c:numCache>
                <c:formatCode>General</c:formatCode>
                <c:ptCount val="6"/>
                <c:pt idx="0">
                  <c:v>3.65</c:v>
                </c:pt>
                <c:pt idx="1">
                  <c:v>3.65</c:v>
                </c:pt>
                <c:pt idx="2">
                  <c:v>3.65</c:v>
                </c:pt>
                <c:pt idx="3">
                  <c:v>3.63</c:v>
                </c:pt>
                <c:pt idx="4">
                  <c:v>2.84</c:v>
                </c:pt>
                <c:pt idx="5">
                  <c:v>2.54</c:v>
                </c:pt>
              </c:numCache>
            </c:numRef>
          </c:val>
          <c:extLst>
            <c:ext xmlns:c16="http://schemas.microsoft.com/office/drawing/2014/chart" uri="{C3380CC4-5D6E-409C-BE32-E72D297353CC}">
              <c16:uniqueId val="{00000001-F7E0-46A3-9849-01A3B8F09A97}"/>
            </c:ext>
          </c:extLst>
        </c:ser>
        <c:ser>
          <c:idx val="2"/>
          <c:order val="2"/>
          <c:tx>
            <c:strRef>
              <c:f>'Biomass dry weight'!$R$4</c:f>
              <c:strCache>
                <c:ptCount val="1"/>
                <c:pt idx="0">
                  <c:v>14</c:v>
                </c:pt>
              </c:strCache>
            </c:strRef>
          </c:tx>
          <c:spPr>
            <a:solidFill>
              <a:schemeClr val="accent3"/>
            </a:solidFill>
            <a:ln>
              <a:noFill/>
            </a:ln>
            <a:effectLst/>
          </c:spPr>
          <c:invertIfNegative val="0"/>
          <c:errBars>
            <c:errBarType val="both"/>
            <c:errValType val="cust"/>
            <c:noEndCap val="0"/>
            <c:plus>
              <c:numRef>
                <c:f>'Biomass dry weight'!$D$25:$D$30</c:f>
                <c:numCache>
                  <c:formatCode>General</c:formatCode>
                  <c:ptCount val="6"/>
                  <c:pt idx="0">
                    <c:v>4.0414518843273899E-2</c:v>
                  </c:pt>
                  <c:pt idx="1">
                    <c:v>4.1633319989322702E-2</c:v>
                  </c:pt>
                  <c:pt idx="2">
                    <c:v>4.9328828623162402E-2</c:v>
                  </c:pt>
                  <c:pt idx="3">
                    <c:v>4.3588989435406698E-2</c:v>
                  </c:pt>
                  <c:pt idx="4">
                    <c:v>3.60555127546398E-2</c:v>
                  </c:pt>
                  <c:pt idx="5">
                    <c:v>2.5166114784235701E-2</c:v>
                  </c:pt>
                </c:numCache>
              </c:numRef>
            </c:plus>
            <c:minus>
              <c:numRef>
                <c:f>'Biomass dry weight'!$F$25:$F$30</c:f>
                <c:numCache>
                  <c:formatCode>General</c:formatCode>
                  <c:ptCount val="6"/>
                  <c:pt idx="0">
                    <c:v>1.5275252316519401E-2</c:v>
                  </c:pt>
                  <c:pt idx="1">
                    <c:v>2.64575131106458E-2</c:v>
                  </c:pt>
                  <c:pt idx="2">
                    <c:v>2.9999999999999801E-2</c:v>
                  </c:pt>
                  <c:pt idx="3">
                    <c:v>0.03</c:v>
                  </c:pt>
                  <c:pt idx="4">
                    <c:v>4.1633319989322598E-2</c:v>
                  </c:pt>
                  <c:pt idx="5">
                    <c:v>0.03</c:v>
                  </c:pt>
                </c:numCache>
              </c:numRef>
            </c:minus>
            <c:spPr>
              <a:noFill/>
              <a:ln w="9525" cap="flat" cmpd="sng" algn="ctr">
                <a:solidFill>
                  <a:schemeClr val="tx1">
                    <a:lumMod val="65000"/>
                    <a:lumOff val="35000"/>
                  </a:schemeClr>
                </a:solidFill>
                <a:round/>
              </a:ln>
              <a:effectLst/>
            </c:spPr>
          </c:errBars>
          <c:cat>
            <c:strRef>
              <c:f>'Biomass dry weight'!$O$5:$O$10</c:f>
              <c:strCache>
                <c:ptCount val="6"/>
                <c:pt idx="0">
                  <c:v>CONTROL</c:v>
                </c:pt>
                <c:pt idx="1">
                  <c:v>200</c:v>
                </c:pt>
                <c:pt idx="2">
                  <c:v>400</c:v>
                </c:pt>
                <c:pt idx="3">
                  <c:v>600</c:v>
                </c:pt>
                <c:pt idx="4">
                  <c:v>800</c:v>
                </c:pt>
                <c:pt idx="5">
                  <c:v>1000</c:v>
                </c:pt>
              </c:strCache>
            </c:strRef>
          </c:cat>
          <c:val>
            <c:numRef>
              <c:f>'Biomass dry weight'!$R$5:$R$10</c:f>
              <c:numCache>
                <c:formatCode>General</c:formatCode>
                <c:ptCount val="6"/>
                <c:pt idx="0">
                  <c:v>3.67</c:v>
                </c:pt>
                <c:pt idx="1">
                  <c:v>3.66</c:v>
                </c:pt>
                <c:pt idx="2">
                  <c:v>3.25</c:v>
                </c:pt>
                <c:pt idx="3">
                  <c:v>3.24</c:v>
                </c:pt>
                <c:pt idx="4">
                  <c:v>1.84</c:v>
                </c:pt>
                <c:pt idx="5">
                  <c:v>1.44</c:v>
                </c:pt>
              </c:numCache>
            </c:numRef>
          </c:val>
          <c:extLst>
            <c:ext xmlns:c16="http://schemas.microsoft.com/office/drawing/2014/chart" uri="{C3380CC4-5D6E-409C-BE32-E72D297353CC}">
              <c16:uniqueId val="{00000002-F7E0-46A3-9849-01A3B8F09A97}"/>
            </c:ext>
          </c:extLst>
        </c:ser>
        <c:ser>
          <c:idx val="3"/>
          <c:order val="3"/>
          <c:tx>
            <c:strRef>
              <c:f>'Biomass dry weight'!$S$4</c:f>
              <c:strCache>
                <c:ptCount val="1"/>
                <c:pt idx="0">
                  <c:v>21</c:v>
                </c:pt>
              </c:strCache>
            </c:strRef>
          </c:tx>
          <c:spPr>
            <a:solidFill>
              <a:schemeClr val="accent4"/>
            </a:solidFill>
            <a:ln>
              <a:noFill/>
            </a:ln>
            <a:effectLst/>
          </c:spPr>
          <c:invertIfNegative val="0"/>
          <c:errBars>
            <c:errBarType val="both"/>
            <c:errValType val="cust"/>
            <c:noEndCap val="0"/>
            <c:plus>
              <c:numRef>
                <c:f>'Biomass dry weight'!$H$25:$H$30</c:f>
                <c:numCache>
                  <c:formatCode>General</c:formatCode>
                  <c:ptCount val="6"/>
                  <c:pt idx="0">
                    <c:v>1.5275252316519401E-2</c:v>
                  </c:pt>
                  <c:pt idx="1">
                    <c:v>2.5166114784235999E-2</c:v>
                  </c:pt>
                  <c:pt idx="2">
                    <c:v>3.0550504633038999E-2</c:v>
                  </c:pt>
                  <c:pt idx="3">
                    <c:v>2.5166114784235999E-2</c:v>
                  </c:pt>
                  <c:pt idx="4">
                    <c:v>0.03</c:v>
                  </c:pt>
                  <c:pt idx="5">
                    <c:v>3.6055512754639897E-2</c:v>
                  </c:pt>
                </c:numCache>
              </c:numRef>
            </c:plus>
            <c:minus>
              <c:numRef>
                <c:f>'Biomass dry weight'!$H$25:$H$30</c:f>
                <c:numCache>
                  <c:formatCode>General</c:formatCode>
                  <c:ptCount val="6"/>
                  <c:pt idx="0">
                    <c:v>1.5275252316519401E-2</c:v>
                  </c:pt>
                  <c:pt idx="1">
                    <c:v>2.5166114784235999E-2</c:v>
                  </c:pt>
                  <c:pt idx="2">
                    <c:v>3.0550504633038999E-2</c:v>
                  </c:pt>
                  <c:pt idx="3">
                    <c:v>2.5166114784235999E-2</c:v>
                  </c:pt>
                  <c:pt idx="4">
                    <c:v>0.03</c:v>
                  </c:pt>
                  <c:pt idx="5">
                    <c:v>3.6055512754639897E-2</c:v>
                  </c:pt>
                </c:numCache>
              </c:numRef>
            </c:minus>
            <c:spPr>
              <a:noFill/>
              <a:ln w="9525" cap="flat" cmpd="sng" algn="ctr">
                <a:solidFill>
                  <a:schemeClr val="tx1">
                    <a:lumMod val="65000"/>
                    <a:lumOff val="35000"/>
                  </a:schemeClr>
                </a:solidFill>
                <a:round/>
              </a:ln>
              <a:effectLst/>
            </c:spPr>
          </c:errBars>
          <c:cat>
            <c:strRef>
              <c:f>'Biomass dry weight'!$O$5:$O$10</c:f>
              <c:strCache>
                <c:ptCount val="6"/>
                <c:pt idx="0">
                  <c:v>CONTROL</c:v>
                </c:pt>
                <c:pt idx="1">
                  <c:v>200</c:v>
                </c:pt>
                <c:pt idx="2">
                  <c:v>400</c:v>
                </c:pt>
                <c:pt idx="3">
                  <c:v>600</c:v>
                </c:pt>
                <c:pt idx="4">
                  <c:v>800</c:v>
                </c:pt>
                <c:pt idx="5">
                  <c:v>1000</c:v>
                </c:pt>
              </c:strCache>
            </c:strRef>
          </c:cat>
          <c:val>
            <c:numRef>
              <c:f>'Biomass dry weight'!$S$5:$S$10</c:f>
              <c:numCache>
                <c:formatCode>General</c:formatCode>
                <c:ptCount val="6"/>
                <c:pt idx="0">
                  <c:v>3.69</c:v>
                </c:pt>
                <c:pt idx="1">
                  <c:v>3.63</c:v>
                </c:pt>
                <c:pt idx="2">
                  <c:v>2.73</c:v>
                </c:pt>
                <c:pt idx="3">
                  <c:v>2.13</c:v>
                </c:pt>
                <c:pt idx="4">
                  <c:v>1.05</c:v>
                </c:pt>
                <c:pt idx="5">
                  <c:v>0.75</c:v>
                </c:pt>
              </c:numCache>
            </c:numRef>
          </c:val>
          <c:extLst>
            <c:ext xmlns:c16="http://schemas.microsoft.com/office/drawing/2014/chart" uri="{C3380CC4-5D6E-409C-BE32-E72D297353CC}">
              <c16:uniqueId val="{00000003-F7E0-46A3-9849-01A3B8F09A97}"/>
            </c:ext>
          </c:extLst>
        </c:ser>
        <c:ser>
          <c:idx val="4"/>
          <c:order val="4"/>
          <c:tx>
            <c:strRef>
              <c:f>'Biomass dry weight'!$T$4</c:f>
              <c:strCache>
                <c:ptCount val="1"/>
                <c:pt idx="0">
                  <c:v>28</c:v>
                </c:pt>
              </c:strCache>
            </c:strRef>
          </c:tx>
          <c:spPr>
            <a:solidFill>
              <a:schemeClr val="accent5"/>
            </a:solidFill>
            <a:ln>
              <a:noFill/>
            </a:ln>
            <a:effectLst/>
          </c:spPr>
          <c:invertIfNegative val="0"/>
          <c:errBars>
            <c:errBarType val="both"/>
            <c:errValType val="cust"/>
            <c:noEndCap val="0"/>
            <c:plus>
              <c:numRef>
                <c:f>'Biomass dry weight'!$J$25:$J$30</c:f>
                <c:numCache>
                  <c:formatCode>General</c:formatCode>
                  <c:ptCount val="6"/>
                  <c:pt idx="0">
                    <c:v>1.52752523165196E-2</c:v>
                  </c:pt>
                  <c:pt idx="1">
                    <c:v>0.01</c:v>
                  </c:pt>
                  <c:pt idx="2">
                    <c:v>2.5166114784235999E-2</c:v>
                  </c:pt>
                  <c:pt idx="3">
                    <c:v>2.5166114784235701E-2</c:v>
                  </c:pt>
                  <c:pt idx="4">
                    <c:v>0.03</c:v>
                  </c:pt>
                  <c:pt idx="5">
                    <c:v>0.03</c:v>
                  </c:pt>
                </c:numCache>
              </c:numRef>
            </c:plus>
            <c:minus>
              <c:numRef>
                <c:f>'Biomass dry weight'!$J$25:$J$30</c:f>
                <c:numCache>
                  <c:formatCode>General</c:formatCode>
                  <c:ptCount val="6"/>
                  <c:pt idx="0">
                    <c:v>1.52752523165196E-2</c:v>
                  </c:pt>
                  <c:pt idx="1">
                    <c:v>0.01</c:v>
                  </c:pt>
                  <c:pt idx="2">
                    <c:v>2.5166114784235999E-2</c:v>
                  </c:pt>
                  <c:pt idx="3">
                    <c:v>2.5166114784235701E-2</c:v>
                  </c:pt>
                  <c:pt idx="4">
                    <c:v>0.03</c:v>
                  </c:pt>
                  <c:pt idx="5">
                    <c:v>0.03</c:v>
                  </c:pt>
                </c:numCache>
              </c:numRef>
            </c:minus>
            <c:spPr>
              <a:noFill/>
              <a:ln w="9525" cap="flat" cmpd="sng" algn="ctr">
                <a:solidFill>
                  <a:schemeClr val="tx1">
                    <a:lumMod val="65000"/>
                    <a:lumOff val="35000"/>
                  </a:schemeClr>
                </a:solidFill>
                <a:round/>
              </a:ln>
              <a:effectLst/>
            </c:spPr>
          </c:errBars>
          <c:cat>
            <c:strRef>
              <c:f>'Biomass dry weight'!$O$5:$O$10</c:f>
              <c:strCache>
                <c:ptCount val="6"/>
                <c:pt idx="0">
                  <c:v>CONTROL</c:v>
                </c:pt>
                <c:pt idx="1">
                  <c:v>200</c:v>
                </c:pt>
                <c:pt idx="2">
                  <c:v>400</c:v>
                </c:pt>
                <c:pt idx="3">
                  <c:v>600</c:v>
                </c:pt>
                <c:pt idx="4">
                  <c:v>800</c:v>
                </c:pt>
                <c:pt idx="5">
                  <c:v>1000</c:v>
                </c:pt>
              </c:strCache>
            </c:strRef>
          </c:cat>
          <c:val>
            <c:numRef>
              <c:f>'Biomass dry weight'!$T$5:$T$10</c:f>
              <c:numCache>
                <c:formatCode>General</c:formatCode>
                <c:ptCount val="6"/>
                <c:pt idx="0">
                  <c:v>3.72</c:v>
                </c:pt>
                <c:pt idx="1">
                  <c:v>3.6</c:v>
                </c:pt>
                <c:pt idx="2">
                  <c:v>2.13</c:v>
                </c:pt>
                <c:pt idx="3">
                  <c:v>1.64</c:v>
                </c:pt>
                <c:pt idx="4">
                  <c:v>0.54</c:v>
                </c:pt>
                <c:pt idx="5">
                  <c:v>0.36</c:v>
                </c:pt>
              </c:numCache>
            </c:numRef>
          </c:val>
          <c:extLst>
            <c:ext xmlns:c16="http://schemas.microsoft.com/office/drawing/2014/chart" uri="{C3380CC4-5D6E-409C-BE32-E72D297353CC}">
              <c16:uniqueId val="{00000004-F7E0-46A3-9849-01A3B8F09A97}"/>
            </c:ext>
          </c:extLst>
        </c:ser>
        <c:dLbls>
          <c:showLegendKey val="0"/>
          <c:showVal val="0"/>
          <c:showCatName val="0"/>
          <c:showSerName val="0"/>
          <c:showPercent val="0"/>
          <c:showBubbleSize val="0"/>
        </c:dLbls>
        <c:gapWidth val="219"/>
        <c:overlap val="-27"/>
        <c:axId val="986237919"/>
        <c:axId val="1076056863"/>
      </c:barChart>
      <c:catAx>
        <c:axId val="986237919"/>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 of CuO nanoparticles in mg per kg of soil</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76056863"/>
        <c:crosses val="autoZero"/>
        <c:auto val="1"/>
        <c:lblAlgn val="ctr"/>
        <c:lblOffset val="100"/>
        <c:noMultiLvlLbl val="0"/>
      </c:catAx>
      <c:valAx>
        <c:axId val="1076056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Biomass</a:t>
                </a:r>
                <a:r>
                  <a:rPr lang="en-IN" baseline="0"/>
                  <a:t> in g/m sq</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6237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5154d1e-fe73-42bd-b5f4-641a344f58a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130" b="1" i="0" u="none" strike="noStrike" kern="1200" cap="none" spc="0" normalizeH="0" baseline="0">
                <a:solidFill>
                  <a:schemeClr val="dk1">
                    <a:lumMod val="50000"/>
                    <a:lumOff val="50000"/>
                  </a:schemeClr>
                </a:solidFill>
                <a:latin typeface="+mj-lt"/>
                <a:ea typeface="+mj-ea"/>
                <a:cs typeface="+mj-cs"/>
              </a:defRPr>
            </a:pPr>
            <a:r>
              <a:rPr lang="en-IN" sz="1200"/>
              <a:t>Rate of Reproduction</a:t>
            </a:r>
            <a:r>
              <a:rPr lang="en-IN" sz="1200" baseline="0"/>
              <a:t> of </a:t>
            </a:r>
            <a:r>
              <a:rPr lang="en-IN" sz="1200" i="1" baseline="0"/>
              <a:t>Drawida willsi </a:t>
            </a:r>
            <a:r>
              <a:rPr lang="en-IN" sz="1200" baseline="0"/>
              <a:t>in control and treated soil</a:t>
            </a:r>
            <a:endParaRPr lang="en-IN" sz="1200"/>
          </a:p>
          <a:p>
            <a:pPr>
              <a:defRPr/>
            </a:pPr>
            <a:endParaRPr lang="en-IN"/>
          </a:p>
        </c:rich>
      </c:tx>
      <c:layout>
        <c:manualLayout>
          <c:xMode val="edge"/>
          <c:yMode val="edge"/>
          <c:x val="0.140078601774075"/>
          <c:y val="2.3148148148148098E-2"/>
        </c:manualLayout>
      </c:layout>
      <c:overlay val="0"/>
      <c:spPr>
        <a:noFill/>
        <a:ln>
          <a:noFill/>
        </a:ln>
        <a:effectLst/>
      </c:spPr>
      <c:txPr>
        <a:bodyPr rot="0" spcFirstLastPara="1" vertOverflow="ellipsis" vert="horz" wrap="square" anchor="ctr" anchorCtr="1"/>
        <a:lstStyle/>
        <a:p>
          <a:pPr>
            <a:defRPr lang="en-US" sz="213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Day 0</c:v>
                </c:pt>
              </c:strCache>
            </c:strRef>
          </c:tx>
          <c:spPr>
            <a:solidFill>
              <a:schemeClr val="accent1"/>
            </a:solidFill>
            <a:ln>
              <a:noFill/>
            </a:ln>
            <a:effectLst/>
          </c:spPr>
          <c:invertIfNegative val="0"/>
          <c:dLbls>
            <c:delete val="1"/>
          </c:dLbls>
          <c:cat>
            <c:strRef>
              <c:f>Sheet1!$A$2:$A$3</c:f>
              <c:strCache>
                <c:ptCount val="2"/>
                <c:pt idx="0">
                  <c:v>Control</c:v>
                </c:pt>
                <c:pt idx="1">
                  <c:v>Treated</c:v>
                </c:pt>
              </c:strCache>
            </c:strRef>
          </c:cat>
          <c:val>
            <c:numRef>
              <c:f>Sheet1!$B$2:$B$3</c:f>
              <c:numCache>
                <c:formatCode>General</c:formatCode>
                <c:ptCount val="2"/>
                <c:pt idx="0">
                  <c:v>0.01</c:v>
                </c:pt>
                <c:pt idx="1">
                  <c:v>0.01</c:v>
                </c:pt>
              </c:numCache>
            </c:numRef>
          </c:val>
          <c:extLst>
            <c:ext xmlns:c16="http://schemas.microsoft.com/office/drawing/2014/chart" uri="{C3380CC4-5D6E-409C-BE32-E72D297353CC}">
              <c16:uniqueId val="{00000000-7E03-4F9D-8E17-4B6235CC160E}"/>
            </c:ext>
          </c:extLst>
        </c:ser>
        <c:ser>
          <c:idx val="1"/>
          <c:order val="1"/>
          <c:tx>
            <c:strRef>
              <c:f>Sheet1!$C$1</c:f>
              <c:strCache>
                <c:ptCount val="1"/>
                <c:pt idx="0">
                  <c:v>Day 14</c:v>
                </c:pt>
              </c:strCache>
            </c:strRef>
          </c:tx>
          <c:spPr>
            <a:solidFill>
              <a:schemeClr val="accent2"/>
            </a:solidFill>
            <a:ln>
              <a:noFill/>
            </a:ln>
            <a:effectLst/>
          </c:spPr>
          <c:invertIfNegative val="0"/>
          <c:dLbls>
            <c:delete val="1"/>
          </c:dLbls>
          <c:cat>
            <c:strRef>
              <c:f>Sheet1!$A$2:$A$3</c:f>
              <c:strCache>
                <c:ptCount val="2"/>
                <c:pt idx="0">
                  <c:v>Control</c:v>
                </c:pt>
                <c:pt idx="1">
                  <c:v>Treated</c:v>
                </c:pt>
              </c:strCache>
            </c:strRef>
          </c:cat>
          <c:val>
            <c:numRef>
              <c:f>Sheet1!$C$2:$C$3</c:f>
              <c:numCache>
                <c:formatCode>General</c:formatCode>
                <c:ptCount val="2"/>
                <c:pt idx="0">
                  <c:v>0.2</c:v>
                </c:pt>
                <c:pt idx="1">
                  <c:v>0.01</c:v>
                </c:pt>
              </c:numCache>
            </c:numRef>
          </c:val>
          <c:extLst>
            <c:ext xmlns:c16="http://schemas.microsoft.com/office/drawing/2014/chart" uri="{C3380CC4-5D6E-409C-BE32-E72D297353CC}">
              <c16:uniqueId val="{00000001-7E03-4F9D-8E17-4B6235CC160E}"/>
            </c:ext>
          </c:extLst>
        </c:ser>
        <c:ser>
          <c:idx val="2"/>
          <c:order val="2"/>
          <c:tx>
            <c:strRef>
              <c:f>Sheet1!$D$1</c:f>
              <c:strCache>
                <c:ptCount val="1"/>
                <c:pt idx="0">
                  <c:v>Day 28</c:v>
                </c:pt>
              </c:strCache>
            </c:strRef>
          </c:tx>
          <c:spPr>
            <a:solidFill>
              <a:schemeClr val="accent3"/>
            </a:solidFill>
            <a:ln>
              <a:noFill/>
            </a:ln>
            <a:effectLst/>
          </c:spPr>
          <c:invertIfNegative val="0"/>
          <c:dLbls>
            <c:delete val="1"/>
          </c:dLbls>
          <c:cat>
            <c:strRef>
              <c:f>Sheet1!$A$2:$A$3</c:f>
              <c:strCache>
                <c:ptCount val="2"/>
                <c:pt idx="0">
                  <c:v>Control</c:v>
                </c:pt>
                <c:pt idx="1">
                  <c:v>Treated</c:v>
                </c:pt>
              </c:strCache>
            </c:strRef>
          </c:cat>
          <c:val>
            <c:numRef>
              <c:f>Sheet1!$D$2:$D$3</c:f>
              <c:numCache>
                <c:formatCode>General</c:formatCode>
                <c:ptCount val="2"/>
                <c:pt idx="0">
                  <c:v>0.4</c:v>
                </c:pt>
                <c:pt idx="1">
                  <c:v>0.01</c:v>
                </c:pt>
              </c:numCache>
            </c:numRef>
          </c:val>
          <c:extLst>
            <c:ext xmlns:c16="http://schemas.microsoft.com/office/drawing/2014/chart" uri="{C3380CC4-5D6E-409C-BE32-E72D297353CC}">
              <c16:uniqueId val="{00000002-7E03-4F9D-8E17-4B6235CC160E}"/>
            </c:ext>
          </c:extLst>
        </c:ser>
        <c:dLbls>
          <c:showLegendKey val="0"/>
          <c:showVal val="1"/>
          <c:showCatName val="0"/>
          <c:showSerName val="0"/>
          <c:showPercent val="0"/>
          <c:showBubbleSize val="0"/>
        </c:dLbls>
        <c:gapWidth val="267"/>
        <c:overlap val="-43"/>
        <c:axId val="652721375"/>
        <c:axId val="652720543"/>
      </c:barChart>
      <c:catAx>
        <c:axId val="65272137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95" b="0" i="0" u="none" strike="noStrike" kern="1200" cap="none" spc="0" normalizeH="0" baseline="0">
                <a:solidFill>
                  <a:schemeClr val="dk1">
                    <a:lumMod val="65000"/>
                    <a:lumOff val="35000"/>
                  </a:schemeClr>
                </a:solidFill>
                <a:latin typeface="+mn-lt"/>
                <a:ea typeface="+mn-ea"/>
                <a:cs typeface="+mn-cs"/>
              </a:defRPr>
            </a:pPr>
            <a:endParaRPr lang="en-US"/>
          </a:p>
        </c:txPr>
        <c:crossAx val="652720543"/>
        <c:crosses val="autoZero"/>
        <c:auto val="1"/>
        <c:lblAlgn val="ctr"/>
        <c:lblOffset val="100"/>
        <c:noMultiLvlLbl val="0"/>
      </c:catAx>
      <c:valAx>
        <c:axId val="652720543"/>
        <c:scaling>
          <c:orientation val="minMax"/>
          <c:max val="1"/>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lang="en-US" sz="1195" b="1" i="0" u="none" strike="noStrike" kern="1200" baseline="0">
                    <a:solidFill>
                      <a:schemeClr val="dk1">
                        <a:lumMod val="65000"/>
                        <a:lumOff val="35000"/>
                      </a:schemeClr>
                    </a:solidFill>
                    <a:latin typeface="+mn-lt"/>
                    <a:ea typeface="+mn-ea"/>
                    <a:cs typeface="+mn-cs"/>
                  </a:defRPr>
                </a:pPr>
                <a:r>
                  <a:rPr lang="en-IN"/>
                  <a:t>Rate</a:t>
                </a:r>
                <a:r>
                  <a:rPr lang="en-IN" baseline="0"/>
                  <a:t> of reproduction in percentage</a:t>
                </a:r>
                <a:endParaRPr lang="en-IN"/>
              </a:p>
            </c:rich>
          </c:tx>
          <c:layout>
            <c:manualLayout>
              <c:xMode val="edge"/>
              <c:yMode val="edge"/>
              <c:x val="3.7410071942445999E-2"/>
              <c:y val="0.172594371248148"/>
            </c:manualLayout>
          </c:layout>
          <c:overlay val="0"/>
          <c:spPr>
            <a:noFill/>
            <a:ln>
              <a:noFill/>
            </a:ln>
            <a:effectLst/>
          </c:spPr>
          <c:txPr>
            <a:bodyPr rot="-5400000" spcFirstLastPara="1" vertOverflow="ellipsis" vert="horz" wrap="square" anchor="ctr" anchorCtr="1"/>
            <a:lstStyle/>
            <a:p>
              <a:pPr>
                <a:defRPr lang="en-US" sz="1195" b="1" i="0" u="none" strike="noStrike" kern="1200" baseline="0">
                  <a:solidFill>
                    <a:schemeClr val="dk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195" b="0" i="0" u="none" strike="noStrike" kern="1200" baseline="0">
                <a:solidFill>
                  <a:schemeClr val="dk1">
                    <a:lumMod val="65000"/>
                    <a:lumOff val="35000"/>
                  </a:schemeClr>
                </a:solidFill>
                <a:latin typeface="+mn-lt"/>
                <a:ea typeface="+mn-ea"/>
                <a:cs typeface="+mn-cs"/>
              </a:defRPr>
            </a:pPr>
            <a:endParaRPr lang="en-US"/>
          </a:p>
        </c:txPr>
        <c:crossAx val="652721375"/>
        <c:crosses val="autoZero"/>
        <c:crossBetween val="between"/>
      </c:valAx>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noFill/>
        </a:ln>
        <a:effectLst/>
      </c:spPr>
    </c:plotArea>
    <c:legend>
      <c:legendPos val="b"/>
      <c:overlay val="0"/>
      <c:spPr>
        <a:noFill/>
        <a:ln>
          <a:noFill/>
        </a:ln>
        <a:effectLst/>
      </c:spPr>
      <c:txPr>
        <a:bodyPr rot="0" spcFirstLastPara="1" vertOverflow="ellipsis" vert="horz" wrap="square" anchor="ctr" anchorCtr="1"/>
        <a:lstStyle/>
        <a:p>
          <a:pPr>
            <a:defRPr lang="en-US" sz="1195"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0f6890-4ae6-41f6-b122-d9311158d818}"/>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5"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5"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5" kern="1200"/>
  </cs:chartArea>
  <cs:dataLabel>
    <cs:lnRef idx="0"/>
    <cs:fillRef idx="0"/>
    <cs:effectRef idx="0"/>
    <cs:fontRef idx="minor">
      <a:schemeClr val="dk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5"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5"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5"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3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5"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5"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2113</TotalTime>
  <Pages>10</Pages>
  <Words>2692</Words>
  <Characters>15351</Characters>
  <Application>Microsoft Office Word</Application>
  <DocSecurity>0</DocSecurity>
  <Lines>127</Lines>
  <Paragraphs>36</Paragraphs>
  <ScaleCrop>false</ScaleCrop>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Baxla</dc:creator>
  <cp:lastModifiedBy>SDI 1084</cp:lastModifiedBy>
  <cp:revision>50</cp:revision>
  <dcterms:created xsi:type="dcterms:W3CDTF">2025-04-07T05:05:00Z</dcterms:created>
  <dcterms:modified xsi:type="dcterms:W3CDTF">2025-05-13T11:39:00Z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3b16dc8f-fb5c-44eb-beaa-5d5716703d8f</vt:lpwstr>
  </property>
  <property fmtid="{D5CDD505-2E9C-101B-9397-08002B2CF9AE}" pid="3" name="KSOProductBuildVer">
    <vt:lpwstr>1033-12.2.0.20795</vt:lpwstr>
  </property>
  <property fmtid="{D5CDD505-2E9C-101B-9397-08002B2CF9AE}" pid="4" name="ICV">
    <vt:lpwstr>3BEBDB5202DF4AED89BF18646DC5FAC1_13</vt:lpwstr>
  </property>
</Properties>
</file>