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C745D" w14:textId="7693470F" w:rsidR="0084451C" w:rsidRPr="00C2784A" w:rsidRDefault="003D4BCE" w:rsidP="001A3B41">
      <w:pPr>
        <w:spacing w:line="360" w:lineRule="auto"/>
        <w:jc w:val="center"/>
        <w:rPr>
          <w:rFonts w:ascii="Times New Roman" w:hAnsi="Times New Roman" w:cs="Times New Roman"/>
          <w:b/>
          <w:bCs/>
        </w:rPr>
      </w:pPr>
      <w:bookmarkStart w:id="0" w:name="_GoBack"/>
      <w:bookmarkEnd w:id="0"/>
      <w:r w:rsidRPr="00C2784A">
        <w:rPr>
          <w:rFonts w:ascii="Times New Roman" w:hAnsi="Times New Roman" w:cs="Times New Roman"/>
          <w:b/>
          <w:bCs/>
        </w:rPr>
        <w:t xml:space="preserve"> </w:t>
      </w:r>
      <w:r w:rsidR="0084451C" w:rsidRPr="00C2784A">
        <w:rPr>
          <w:rFonts w:ascii="Times New Roman" w:hAnsi="Times New Roman" w:cs="Times New Roman"/>
          <w:b/>
          <w:bCs/>
        </w:rPr>
        <w:t xml:space="preserve">Jackfruit </w:t>
      </w:r>
      <w:r w:rsidR="000F1658" w:rsidRPr="00C2784A">
        <w:rPr>
          <w:rFonts w:ascii="Times New Roman" w:hAnsi="Times New Roman" w:cs="Times New Roman"/>
          <w:b/>
          <w:bCs/>
        </w:rPr>
        <w:t>(</w:t>
      </w:r>
      <w:r w:rsidR="000F1658" w:rsidRPr="00C2784A">
        <w:rPr>
          <w:rFonts w:ascii="Times New Roman" w:hAnsi="Times New Roman" w:cs="Times New Roman"/>
          <w:b/>
          <w:bCs/>
          <w:i/>
          <w:iCs/>
        </w:rPr>
        <w:t>Artocarpus heterophyllus</w:t>
      </w:r>
      <w:r w:rsidR="000F1658" w:rsidRPr="00C2784A">
        <w:rPr>
          <w:rFonts w:ascii="Times New Roman" w:hAnsi="Times New Roman" w:cs="Times New Roman"/>
          <w:b/>
          <w:bCs/>
        </w:rPr>
        <w:t xml:space="preserve">) </w:t>
      </w:r>
      <w:r w:rsidR="0084451C" w:rsidRPr="00C2784A">
        <w:rPr>
          <w:rFonts w:ascii="Times New Roman" w:hAnsi="Times New Roman" w:cs="Times New Roman"/>
          <w:b/>
          <w:bCs/>
        </w:rPr>
        <w:t xml:space="preserve">Powder Improves </w:t>
      </w:r>
      <w:r w:rsidR="00EE1B59" w:rsidRPr="00C2784A">
        <w:rPr>
          <w:rFonts w:ascii="Times New Roman" w:hAnsi="Times New Roman" w:cs="Times New Roman"/>
          <w:b/>
          <w:bCs/>
          <w:i/>
          <w:iCs/>
        </w:rPr>
        <w:t>Tenyi Vo</w:t>
      </w:r>
      <w:r w:rsidR="0084451C" w:rsidRPr="00C2784A">
        <w:rPr>
          <w:rFonts w:ascii="Times New Roman" w:hAnsi="Times New Roman" w:cs="Times New Roman"/>
          <w:b/>
          <w:bCs/>
        </w:rPr>
        <w:t xml:space="preserve"> Pig Health and </w:t>
      </w:r>
      <w:r w:rsidR="00643B35" w:rsidRPr="00C2784A">
        <w:rPr>
          <w:rFonts w:ascii="Times New Roman" w:hAnsi="Times New Roman" w:cs="Times New Roman"/>
          <w:b/>
          <w:bCs/>
        </w:rPr>
        <w:t>Haematological</w:t>
      </w:r>
      <w:r w:rsidR="0084451C" w:rsidRPr="00C2784A">
        <w:rPr>
          <w:rFonts w:ascii="Times New Roman" w:hAnsi="Times New Roman" w:cs="Times New Roman"/>
          <w:b/>
          <w:bCs/>
        </w:rPr>
        <w:t xml:space="preserve"> Profile</w:t>
      </w:r>
    </w:p>
    <w:p w14:paraId="4B502E4E" w14:textId="57B0F802"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Abstract</w:t>
      </w:r>
    </w:p>
    <w:p w14:paraId="5E0D4199" w14:textId="6E23282E" w:rsidR="00840F1B" w:rsidRPr="00EF6EA4" w:rsidRDefault="00840F1B" w:rsidP="00EF6EA4">
      <w:pPr>
        <w:spacing w:line="240" w:lineRule="auto"/>
        <w:ind w:firstLine="720"/>
        <w:jc w:val="both"/>
        <w:rPr>
          <w:rFonts w:ascii="Times New Roman" w:hAnsi="Times New Roman" w:cs="Times New Roman"/>
        </w:rPr>
      </w:pPr>
      <w:r w:rsidRPr="00EF6EA4">
        <w:rPr>
          <w:rFonts w:ascii="Times New Roman" w:hAnsi="Times New Roman" w:cs="Times New Roman"/>
        </w:rPr>
        <w:t xml:space="preserve">Dietary interventions are critical for maintaining health and reducing disease in pig farming, particularly for indigenous breeds like the </w:t>
      </w:r>
      <w:r w:rsidR="00EE1B59" w:rsidRPr="00EF6EA4">
        <w:rPr>
          <w:rFonts w:ascii="Times New Roman" w:hAnsi="Times New Roman" w:cs="Times New Roman"/>
          <w:i/>
          <w:iCs/>
        </w:rPr>
        <w:t>Tenyi Vo</w:t>
      </w:r>
      <w:r w:rsidRPr="00EF6EA4">
        <w:rPr>
          <w:rFonts w:ascii="Times New Roman" w:hAnsi="Times New Roman" w:cs="Times New Roman"/>
        </w:rPr>
        <w:t xml:space="preserve"> pig in Nagaland, India. This study assessed the effects of jackfruit (</w:t>
      </w:r>
      <w:r w:rsidRPr="00EF6EA4">
        <w:rPr>
          <w:rFonts w:ascii="Times New Roman" w:hAnsi="Times New Roman" w:cs="Times New Roman"/>
          <w:i/>
          <w:iCs/>
        </w:rPr>
        <w:t>Artocarpus heterophyllus</w:t>
      </w:r>
      <w:r w:rsidRPr="00EF6EA4">
        <w:rPr>
          <w:rFonts w:ascii="Times New Roman" w:hAnsi="Times New Roman" w:cs="Times New Roman"/>
        </w:rPr>
        <w:t xml:space="preserve">) powder supplementation on </w:t>
      </w:r>
      <w:r w:rsidR="00643B35" w:rsidRPr="00EF6EA4">
        <w:rPr>
          <w:rFonts w:ascii="Times New Roman" w:hAnsi="Times New Roman" w:cs="Times New Roman"/>
        </w:rPr>
        <w:t>haematological</w:t>
      </w:r>
      <w:r w:rsidRPr="00EF6EA4">
        <w:rPr>
          <w:rFonts w:ascii="Times New Roman" w:hAnsi="Times New Roman" w:cs="Times New Roman"/>
        </w:rPr>
        <w:t xml:space="preserve"> parameters and health outcomes in </w:t>
      </w:r>
      <w:r w:rsidR="00EE1B59" w:rsidRPr="00EF6EA4">
        <w:rPr>
          <w:rFonts w:ascii="Times New Roman" w:hAnsi="Times New Roman" w:cs="Times New Roman"/>
          <w:i/>
          <w:iCs/>
        </w:rPr>
        <w:t>Tenyi Vo</w:t>
      </w:r>
      <w:r w:rsidRPr="00EF6EA4">
        <w:rPr>
          <w:rFonts w:ascii="Times New Roman" w:hAnsi="Times New Roman" w:cs="Times New Roman"/>
        </w:rPr>
        <w:t xml:space="preserve"> pigs. Twenty weaner piglets (60 days old) were assigned to four groups: </w:t>
      </w:r>
      <w:r w:rsidR="00647AB7" w:rsidRPr="00EF6EA4">
        <w:rPr>
          <w:rFonts w:ascii="Times New Roman" w:hAnsi="Times New Roman" w:cs="Times New Roman"/>
        </w:rPr>
        <w:t>G</w:t>
      </w:r>
      <w:r w:rsidRPr="00EF6EA4">
        <w:rPr>
          <w:rFonts w:ascii="Times New Roman" w:hAnsi="Times New Roman" w:cs="Times New Roman"/>
          <w:vertAlign w:val="subscript"/>
        </w:rPr>
        <w:t>1</w:t>
      </w:r>
      <w:r w:rsidRPr="00EF6EA4">
        <w:rPr>
          <w:rFonts w:ascii="Times New Roman" w:hAnsi="Times New Roman" w:cs="Times New Roman"/>
        </w:rPr>
        <w:t xml:space="preserve"> (control, concentrate feed), </w:t>
      </w:r>
      <w:r w:rsidR="00647AB7" w:rsidRPr="00EF6EA4">
        <w:rPr>
          <w:rFonts w:ascii="Times New Roman" w:hAnsi="Times New Roman" w:cs="Times New Roman"/>
        </w:rPr>
        <w:t>G</w:t>
      </w:r>
      <w:r w:rsidRPr="00EF6EA4">
        <w:rPr>
          <w:rFonts w:ascii="Times New Roman" w:hAnsi="Times New Roman" w:cs="Times New Roman"/>
          <w:vertAlign w:val="subscript"/>
        </w:rPr>
        <w:t>2</w:t>
      </w:r>
      <w:r w:rsidRPr="00EF6EA4">
        <w:rPr>
          <w:rFonts w:ascii="Times New Roman" w:hAnsi="Times New Roman" w:cs="Times New Roman"/>
        </w:rPr>
        <w:t xml:space="preserve"> (25 g/kg jackfruit powder), </w:t>
      </w:r>
      <w:r w:rsidR="00647AB7" w:rsidRPr="00EF6EA4">
        <w:rPr>
          <w:rFonts w:ascii="Times New Roman" w:hAnsi="Times New Roman" w:cs="Times New Roman"/>
        </w:rPr>
        <w:t>G</w:t>
      </w:r>
      <w:r w:rsidRPr="00EF6EA4">
        <w:rPr>
          <w:rFonts w:ascii="Times New Roman" w:hAnsi="Times New Roman" w:cs="Times New Roman"/>
          <w:vertAlign w:val="subscript"/>
        </w:rPr>
        <w:t>3</w:t>
      </w:r>
      <w:r w:rsidRPr="00EF6EA4">
        <w:rPr>
          <w:rFonts w:ascii="Times New Roman" w:hAnsi="Times New Roman" w:cs="Times New Roman"/>
        </w:rPr>
        <w:t xml:space="preserve"> (50 g/kg), and </w:t>
      </w:r>
      <w:r w:rsidR="00647AB7" w:rsidRPr="00EF6EA4">
        <w:rPr>
          <w:rFonts w:ascii="Times New Roman" w:hAnsi="Times New Roman" w:cs="Times New Roman"/>
        </w:rPr>
        <w:t>G</w:t>
      </w:r>
      <w:r w:rsidR="00647AB7" w:rsidRPr="00EF6EA4">
        <w:rPr>
          <w:rFonts w:ascii="Times New Roman" w:hAnsi="Times New Roman" w:cs="Times New Roman"/>
          <w:vertAlign w:val="subscript"/>
        </w:rPr>
        <w:t>4</w:t>
      </w:r>
      <w:r w:rsidRPr="00EF6EA4">
        <w:rPr>
          <w:rFonts w:ascii="Times New Roman" w:hAnsi="Times New Roman" w:cs="Times New Roman"/>
        </w:rPr>
        <w:t xml:space="preserve"> (75 g/kg) for nine weeks. </w:t>
      </w:r>
      <w:r w:rsidR="00643B35" w:rsidRPr="00EF6EA4">
        <w:rPr>
          <w:rFonts w:ascii="Times New Roman" w:hAnsi="Times New Roman" w:cs="Times New Roman"/>
        </w:rPr>
        <w:t>Haematological</w:t>
      </w:r>
      <w:r w:rsidRPr="00EF6EA4">
        <w:rPr>
          <w:rFonts w:ascii="Times New Roman" w:hAnsi="Times New Roman" w:cs="Times New Roman"/>
        </w:rPr>
        <w:t xml:space="preserve"> parameters included red blood cells (RBC), white blood cells (WBC), </w:t>
      </w:r>
      <w:r w:rsidR="00643B35" w:rsidRPr="00EF6EA4">
        <w:rPr>
          <w:rFonts w:ascii="Times New Roman" w:hAnsi="Times New Roman" w:cs="Times New Roman"/>
        </w:rPr>
        <w:t>haemoglobin</w:t>
      </w:r>
      <w:r w:rsidRPr="00EF6EA4">
        <w:rPr>
          <w:rFonts w:ascii="Times New Roman" w:hAnsi="Times New Roman" w:cs="Times New Roman"/>
        </w:rPr>
        <w:t xml:space="preserve"> (Hb), packed cell volume (PCV), and mean corpuscular volume (MCV). Morbidity and mortality were monitored. The </w:t>
      </w:r>
      <w:r w:rsidR="00647AB7" w:rsidRPr="00EF6EA4">
        <w:rPr>
          <w:rFonts w:ascii="Times New Roman" w:hAnsi="Times New Roman" w:cs="Times New Roman"/>
        </w:rPr>
        <w:t>G</w:t>
      </w:r>
      <w:r w:rsidR="00647AB7" w:rsidRPr="00EF6EA4">
        <w:rPr>
          <w:rFonts w:ascii="Times New Roman" w:hAnsi="Times New Roman" w:cs="Times New Roman"/>
          <w:vertAlign w:val="subscript"/>
        </w:rPr>
        <w:t>4</w:t>
      </w:r>
      <w:r w:rsidRPr="00EF6EA4">
        <w:rPr>
          <w:rFonts w:ascii="Times New Roman" w:hAnsi="Times New Roman" w:cs="Times New Roman"/>
        </w:rPr>
        <w:t xml:space="preserve"> group showed the highest RBC (6.86 x 10</w:t>
      </w:r>
      <w:r w:rsidRPr="00EF6EA4">
        <w:rPr>
          <w:rFonts w:ascii="Times New Roman" w:hAnsi="Times New Roman" w:cs="Times New Roman"/>
          <w:vertAlign w:val="superscript"/>
        </w:rPr>
        <w:t>6</w:t>
      </w:r>
      <w:r w:rsidRPr="00EF6EA4">
        <w:rPr>
          <w:rFonts w:ascii="Times New Roman" w:hAnsi="Times New Roman" w:cs="Times New Roman"/>
        </w:rPr>
        <w:t>/mm</w:t>
      </w:r>
      <w:r w:rsidRPr="00EF6EA4">
        <w:rPr>
          <w:rFonts w:ascii="Times New Roman" w:hAnsi="Times New Roman" w:cs="Times New Roman"/>
          <w:vertAlign w:val="superscript"/>
        </w:rPr>
        <w:t>3</w:t>
      </w:r>
      <w:r w:rsidRPr="00EF6EA4">
        <w:rPr>
          <w:rFonts w:ascii="Times New Roman" w:hAnsi="Times New Roman" w:cs="Times New Roman"/>
        </w:rPr>
        <w:t>),</w:t>
      </w:r>
      <w:r w:rsidR="00647AB7" w:rsidRPr="00EF6EA4">
        <w:rPr>
          <w:rFonts w:ascii="Times New Roman" w:hAnsi="Times New Roman" w:cs="Times New Roman"/>
        </w:rPr>
        <w:t xml:space="preserve"> WBC (</w:t>
      </w:r>
      <w:r w:rsidR="00DD0933" w:rsidRPr="00EF6EA4">
        <w:rPr>
          <w:rFonts w:ascii="Times New Roman" w:hAnsi="Times New Roman" w:cs="Times New Roman"/>
        </w:rPr>
        <w:t>22.95 x10</w:t>
      </w:r>
      <w:r w:rsidR="00DD0933" w:rsidRPr="00EF6EA4">
        <w:rPr>
          <w:rFonts w:ascii="Times New Roman" w:hAnsi="Times New Roman" w:cs="Times New Roman"/>
          <w:vertAlign w:val="superscript"/>
        </w:rPr>
        <w:t>3</w:t>
      </w:r>
      <w:r w:rsidR="00DD0933" w:rsidRPr="00EF6EA4">
        <w:rPr>
          <w:rFonts w:ascii="Times New Roman" w:hAnsi="Times New Roman" w:cs="Times New Roman"/>
        </w:rPr>
        <w:t>/µL</w:t>
      </w:r>
      <w:r w:rsidR="00647AB7" w:rsidRPr="00EF6EA4">
        <w:rPr>
          <w:rFonts w:ascii="Times New Roman" w:hAnsi="Times New Roman" w:cs="Times New Roman"/>
        </w:rPr>
        <w:t>),</w:t>
      </w:r>
      <w:r w:rsidRPr="00EF6EA4">
        <w:rPr>
          <w:rFonts w:ascii="Times New Roman" w:hAnsi="Times New Roman" w:cs="Times New Roman"/>
        </w:rPr>
        <w:t xml:space="preserve"> Hb (13.13 g/dl), PCV (37.15%), and MCV (56.23 </w:t>
      </w:r>
      <w:proofErr w:type="spellStart"/>
      <w:r w:rsidRPr="00EF6EA4">
        <w:rPr>
          <w:rFonts w:ascii="Times New Roman" w:hAnsi="Times New Roman" w:cs="Times New Roman"/>
        </w:rPr>
        <w:t>fl</w:t>
      </w:r>
      <w:proofErr w:type="spellEnd"/>
      <w:r w:rsidRPr="00EF6EA4">
        <w:rPr>
          <w:rFonts w:ascii="Times New Roman" w:hAnsi="Times New Roman" w:cs="Times New Roman"/>
        </w:rPr>
        <w:t xml:space="preserve">), with significant differences (P&lt;0.05). No morbidity or mortality occurred in </w:t>
      </w:r>
      <w:r w:rsidR="00647AB7" w:rsidRPr="00EF6EA4">
        <w:rPr>
          <w:rFonts w:ascii="Times New Roman" w:hAnsi="Times New Roman" w:cs="Times New Roman"/>
        </w:rPr>
        <w:t>G</w:t>
      </w:r>
      <w:r w:rsidRPr="00EF6EA4">
        <w:rPr>
          <w:rFonts w:ascii="Times New Roman" w:hAnsi="Times New Roman" w:cs="Times New Roman"/>
          <w:vertAlign w:val="subscript"/>
        </w:rPr>
        <w:t xml:space="preserve">3 </w:t>
      </w:r>
      <w:r w:rsidRPr="00EF6EA4">
        <w:rPr>
          <w:rFonts w:ascii="Times New Roman" w:hAnsi="Times New Roman" w:cs="Times New Roman"/>
        </w:rPr>
        <w:t xml:space="preserve">and </w:t>
      </w:r>
      <w:r w:rsidR="00647AB7" w:rsidRPr="00EF6EA4">
        <w:rPr>
          <w:rFonts w:ascii="Times New Roman" w:hAnsi="Times New Roman" w:cs="Times New Roman"/>
        </w:rPr>
        <w:t>G</w:t>
      </w:r>
      <w:r w:rsidRPr="00EF6EA4">
        <w:rPr>
          <w:rFonts w:ascii="Times New Roman" w:hAnsi="Times New Roman" w:cs="Times New Roman"/>
          <w:vertAlign w:val="subscript"/>
        </w:rPr>
        <w:t>4</w:t>
      </w:r>
      <w:r w:rsidRPr="00EF6EA4">
        <w:rPr>
          <w:rFonts w:ascii="Times New Roman" w:hAnsi="Times New Roman" w:cs="Times New Roman"/>
        </w:rPr>
        <w:t xml:space="preserve">, unlike </w:t>
      </w:r>
      <w:r w:rsidR="00647AB7" w:rsidRPr="00EF6EA4">
        <w:rPr>
          <w:rFonts w:ascii="Times New Roman" w:hAnsi="Times New Roman" w:cs="Times New Roman"/>
        </w:rPr>
        <w:t>G</w:t>
      </w:r>
      <w:r w:rsidRPr="00EF6EA4">
        <w:rPr>
          <w:rFonts w:ascii="Times New Roman" w:hAnsi="Times New Roman" w:cs="Times New Roman"/>
          <w:vertAlign w:val="subscript"/>
        </w:rPr>
        <w:t>1</w:t>
      </w:r>
      <w:r w:rsidRPr="00EF6EA4">
        <w:rPr>
          <w:rFonts w:ascii="Times New Roman" w:hAnsi="Times New Roman" w:cs="Times New Roman"/>
        </w:rPr>
        <w:t xml:space="preserve"> and </w:t>
      </w:r>
      <w:r w:rsidR="00647AB7" w:rsidRPr="00EF6EA4">
        <w:rPr>
          <w:rFonts w:ascii="Times New Roman" w:hAnsi="Times New Roman" w:cs="Times New Roman"/>
        </w:rPr>
        <w:t>G</w:t>
      </w:r>
      <w:r w:rsidRPr="00EF6EA4">
        <w:rPr>
          <w:rFonts w:ascii="Times New Roman" w:hAnsi="Times New Roman" w:cs="Times New Roman"/>
          <w:vertAlign w:val="subscript"/>
        </w:rPr>
        <w:t>2</w:t>
      </w:r>
      <w:r w:rsidRPr="00EF6EA4">
        <w:rPr>
          <w:rFonts w:ascii="Times New Roman" w:hAnsi="Times New Roman" w:cs="Times New Roman"/>
        </w:rPr>
        <w:t xml:space="preserve"> (15% morbidity, 5% mortality). Jackfruit powder at 75 g/kg enhances </w:t>
      </w:r>
      <w:r w:rsidR="00643B35" w:rsidRPr="00EF6EA4">
        <w:rPr>
          <w:rFonts w:ascii="Times New Roman" w:hAnsi="Times New Roman" w:cs="Times New Roman"/>
        </w:rPr>
        <w:t>haematological</w:t>
      </w:r>
      <w:r w:rsidRPr="00EF6EA4">
        <w:rPr>
          <w:rFonts w:ascii="Times New Roman" w:hAnsi="Times New Roman" w:cs="Times New Roman"/>
        </w:rPr>
        <w:t xml:space="preserve"> health and reduces disease incidence, supporting its use in pig diets.</w:t>
      </w:r>
    </w:p>
    <w:p w14:paraId="72607545" w14:textId="5252D071" w:rsidR="00B6713B" w:rsidRPr="00EF6EA4" w:rsidRDefault="00B6713B" w:rsidP="00EF6EA4">
      <w:pPr>
        <w:spacing w:line="240" w:lineRule="auto"/>
        <w:jc w:val="both"/>
        <w:rPr>
          <w:rFonts w:ascii="Times New Roman" w:hAnsi="Times New Roman" w:cs="Times New Roman"/>
          <w:b/>
          <w:bCs/>
        </w:rPr>
      </w:pPr>
      <w:r w:rsidRPr="00EF6EA4">
        <w:rPr>
          <w:rFonts w:ascii="Times New Roman" w:hAnsi="Times New Roman" w:cs="Times New Roman"/>
          <w:b/>
          <w:bCs/>
        </w:rPr>
        <w:t xml:space="preserve">Keywords: </w:t>
      </w:r>
      <w:r w:rsidR="00EE345B" w:rsidRPr="00EF6EA4">
        <w:rPr>
          <w:rFonts w:ascii="Times New Roman" w:hAnsi="Times New Roman" w:cs="Times New Roman"/>
        </w:rPr>
        <w:t xml:space="preserve">Health, </w:t>
      </w:r>
      <w:r w:rsidR="00643B35" w:rsidRPr="00EF6EA4">
        <w:rPr>
          <w:rFonts w:ascii="Times New Roman" w:hAnsi="Times New Roman" w:cs="Times New Roman"/>
        </w:rPr>
        <w:t>Haematological</w:t>
      </w:r>
      <w:r w:rsidR="00EE345B" w:rsidRPr="00EF6EA4">
        <w:rPr>
          <w:rFonts w:ascii="Times New Roman" w:hAnsi="Times New Roman" w:cs="Times New Roman"/>
        </w:rPr>
        <w:t xml:space="preserve"> Parameters, </w:t>
      </w:r>
      <w:r w:rsidR="00DB085D" w:rsidRPr="00EF6EA4">
        <w:rPr>
          <w:rFonts w:ascii="Times New Roman" w:hAnsi="Times New Roman" w:cs="Times New Roman"/>
        </w:rPr>
        <w:t xml:space="preserve">Jackfruit </w:t>
      </w:r>
      <w:r w:rsidR="00EE345B" w:rsidRPr="00EF6EA4">
        <w:rPr>
          <w:rFonts w:ascii="Times New Roman" w:hAnsi="Times New Roman" w:cs="Times New Roman"/>
        </w:rPr>
        <w:t>Powder</w:t>
      </w:r>
      <w:r w:rsidR="001652BE" w:rsidRPr="00EF6EA4">
        <w:rPr>
          <w:rFonts w:ascii="Times New Roman" w:hAnsi="Times New Roman" w:cs="Times New Roman"/>
        </w:rPr>
        <w:t>,</w:t>
      </w:r>
      <w:r w:rsidR="00EE345B" w:rsidRPr="00EF6EA4">
        <w:rPr>
          <w:rFonts w:ascii="Times New Roman" w:hAnsi="Times New Roman" w:cs="Times New Roman"/>
        </w:rPr>
        <w:t xml:space="preserve"> Supplementation </w:t>
      </w:r>
    </w:p>
    <w:p w14:paraId="3D9A6D90" w14:textId="77777777"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Introduction</w:t>
      </w:r>
    </w:p>
    <w:p w14:paraId="75BDD7C2" w14:textId="1A131024" w:rsidR="00F34F7B" w:rsidRPr="00EF6EA4" w:rsidRDefault="00F34F7B" w:rsidP="00EF6EA4">
      <w:pPr>
        <w:spacing w:line="240" w:lineRule="auto"/>
        <w:ind w:firstLine="720"/>
        <w:jc w:val="both"/>
        <w:rPr>
          <w:rFonts w:ascii="Times New Roman" w:hAnsi="Times New Roman" w:cs="Times New Roman"/>
        </w:rPr>
      </w:pPr>
      <w:r w:rsidRPr="00EF6EA4">
        <w:rPr>
          <w:rFonts w:ascii="Times New Roman" w:hAnsi="Times New Roman" w:cs="Times New Roman"/>
        </w:rPr>
        <w:t>The global population is expected to increase by 30% by 2050, surpassing 9 billion, driving a 70% rise in agri-food demand, with animal-derived food consumption projected to double from 258 to 455 million tons (Rojas-Downing et al., 2017). This necessitates intensified agricultural production systems to meet protein demands (</w:t>
      </w:r>
      <w:proofErr w:type="spellStart"/>
      <w:r w:rsidRPr="00EF6EA4">
        <w:rPr>
          <w:rFonts w:ascii="Times New Roman" w:hAnsi="Times New Roman" w:cs="Times New Roman"/>
        </w:rPr>
        <w:t>Berckmans</w:t>
      </w:r>
      <w:proofErr w:type="spellEnd"/>
      <w:r w:rsidRPr="00EF6EA4">
        <w:rPr>
          <w:rFonts w:ascii="Times New Roman" w:hAnsi="Times New Roman" w:cs="Times New Roman"/>
        </w:rPr>
        <w:t xml:space="preserve">, 2014). In India, livestock contributes 4.11% to the GDP and 25.6% to agricultural GDP, supporting the livelihoods of over 70% of rural households, particularly in states like Nagaland (DAHD, 2020). Pig farming in Nagaland is integral to the socioeconomic and cultural fabric of tribal communities, providing rapid economic returns due to high fecundity, efficient feed conversion, early maturity, and short gestation periods (Patr et al., 2014). Nearly every household </w:t>
      </w:r>
      <w:r w:rsidR="00643B35" w:rsidRPr="00EF6EA4">
        <w:rPr>
          <w:rFonts w:ascii="Times New Roman" w:hAnsi="Times New Roman" w:cs="Times New Roman"/>
        </w:rPr>
        <w:t>rear</w:t>
      </w:r>
      <w:r w:rsidRPr="00EF6EA4">
        <w:rPr>
          <w:rFonts w:ascii="Times New Roman" w:hAnsi="Times New Roman" w:cs="Times New Roman"/>
        </w:rPr>
        <w:t xml:space="preserve"> 2–3 pigs in backyard systems for food and supplemental income, yet Nagaland remains deficient in pork production.</w:t>
      </w:r>
    </w:p>
    <w:p w14:paraId="0F0B17CE" w14:textId="64C4AE60" w:rsidR="00F34F7B" w:rsidRPr="00EF6EA4" w:rsidRDefault="00F34F7B" w:rsidP="00EF6EA4">
      <w:pPr>
        <w:spacing w:line="240" w:lineRule="auto"/>
        <w:ind w:firstLine="720"/>
        <w:jc w:val="both"/>
        <w:rPr>
          <w:rFonts w:ascii="Times New Roman" w:hAnsi="Times New Roman" w:cs="Times New Roman"/>
        </w:rPr>
      </w:pPr>
      <w:r w:rsidRPr="00EF6EA4">
        <w:rPr>
          <w:rFonts w:ascii="Times New Roman" w:hAnsi="Times New Roman" w:cs="Times New Roman"/>
        </w:rPr>
        <w:t xml:space="preserve">Tribal communities and marginal farmers in Nagaland </w:t>
      </w:r>
      <w:r w:rsidR="00643B35" w:rsidRPr="00EF6EA4">
        <w:rPr>
          <w:rFonts w:ascii="Times New Roman" w:hAnsi="Times New Roman" w:cs="Times New Roman"/>
        </w:rPr>
        <w:t>Favor</w:t>
      </w:r>
      <w:r w:rsidRPr="00EF6EA4">
        <w:rPr>
          <w:rFonts w:ascii="Times New Roman" w:hAnsi="Times New Roman" w:cs="Times New Roman"/>
        </w:rPr>
        <w:t xml:space="preserve"> indigenous pigs over crossbred or exotic breeds for their adaptability to local environments, disease resistance, and ability to thrive on minimal inputs like kitchen waste, crop residues, and seasonal plants (Kumaresan et al., 2007; Borkotoky et al., 2014). The </w:t>
      </w:r>
      <w:r w:rsidR="00EE1B59" w:rsidRPr="00EF6EA4">
        <w:rPr>
          <w:rFonts w:ascii="Times New Roman" w:hAnsi="Times New Roman" w:cs="Times New Roman"/>
          <w:i/>
          <w:iCs/>
        </w:rPr>
        <w:t>Tenyi Vo</w:t>
      </w:r>
      <w:r w:rsidRPr="00EF6EA4">
        <w:rPr>
          <w:rFonts w:ascii="Times New Roman" w:hAnsi="Times New Roman" w:cs="Times New Roman"/>
        </w:rPr>
        <w:t xml:space="preserve"> pig (Accession No.: INDIA_PIG_1400_TENYI-VO_09004), primarily raised for pork, is valued for its high-quality bristles, early sexual maturity, and superior meat quality, which is preferred over other breeds (Karunakaran et al., 2009; Mohana et al., 2014). The strong demand for indigenous pork underscores the need for scientific interventions in nutrition and health management to enhance </w:t>
      </w:r>
      <w:r w:rsidR="00EE1B59" w:rsidRPr="00EF6EA4">
        <w:rPr>
          <w:rFonts w:ascii="Times New Roman" w:hAnsi="Times New Roman" w:cs="Times New Roman"/>
          <w:i/>
          <w:iCs/>
        </w:rPr>
        <w:t>Tenyi Vo</w:t>
      </w:r>
      <w:r w:rsidRPr="00EF6EA4">
        <w:rPr>
          <w:rFonts w:ascii="Times New Roman" w:hAnsi="Times New Roman" w:cs="Times New Roman"/>
        </w:rPr>
        <w:t xml:space="preserve"> pig rearing and improve livelihoods in Nagaland.</w:t>
      </w:r>
    </w:p>
    <w:p w14:paraId="379CE3B9" w14:textId="7A6D5B61" w:rsidR="00F34F7B" w:rsidRPr="00EF6EA4" w:rsidRDefault="00F34F7B" w:rsidP="00EF6EA4">
      <w:pPr>
        <w:spacing w:line="240" w:lineRule="auto"/>
        <w:jc w:val="both"/>
        <w:rPr>
          <w:rFonts w:ascii="Times New Roman" w:hAnsi="Times New Roman" w:cs="Times New Roman"/>
        </w:rPr>
      </w:pPr>
      <w:r w:rsidRPr="00EF6EA4">
        <w:rPr>
          <w:rFonts w:ascii="Times New Roman" w:hAnsi="Times New Roman" w:cs="Times New Roman"/>
        </w:rPr>
        <w:tab/>
      </w:r>
      <w:r w:rsidR="00643B35" w:rsidRPr="00EF6EA4">
        <w:rPr>
          <w:rFonts w:ascii="Times New Roman" w:hAnsi="Times New Roman" w:cs="Times New Roman"/>
        </w:rPr>
        <w:t>Haematological</w:t>
      </w:r>
      <w:r w:rsidRPr="00EF6EA4">
        <w:rPr>
          <w:rFonts w:ascii="Times New Roman" w:hAnsi="Times New Roman" w:cs="Times New Roman"/>
        </w:rPr>
        <w:t xml:space="preserve"> profiles are critical for evaluating physiological, pathological, and metabolic status, as well as stress from nutritional, environmental, or physical factors, and adaptability to specific regions (Hawkey &amp; Dennett, 1989; Otto et al., 1992; </w:t>
      </w:r>
      <w:proofErr w:type="spellStart"/>
      <w:r w:rsidRPr="00EF6EA4">
        <w:rPr>
          <w:rFonts w:ascii="Times New Roman" w:hAnsi="Times New Roman" w:cs="Times New Roman"/>
        </w:rPr>
        <w:t>Mayengbam</w:t>
      </w:r>
      <w:proofErr w:type="spellEnd"/>
      <w:r w:rsidRPr="00EF6EA4">
        <w:rPr>
          <w:rFonts w:ascii="Times New Roman" w:hAnsi="Times New Roman" w:cs="Times New Roman"/>
        </w:rPr>
        <w:t xml:space="preserve"> &amp; </w:t>
      </w:r>
      <w:proofErr w:type="spellStart"/>
      <w:r w:rsidRPr="00EF6EA4">
        <w:rPr>
          <w:rFonts w:ascii="Times New Roman" w:hAnsi="Times New Roman" w:cs="Times New Roman"/>
        </w:rPr>
        <w:t>Tolenkhomba</w:t>
      </w:r>
      <w:proofErr w:type="spellEnd"/>
      <w:r w:rsidRPr="00EF6EA4">
        <w:rPr>
          <w:rFonts w:ascii="Times New Roman" w:hAnsi="Times New Roman" w:cs="Times New Roman"/>
        </w:rPr>
        <w:t xml:space="preserve">, 2015; </w:t>
      </w:r>
      <w:proofErr w:type="spellStart"/>
      <w:r w:rsidRPr="00EF6EA4">
        <w:rPr>
          <w:rFonts w:ascii="Times New Roman" w:hAnsi="Times New Roman" w:cs="Times New Roman"/>
        </w:rPr>
        <w:t>Sejian</w:t>
      </w:r>
      <w:proofErr w:type="spellEnd"/>
      <w:r w:rsidRPr="00EF6EA4">
        <w:rPr>
          <w:rFonts w:ascii="Times New Roman" w:hAnsi="Times New Roman" w:cs="Times New Roman"/>
        </w:rPr>
        <w:t xml:space="preserve"> et al., 2014). These profiles aid in diagnosing metabolic and infectious diseases and predicting productive performance (</w:t>
      </w:r>
      <w:proofErr w:type="spellStart"/>
      <w:r w:rsidRPr="00EF6EA4">
        <w:rPr>
          <w:rFonts w:ascii="Times New Roman" w:hAnsi="Times New Roman" w:cs="Times New Roman"/>
        </w:rPr>
        <w:t>Chemshirova</w:t>
      </w:r>
      <w:proofErr w:type="spellEnd"/>
      <w:r w:rsidRPr="00EF6EA4">
        <w:rPr>
          <w:rFonts w:ascii="Times New Roman" w:hAnsi="Times New Roman" w:cs="Times New Roman"/>
        </w:rPr>
        <w:t xml:space="preserve">, 2000; Kumar et al., 2017). </w:t>
      </w:r>
      <w:r w:rsidRPr="00EF6EA4">
        <w:rPr>
          <w:rFonts w:ascii="Times New Roman" w:hAnsi="Times New Roman" w:cs="Times New Roman"/>
        </w:rPr>
        <w:lastRenderedPageBreak/>
        <w:t xml:space="preserve">Nutrition significantly modulates </w:t>
      </w:r>
      <w:r w:rsidR="00643B35" w:rsidRPr="00EF6EA4">
        <w:rPr>
          <w:rFonts w:ascii="Times New Roman" w:hAnsi="Times New Roman" w:cs="Times New Roman"/>
        </w:rPr>
        <w:t>haematological</w:t>
      </w:r>
      <w:r w:rsidRPr="00EF6EA4">
        <w:rPr>
          <w:rFonts w:ascii="Times New Roman" w:hAnsi="Times New Roman" w:cs="Times New Roman"/>
        </w:rPr>
        <w:t xml:space="preserve"> indices, with diverse diets affecting blood parameters in animals and humans (Lavy, 1994; Haddad et al., 1999; </w:t>
      </w:r>
      <w:proofErr w:type="spellStart"/>
      <w:r w:rsidRPr="00EF6EA4">
        <w:rPr>
          <w:rFonts w:ascii="Times New Roman" w:hAnsi="Times New Roman" w:cs="Times New Roman"/>
        </w:rPr>
        <w:t>Erukainure</w:t>
      </w:r>
      <w:proofErr w:type="spellEnd"/>
      <w:r w:rsidRPr="00EF6EA4">
        <w:rPr>
          <w:rFonts w:ascii="Times New Roman" w:hAnsi="Times New Roman" w:cs="Times New Roman"/>
        </w:rPr>
        <w:t xml:space="preserve"> et al., 2013; Balogun et al., 2014; </w:t>
      </w:r>
      <w:proofErr w:type="spellStart"/>
      <w:r w:rsidRPr="00EF6EA4">
        <w:rPr>
          <w:rFonts w:ascii="Times New Roman" w:hAnsi="Times New Roman" w:cs="Times New Roman"/>
        </w:rPr>
        <w:t>Albokhadaim</w:t>
      </w:r>
      <w:proofErr w:type="spellEnd"/>
      <w:r w:rsidRPr="00EF6EA4">
        <w:rPr>
          <w:rFonts w:ascii="Times New Roman" w:hAnsi="Times New Roman" w:cs="Times New Roman"/>
        </w:rPr>
        <w:t>, 2015; Fernández et al., 2015).</w:t>
      </w:r>
    </w:p>
    <w:p w14:paraId="18D8F84A" w14:textId="74CDB197" w:rsidR="00F34F7B" w:rsidRPr="00EF6EA4" w:rsidRDefault="002E252A" w:rsidP="00EF6EA4">
      <w:pPr>
        <w:spacing w:line="240" w:lineRule="auto"/>
        <w:jc w:val="both"/>
        <w:rPr>
          <w:rFonts w:ascii="Times New Roman" w:hAnsi="Times New Roman" w:cs="Times New Roman"/>
        </w:rPr>
      </w:pPr>
      <w:r w:rsidRPr="00EF6EA4">
        <w:rPr>
          <w:rFonts w:ascii="Times New Roman" w:hAnsi="Times New Roman" w:cs="Times New Roman"/>
        </w:rPr>
        <w:tab/>
      </w:r>
      <w:r w:rsidR="00F34F7B" w:rsidRPr="00EF6EA4">
        <w:rPr>
          <w:rFonts w:ascii="Times New Roman" w:hAnsi="Times New Roman" w:cs="Times New Roman"/>
        </w:rPr>
        <w:t xml:space="preserve">Fruits, low in calories, fat, sodium, and cholesterol, are rich in micronutrients such as provitamin A, vitamins E and K, ascorbic acid, riboflavin, iron, iodine, calcium, and antioxidants that reduce oxidative damage (Shi et al., 2001; Dike &amp; Nnamdi, 2012; </w:t>
      </w:r>
      <w:proofErr w:type="spellStart"/>
      <w:r w:rsidR="00F34F7B" w:rsidRPr="00EF6EA4">
        <w:rPr>
          <w:rFonts w:ascii="Times New Roman" w:hAnsi="Times New Roman" w:cs="Times New Roman"/>
        </w:rPr>
        <w:t>Syahida</w:t>
      </w:r>
      <w:proofErr w:type="spellEnd"/>
      <w:r w:rsidR="00F34F7B" w:rsidRPr="00EF6EA4">
        <w:rPr>
          <w:rFonts w:ascii="Times New Roman" w:hAnsi="Times New Roman" w:cs="Times New Roman"/>
        </w:rPr>
        <w:t xml:space="preserve"> et al., 2012; Agboola, 2014; Donfack et al., 2014). High fruit intake is associated with lower risks of coronary heart disease, diabetes, obesity, and cancer (Donaldson, 2004; Williams et al., 2009; </w:t>
      </w:r>
      <w:proofErr w:type="spellStart"/>
      <w:r w:rsidR="00F34F7B" w:rsidRPr="00EF6EA4">
        <w:rPr>
          <w:rFonts w:ascii="Times New Roman" w:hAnsi="Times New Roman" w:cs="Times New Roman"/>
        </w:rPr>
        <w:t>Erasto</w:t>
      </w:r>
      <w:proofErr w:type="spellEnd"/>
      <w:r w:rsidR="00F34F7B" w:rsidRPr="00EF6EA4">
        <w:rPr>
          <w:rFonts w:ascii="Times New Roman" w:hAnsi="Times New Roman" w:cs="Times New Roman"/>
        </w:rPr>
        <w:t xml:space="preserve"> &amp; </w:t>
      </w:r>
      <w:proofErr w:type="spellStart"/>
      <w:r w:rsidR="00F34F7B" w:rsidRPr="00EF6EA4">
        <w:rPr>
          <w:rFonts w:ascii="Times New Roman" w:hAnsi="Times New Roman" w:cs="Times New Roman"/>
        </w:rPr>
        <w:t>Tshikalange</w:t>
      </w:r>
      <w:proofErr w:type="spellEnd"/>
      <w:r w:rsidR="00F34F7B" w:rsidRPr="00EF6EA4">
        <w:rPr>
          <w:rFonts w:ascii="Times New Roman" w:hAnsi="Times New Roman" w:cs="Times New Roman"/>
        </w:rPr>
        <w:t>, 2010; Asif, 2014). Jackfruit (Artocarpus heterophyllus), a Moraceae family fruit native to India, thrives in humid tropical climates, producing up to 500 fruits per tree annually (Ray, 2002; Okafor et al., 2015). Its seeds, often discarded, contain 13.67% crude protein, 69.39% carbohydrates, 344.99 kcal/100g energy, and notable levels of phosphorus, potassium, and calcium (</w:t>
      </w:r>
      <w:proofErr w:type="spellStart"/>
      <w:r w:rsidR="00F34F7B" w:rsidRPr="00EF6EA4">
        <w:rPr>
          <w:rFonts w:ascii="Times New Roman" w:hAnsi="Times New Roman" w:cs="Times New Roman"/>
        </w:rPr>
        <w:t>Ndyomugyenyi</w:t>
      </w:r>
      <w:proofErr w:type="spellEnd"/>
      <w:r w:rsidR="00F34F7B" w:rsidRPr="00EF6EA4">
        <w:rPr>
          <w:rFonts w:ascii="Times New Roman" w:hAnsi="Times New Roman" w:cs="Times New Roman"/>
        </w:rPr>
        <w:t xml:space="preserve"> et al., 2014; </w:t>
      </w:r>
      <w:proofErr w:type="spellStart"/>
      <w:r w:rsidR="00F34F7B" w:rsidRPr="00EF6EA4">
        <w:rPr>
          <w:rFonts w:ascii="Times New Roman" w:hAnsi="Times New Roman" w:cs="Times New Roman"/>
        </w:rPr>
        <w:t>Sre</w:t>
      </w:r>
      <w:r w:rsidR="00521E86" w:rsidRPr="00EF6EA4">
        <w:rPr>
          <w:rFonts w:ascii="Times New Roman" w:hAnsi="Times New Roman" w:cs="Times New Roman"/>
        </w:rPr>
        <w:t>e</w:t>
      </w:r>
      <w:r w:rsidR="00F34F7B" w:rsidRPr="00EF6EA4">
        <w:rPr>
          <w:rFonts w:ascii="Times New Roman" w:hAnsi="Times New Roman" w:cs="Times New Roman"/>
        </w:rPr>
        <w:t>letha</w:t>
      </w:r>
      <w:proofErr w:type="spellEnd"/>
      <w:r w:rsidR="00F34F7B" w:rsidRPr="00EF6EA4">
        <w:rPr>
          <w:rFonts w:ascii="Times New Roman" w:hAnsi="Times New Roman" w:cs="Times New Roman"/>
        </w:rPr>
        <w:t xml:space="preserve"> et al., 2017). Rich in vitamin C, iron, and antioxidants, jackfruit enhances immune function, combats anemia, and improves glucose tolerance, despite containing anti-nutritional factors like tannins and saponins (Morton, 1987; Kadir et al., 2014; Noor, 2014).</w:t>
      </w:r>
    </w:p>
    <w:p w14:paraId="5E027C64" w14:textId="70BF3234" w:rsidR="009232A4" w:rsidRPr="00EF6EA4" w:rsidRDefault="00521E86" w:rsidP="00EF6EA4">
      <w:pPr>
        <w:spacing w:line="240" w:lineRule="auto"/>
        <w:jc w:val="both"/>
        <w:rPr>
          <w:rFonts w:ascii="Times New Roman" w:hAnsi="Times New Roman" w:cs="Times New Roman"/>
        </w:rPr>
      </w:pPr>
      <w:r w:rsidRPr="00EF6EA4">
        <w:rPr>
          <w:rFonts w:ascii="Times New Roman" w:hAnsi="Times New Roman" w:cs="Times New Roman"/>
        </w:rPr>
        <w:tab/>
      </w:r>
      <w:r w:rsidR="00643B35" w:rsidRPr="00EF6EA4">
        <w:rPr>
          <w:rFonts w:ascii="Times New Roman" w:hAnsi="Times New Roman" w:cs="Times New Roman"/>
        </w:rPr>
        <w:t>Haematological</w:t>
      </w:r>
      <w:r w:rsidR="00F34F7B" w:rsidRPr="00EF6EA4">
        <w:rPr>
          <w:rFonts w:ascii="Times New Roman" w:hAnsi="Times New Roman" w:cs="Times New Roman"/>
        </w:rPr>
        <w:t xml:space="preserve"> indices, including erythrocyte, leucocyte, and thrombocyte counts and morphology, are essential for disease diagnosis and monitoring (Oyewole et al., 2009; Owoeye et al., 2011; Celik et al., 2015). Research, such as Okolo et al. (2015), shows that nutrient-rich diets, like those with T. occidentalis, can regenerate </w:t>
      </w:r>
      <w:r w:rsidR="00643B35" w:rsidRPr="00EF6EA4">
        <w:rPr>
          <w:rFonts w:ascii="Times New Roman" w:hAnsi="Times New Roman" w:cs="Times New Roman"/>
        </w:rPr>
        <w:t>haemoglobin</w:t>
      </w:r>
      <w:r w:rsidR="00F34F7B" w:rsidRPr="00EF6EA4">
        <w:rPr>
          <w:rFonts w:ascii="Times New Roman" w:hAnsi="Times New Roman" w:cs="Times New Roman"/>
        </w:rPr>
        <w:t xml:space="preserve"> in iron-deficient rats, indicating jackfruit’s potential to improve </w:t>
      </w:r>
      <w:r w:rsidR="00643B35" w:rsidRPr="00EF6EA4">
        <w:rPr>
          <w:rFonts w:ascii="Times New Roman" w:hAnsi="Times New Roman" w:cs="Times New Roman"/>
        </w:rPr>
        <w:t>haematological</w:t>
      </w:r>
      <w:r w:rsidR="00F34F7B" w:rsidRPr="00EF6EA4">
        <w:rPr>
          <w:rFonts w:ascii="Times New Roman" w:hAnsi="Times New Roman" w:cs="Times New Roman"/>
        </w:rPr>
        <w:t xml:space="preserve"> parameters in livestock (</w:t>
      </w:r>
      <w:proofErr w:type="spellStart"/>
      <w:r w:rsidR="00F34F7B" w:rsidRPr="00EF6EA4">
        <w:rPr>
          <w:rFonts w:ascii="Times New Roman" w:hAnsi="Times New Roman" w:cs="Times New Roman"/>
        </w:rPr>
        <w:t>Agiang</w:t>
      </w:r>
      <w:proofErr w:type="spellEnd"/>
      <w:r w:rsidR="00F34F7B" w:rsidRPr="00EF6EA4">
        <w:rPr>
          <w:rFonts w:ascii="Times New Roman" w:hAnsi="Times New Roman" w:cs="Times New Roman"/>
        </w:rPr>
        <w:t xml:space="preserve"> et al., 2017). This study examines the effects of jackfruit powder supplementation at varying levels on </w:t>
      </w:r>
      <w:r w:rsidR="00643B35" w:rsidRPr="00EF6EA4">
        <w:rPr>
          <w:rFonts w:ascii="Times New Roman" w:hAnsi="Times New Roman" w:cs="Times New Roman"/>
        </w:rPr>
        <w:t>haematological</w:t>
      </w:r>
      <w:r w:rsidR="00F34F7B" w:rsidRPr="00EF6EA4">
        <w:rPr>
          <w:rFonts w:ascii="Times New Roman" w:hAnsi="Times New Roman" w:cs="Times New Roman"/>
        </w:rPr>
        <w:t xml:space="preserve"> parameters and health outcomes in </w:t>
      </w:r>
      <w:r w:rsidR="00EE1B59" w:rsidRPr="00EF6EA4">
        <w:rPr>
          <w:rFonts w:ascii="Times New Roman" w:hAnsi="Times New Roman" w:cs="Times New Roman"/>
          <w:i/>
          <w:iCs/>
        </w:rPr>
        <w:t>Tenyi Vo</w:t>
      </w:r>
      <w:r w:rsidR="00F34F7B" w:rsidRPr="00EF6EA4">
        <w:rPr>
          <w:rFonts w:ascii="Times New Roman" w:hAnsi="Times New Roman" w:cs="Times New Roman"/>
        </w:rPr>
        <w:t xml:space="preserve"> pigs, aiming to optimize their health and promote sustainable pig farming in Nagaland.</w:t>
      </w:r>
    </w:p>
    <w:p w14:paraId="46539855" w14:textId="180DA1BD"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Materials and Methods</w:t>
      </w:r>
    </w:p>
    <w:p w14:paraId="628F5289" w14:textId="5769382B" w:rsidR="002E6E91" w:rsidRPr="00EF6EA4" w:rsidRDefault="00E524A6" w:rsidP="00EF6EA4">
      <w:pPr>
        <w:spacing w:line="240" w:lineRule="auto"/>
        <w:jc w:val="both"/>
        <w:rPr>
          <w:rFonts w:ascii="Times New Roman" w:hAnsi="Times New Roman" w:cs="Times New Roman"/>
          <w:b/>
          <w:bCs/>
        </w:rPr>
      </w:pPr>
      <w:r w:rsidRPr="00EF6EA4">
        <w:rPr>
          <w:rFonts w:ascii="Times New Roman" w:hAnsi="Times New Roman" w:cs="Times New Roman"/>
          <w:b/>
          <w:bCs/>
        </w:rPr>
        <w:t>Study Area</w:t>
      </w:r>
      <w:r w:rsidR="00AF6962" w:rsidRPr="00EF6EA4">
        <w:rPr>
          <w:rFonts w:ascii="Times New Roman" w:hAnsi="Times New Roman" w:cs="Times New Roman"/>
          <w:b/>
          <w:bCs/>
        </w:rPr>
        <w:t xml:space="preserve">: </w:t>
      </w:r>
      <w:r w:rsidR="002E6E91" w:rsidRPr="00EF6EA4">
        <w:rPr>
          <w:rFonts w:ascii="Times New Roman" w:hAnsi="Times New Roman" w:cs="Times New Roman"/>
        </w:rPr>
        <w:t>The experimental study was conducted at the Department of Livestock Production and Management, Nagaland University, Medziphema Campus, under the supervision of the Indian Council of Agricultural Research-All India Coordinated Research Project on Pig (ICAR-AICRP on Pig). The farm is located between 93.200</w:t>
      </w:r>
      <w:r w:rsidR="002E6E91" w:rsidRPr="00EF6EA4">
        <w:rPr>
          <w:rFonts w:ascii="Times New Roman" w:hAnsi="Times New Roman" w:cs="Times New Roman"/>
          <w:vertAlign w:val="superscript"/>
        </w:rPr>
        <w:t>E</w:t>
      </w:r>
      <w:r w:rsidR="002E6E91" w:rsidRPr="00EF6EA4">
        <w:rPr>
          <w:rFonts w:ascii="Times New Roman" w:hAnsi="Times New Roman" w:cs="Times New Roman"/>
        </w:rPr>
        <w:t xml:space="preserve"> to 95.150</w:t>
      </w:r>
      <w:r w:rsidR="002E6E91" w:rsidRPr="00EF6EA4">
        <w:rPr>
          <w:rFonts w:ascii="Times New Roman" w:hAnsi="Times New Roman" w:cs="Times New Roman"/>
          <w:vertAlign w:val="superscript"/>
        </w:rPr>
        <w:t>E</w:t>
      </w:r>
      <w:r w:rsidR="002E6E91" w:rsidRPr="00EF6EA4">
        <w:rPr>
          <w:rFonts w:ascii="Times New Roman" w:hAnsi="Times New Roman" w:cs="Times New Roman"/>
        </w:rPr>
        <w:t xml:space="preserve"> longitude, 25.600</w:t>
      </w:r>
      <w:r w:rsidR="002E6E91" w:rsidRPr="00EF6EA4">
        <w:rPr>
          <w:rFonts w:ascii="Times New Roman" w:hAnsi="Times New Roman" w:cs="Times New Roman"/>
          <w:vertAlign w:val="superscript"/>
        </w:rPr>
        <w:t>N</w:t>
      </w:r>
      <w:r w:rsidR="002E6E91" w:rsidRPr="00EF6EA4">
        <w:rPr>
          <w:rFonts w:ascii="Times New Roman" w:hAnsi="Times New Roman" w:cs="Times New Roman"/>
        </w:rPr>
        <w:t xml:space="preserve"> to 27.400</w:t>
      </w:r>
      <w:r w:rsidR="002E6E91" w:rsidRPr="00EF6EA4">
        <w:rPr>
          <w:rFonts w:ascii="Times New Roman" w:hAnsi="Times New Roman" w:cs="Times New Roman"/>
          <w:vertAlign w:val="superscript"/>
        </w:rPr>
        <w:t>N</w:t>
      </w:r>
      <w:r w:rsidR="002E6E91" w:rsidRPr="00EF6EA4">
        <w:rPr>
          <w:rFonts w:ascii="Times New Roman" w:hAnsi="Times New Roman" w:cs="Times New Roman"/>
        </w:rPr>
        <w:t xml:space="preserve"> latitude, and at an elevation of 310 meters above sea level. During the experiment, from August 23, 2023, to October 23, 2023, the average temperature ranged from 25°C to 32°C, with relative humidity levels between 70% and 85%.</w:t>
      </w:r>
    </w:p>
    <w:p w14:paraId="440A8991" w14:textId="6AAE67E4" w:rsidR="006C44CB" w:rsidRPr="00EF6EA4" w:rsidRDefault="00E524A6" w:rsidP="00EF6EA4">
      <w:pPr>
        <w:spacing w:line="240" w:lineRule="auto"/>
        <w:jc w:val="both"/>
        <w:rPr>
          <w:rFonts w:ascii="Times New Roman" w:hAnsi="Times New Roman" w:cs="Times New Roman"/>
          <w:b/>
          <w:bCs/>
        </w:rPr>
      </w:pPr>
      <w:r w:rsidRPr="00EF6EA4">
        <w:rPr>
          <w:rFonts w:ascii="Times New Roman" w:hAnsi="Times New Roman" w:cs="Times New Roman"/>
          <w:b/>
          <w:bCs/>
        </w:rPr>
        <w:t>Housing and Management of animals</w:t>
      </w:r>
      <w:r w:rsidR="00AF6962" w:rsidRPr="00EF6EA4">
        <w:rPr>
          <w:rFonts w:ascii="Times New Roman" w:hAnsi="Times New Roman" w:cs="Times New Roman"/>
          <w:b/>
          <w:bCs/>
        </w:rPr>
        <w:t xml:space="preserve">: </w:t>
      </w:r>
      <w:r w:rsidR="006C44CB" w:rsidRPr="00EF6EA4">
        <w:rPr>
          <w:rFonts w:ascii="Times New Roman" w:hAnsi="Times New Roman" w:cs="Times New Roman"/>
        </w:rPr>
        <w:t>The experimental animals were housed in a standard facility with a cement floor, half-brick walls, and CGI roofing. Pens were thoroughly cleaned and dried for three days before introducing the animals. A footbath containing 0.5% potassium permanganate (KMnO</w:t>
      </w:r>
      <w:r w:rsidR="006C44CB" w:rsidRPr="00EF6EA4">
        <w:rPr>
          <w:rFonts w:ascii="Times New Roman" w:hAnsi="Times New Roman" w:cs="Times New Roman"/>
          <w:vertAlign w:val="subscript"/>
        </w:rPr>
        <w:t>4</w:t>
      </w:r>
      <w:r w:rsidR="006C44CB" w:rsidRPr="00EF6EA4">
        <w:rPr>
          <w:rFonts w:ascii="Times New Roman" w:hAnsi="Times New Roman" w:cs="Times New Roman"/>
        </w:rPr>
        <w:t>) solution was placed at the piggery shed entrance for disinfection, with the solution replaced daily. Pig pens, feeding, and watering troughs were cleaned twice daily between (6:00–7:00 AM and 4:00–5:00 PM) before each feeding and watering.</w:t>
      </w:r>
    </w:p>
    <w:p w14:paraId="05493CA0" w14:textId="3F296A52" w:rsidR="00E524A6" w:rsidRPr="00EF6EA4" w:rsidRDefault="00E524A6" w:rsidP="00EF6EA4">
      <w:pPr>
        <w:spacing w:line="240" w:lineRule="auto"/>
        <w:jc w:val="both"/>
        <w:rPr>
          <w:rFonts w:ascii="Times New Roman" w:hAnsi="Times New Roman" w:cs="Times New Roman"/>
        </w:rPr>
      </w:pPr>
      <w:r w:rsidRPr="00EF6EA4">
        <w:rPr>
          <w:rFonts w:ascii="Times New Roman" w:hAnsi="Times New Roman" w:cs="Times New Roman"/>
          <w:b/>
          <w:bCs/>
        </w:rPr>
        <w:t>Experimental animals</w:t>
      </w:r>
      <w:r w:rsidR="00AF6962" w:rsidRPr="00EF6EA4">
        <w:rPr>
          <w:rFonts w:ascii="Times New Roman" w:hAnsi="Times New Roman" w:cs="Times New Roman"/>
          <w:b/>
          <w:bCs/>
        </w:rPr>
        <w:t xml:space="preserve">: </w:t>
      </w:r>
      <w:r w:rsidR="00331E41" w:rsidRPr="00EF6EA4">
        <w:rPr>
          <w:rFonts w:ascii="Times New Roman" w:hAnsi="Times New Roman" w:cs="Times New Roman"/>
        </w:rPr>
        <w:t xml:space="preserve">A total of 20 weaned </w:t>
      </w:r>
      <w:r w:rsidR="00EE1B59" w:rsidRPr="00EF6EA4">
        <w:rPr>
          <w:rFonts w:ascii="Times New Roman" w:hAnsi="Times New Roman" w:cs="Times New Roman"/>
          <w:i/>
          <w:iCs/>
        </w:rPr>
        <w:t>Tenyi Vo</w:t>
      </w:r>
      <w:r w:rsidR="00331E41" w:rsidRPr="00EF6EA4">
        <w:rPr>
          <w:rFonts w:ascii="Times New Roman" w:hAnsi="Times New Roman" w:cs="Times New Roman"/>
        </w:rPr>
        <w:t xml:space="preserve"> pigs (60 days old) were selected for the study. They were divided into four treatment groups, each consisting of five pigs. The second (G </w:t>
      </w:r>
      <w:r w:rsidR="00331E41" w:rsidRPr="00EF6EA4">
        <w:rPr>
          <w:rFonts w:ascii="Times New Roman" w:hAnsi="Times New Roman" w:cs="Times New Roman"/>
          <w:vertAlign w:val="subscript"/>
        </w:rPr>
        <w:t>2</w:t>
      </w:r>
      <w:r w:rsidR="00331E41" w:rsidRPr="00EF6EA4">
        <w:rPr>
          <w:rFonts w:ascii="Times New Roman" w:hAnsi="Times New Roman" w:cs="Times New Roman"/>
        </w:rPr>
        <w:t>), third (G</w:t>
      </w:r>
      <w:r w:rsidR="00331E41" w:rsidRPr="00EF6EA4">
        <w:rPr>
          <w:rFonts w:ascii="Times New Roman" w:hAnsi="Times New Roman" w:cs="Times New Roman"/>
          <w:vertAlign w:val="subscript"/>
        </w:rPr>
        <w:t>3</w:t>
      </w:r>
      <w:r w:rsidR="00331E41" w:rsidRPr="00EF6EA4">
        <w:rPr>
          <w:rFonts w:ascii="Times New Roman" w:hAnsi="Times New Roman" w:cs="Times New Roman"/>
        </w:rPr>
        <w:t>), and fourth (G</w:t>
      </w:r>
      <w:r w:rsidR="00331E41" w:rsidRPr="00EF6EA4">
        <w:rPr>
          <w:rFonts w:ascii="Times New Roman" w:hAnsi="Times New Roman" w:cs="Times New Roman"/>
          <w:vertAlign w:val="subscript"/>
        </w:rPr>
        <w:t>4</w:t>
      </w:r>
      <w:r w:rsidR="00331E41" w:rsidRPr="00EF6EA4">
        <w:rPr>
          <w:rFonts w:ascii="Times New Roman" w:hAnsi="Times New Roman" w:cs="Times New Roman"/>
        </w:rPr>
        <w:t>) groups were supplemented with Jackfruit powder at different levels, while the first (G</w:t>
      </w:r>
      <w:r w:rsidR="00331E41" w:rsidRPr="00EF6EA4">
        <w:rPr>
          <w:rFonts w:ascii="Times New Roman" w:hAnsi="Times New Roman" w:cs="Times New Roman"/>
          <w:vertAlign w:val="subscript"/>
        </w:rPr>
        <w:t>1</w:t>
      </w:r>
      <w:r w:rsidR="00331E41" w:rsidRPr="00EF6EA4">
        <w:rPr>
          <w:rFonts w:ascii="Times New Roman" w:hAnsi="Times New Roman" w:cs="Times New Roman"/>
        </w:rPr>
        <w:t>) group served as the control. All selected experimental animals were identified with plastic ear tags engraved with unique numbers.</w:t>
      </w:r>
    </w:p>
    <w:p w14:paraId="2EA00D11" w14:textId="3B97D4CC" w:rsidR="00331E41" w:rsidRPr="00EF6EA4" w:rsidRDefault="00E524A6" w:rsidP="00EF6EA4">
      <w:pPr>
        <w:spacing w:line="240" w:lineRule="auto"/>
        <w:jc w:val="both"/>
        <w:rPr>
          <w:rFonts w:ascii="Times New Roman" w:hAnsi="Times New Roman" w:cs="Times New Roman"/>
        </w:rPr>
      </w:pPr>
      <w:r w:rsidRPr="00EF6EA4">
        <w:rPr>
          <w:rFonts w:ascii="Times New Roman" w:hAnsi="Times New Roman" w:cs="Times New Roman"/>
          <w:b/>
          <w:bCs/>
        </w:rPr>
        <w:lastRenderedPageBreak/>
        <w:t>Experimental Diet</w:t>
      </w:r>
      <w:r w:rsidR="00331E41" w:rsidRPr="00EF6EA4">
        <w:rPr>
          <w:rFonts w:ascii="Times New Roman" w:hAnsi="Times New Roman" w:cs="Times New Roman"/>
          <w:b/>
          <w:bCs/>
        </w:rPr>
        <w:t xml:space="preserve">: </w:t>
      </w:r>
      <w:r w:rsidR="00331E41" w:rsidRPr="00EF6EA4">
        <w:rPr>
          <w:rFonts w:ascii="Times New Roman" w:hAnsi="Times New Roman" w:cs="Times New Roman"/>
        </w:rPr>
        <w:t xml:space="preserve">According to Bhat et al. (2010), the experimental animals were fed a concentrate grower ration containing 15% crude protein. Feed ingredients were sourced from Animal Feed and Needs, an authorized dealer in Medziphema, Dimapur. The concentrated feed composition, as detailed in </w:t>
      </w:r>
      <w:r w:rsidR="0071766C">
        <w:rPr>
          <w:rFonts w:ascii="Times New Roman" w:hAnsi="Times New Roman" w:cs="Times New Roman"/>
        </w:rPr>
        <w:t>(</w:t>
      </w:r>
      <w:r w:rsidR="00331E41" w:rsidRPr="00EF6EA4">
        <w:rPr>
          <w:rFonts w:ascii="Times New Roman" w:hAnsi="Times New Roman" w:cs="Times New Roman"/>
          <w:b/>
          <w:bCs/>
        </w:rPr>
        <w:t>Table 1</w:t>
      </w:r>
      <w:r w:rsidR="0071766C">
        <w:rPr>
          <w:rFonts w:ascii="Times New Roman" w:hAnsi="Times New Roman" w:cs="Times New Roman"/>
          <w:b/>
          <w:bCs/>
        </w:rPr>
        <w:t>)</w:t>
      </w:r>
      <w:r w:rsidR="00331E41" w:rsidRPr="00EF6EA4">
        <w:rPr>
          <w:rFonts w:ascii="Times New Roman" w:hAnsi="Times New Roman" w:cs="Times New Roman"/>
        </w:rPr>
        <w:t>, included maize bran, groundnut oilcake, wheat bran, fish meal, mineral mixture, and common salt. A 50-kilogram batch of the concentrated diet was manually prepared weekly at the pig farm's feed go-down.</w:t>
      </w:r>
    </w:p>
    <w:p w14:paraId="1559E839" w14:textId="0AC8F2BD" w:rsidR="00E524A6" w:rsidRPr="00EF6EA4" w:rsidRDefault="007620A5" w:rsidP="00EF6EA4">
      <w:pPr>
        <w:spacing w:line="240" w:lineRule="auto"/>
        <w:jc w:val="both"/>
        <w:rPr>
          <w:rFonts w:ascii="Times New Roman" w:hAnsi="Times New Roman" w:cs="Times New Roman"/>
        </w:rPr>
      </w:pPr>
      <w:r w:rsidRPr="00EF6EA4">
        <w:rPr>
          <w:rFonts w:ascii="Times New Roman" w:hAnsi="Times New Roman" w:cs="Times New Roman"/>
          <w:b/>
          <w:bCs/>
        </w:rPr>
        <w:t>Preparation</w:t>
      </w:r>
      <w:r w:rsidR="00E524A6" w:rsidRPr="00EF6EA4">
        <w:rPr>
          <w:rFonts w:ascii="Times New Roman" w:hAnsi="Times New Roman" w:cs="Times New Roman"/>
          <w:b/>
          <w:bCs/>
        </w:rPr>
        <w:t xml:space="preserve"> of test materials</w:t>
      </w:r>
      <w:r w:rsidR="00331E41" w:rsidRPr="00EF6EA4">
        <w:rPr>
          <w:rFonts w:ascii="Times New Roman" w:hAnsi="Times New Roman" w:cs="Times New Roman"/>
          <w:b/>
          <w:bCs/>
        </w:rPr>
        <w:t xml:space="preserve">: </w:t>
      </w:r>
      <w:r w:rsidR="007B2DA1" w:rsidRPr="00EF6EA4">
        <w:rPr>
          <w:rFonts w:ascii="Times New Roman" w:hAnsi="Times New Roman" w:cs="Times New Roman"/>
        </w:rPr>
        <w:t xml:space="preserve">The fresh Jackfruit was collected from the Instructional Livestock Farm, Department of Livestock Production Management, School of Agricultural Sciences, Nagaland University, Medziphema Campus. The outer skin was peeled off, and the flesh was carefully separated from the seeds. The seeds were thoroughly washed and chopped into smaller pieces using a knife. These pieces were dried in a hot oven until brittle. The dried Jackfruit brittles were then ground into a fine powder using a Philips grinder and filtered through a fine-mesh sieve to remove larger particles or </w:t>
      </w:r>
      <w:r w:rsidR="00643B35" w:rsidRPr="00EF6EA4">
        <w:rPr>
          <w:rFonts w:ascii="Times New Roman" w:hAnsi="Times New Roman" w:cs="Times New Roman"/>
        </w:rPr>
        <w:t>fibres</w:t>
      </w:r>
      <w:r w:rsidR="007B2DA1" w:rsidRPr="00EF6EA4">
        <w:rPr>
          <w:rFonts w:ascii="Times New Roman" w:hAnsi="Times New Roman" w:cs="Times New Roman"/>
        </w:rPr>
        <w:t>. The resulting fine powder was stored in an airtight container in a cool, dry place.</w:t>
      </w:r>
    </w:p>
    <w:p w14:paraId="00B40FE7" w14:textId="791F941E" w:rsidR="007620A5" w:rsidRPr="00EF6EA4" w:rsidRDefault="00E524A6" w:rsidP="00EF6EA4">
      <w:pPr>
        <w:spacing w:line="240" w:lineRule="auto"/>
        <w:jc w:val="both"/>
        <w:rPr>
          <w:rFonts w:ascii="Times New Roman" w:hAnsi="Times New Roman" w:cs="Times New Roman"/>
        </w:rPr>
      </w:pPr>
      <w:r w:rsidRPr="00EF6EA4">
        <w:rPr>
          <w:rFonts w:ascii="Times New Roman" w:hAnsi="Times New Roman" w:cs="Times New Roman"/>
          <w:b/>
          <w:bCs/>
        </w:rPr>
        <w:t>Treatment and feeding Diet</w:t>
      </w:r>
      <w:r w:rsidR="007B2DA1" w:rsidRPr="00EF6EA4">
        <w:rPr>
          <w:rFonts w:ascii="Times New Roman" w:hAnsi="Times New Roman" w:cs="Times New Roman"/>
          <w:b/>
          <w:bCs/>
        </w:rPr>
        <w:t xml:space="preserve">: </w:t>
      </w:r>
      <w:r w:rsidR="007B2DA1" w:rsidRPr="00EF6EA4">
        <w:rPr>
          <w:rFonts w:ascii="Times New Roman" w:hAnsi="Times New Roman" w:cs="Times New Roman"/>
        </w:rPr>
        <w:t xml:space="preserve">The experimental animals were assigned to four dietary treatments by supplementing concentrate feeds with Jackfruit powder at varying concentrations. The animals, housed in four pens </w:t>
      </w:r>
      <w:r w:rsidR="00643B35" w:rsidRPr="00EF6EA4">
        <w:rPr>
          <w:rFonts w:ascii="Times New Roman" w:hAnsi="Times New Roman" w:cs="Times New Roman"/>
        </w:rPr>
        <w:t>labelled</w:t>
      </w:r>
      <w:r w:rsidR="007B2DA1" w:rsidRPr="00EF6EA4">
        <w:rPr>
          <w:rFonts w:ascii="Times New Roman" w:hAnsi="Times New Roman" w:cs="Times New Roman"/>
        </w:rPr>
        <w:t xml:space="preserve"> as treatment groups </w:t>
      </w:r>
      <w:r w:rsidR="00643B35" w:rsidRPr="00EF6EA4">
        <w:rPr>
          <w:rFonts w:ascii="Times New Roman" w:hAnsi="Times New Roman" w:cs="Times New Roman"/>
        </w:rPr>
        <w:t>G</w:t>
      </w:r>
      <w:r w:rsidR="007B2DA1" w:rsidRPr="00EF6EA4">
        <w:rPr>
          <w:rFonts w:ascii="Times New Roman" w:hAnsi="Times New Roman" w:cs="Times New Roman"/>
          <w:vertAlign w:val="subscript"/>
        </w:rPr>
        <w:t>1</w:t>
      </w:r>
      <w:r w:rsidR="007B2DA1" w:rsidRPr="00EF6EA4">
        <w:rPr>
          <w:rFonts w:ascii="Times New Roman" w:hAnsi="Times New Roman" w:cs="Times New Roman"/>
        </w:rPr>
        <w:t xml:space="preserve">, </w:t>
      </w:r>
      <w:r w:rsidR="00643B35" w:rsidRPr="00EF6EA4">
        <w:rPr>
          <w:rFonts w:ascii="Times New Roman" w:hAnsi="Times New Roman" w:cs="Times New Roman"/>
        </w:rPr>
        <w:t>G</w:t>
      </w:r>
      <w:r w:rsidR="007B2DA1" w:rsidRPr="00EF6EA4">
        <w:rPr>
          <w:rFonts w:ascii="Times New Roman" w:hAnsi="Times New Roman" w:cs="Times New Roman"/>
          <w:vertAlign w:val="subscript"/>
        </w:rPr>
        <w:t>2</w:t>
      </w:r>
      <w:r w:rsidR="007B2DA1" w:rsidRPr="00EF6EA4">
        <w:rPr>
          <w:rFonts w:ascii="Times New Roman" w:hAnsi="Times New Roman" w:cs="Times New Roman"/>
        </w:rPr>
        <w:t xml:space="preserve">, </w:t>
      </w:r>
      <w:r w:rsidR="00643B35" w:rsidRPr="00EF6EA4">
        <w:rPr>
          <w:rFonts w:ascii="Times New Roman" w:hAnsi="Times New Roman" w:cs="Times New Roman"/>
        </w:rPr>
        <w:t>G</w:t>
      </w:r>
      <w:r w:rsidR="007B2DA1" w:rsidRPr="00EF6EA4">
        <w:rPr>
          <w:rFonts w:ascii="Times New Roman" w:hAnsi="Times New Roman" w:cs="Times New Roman"/>
          <w:vertAlign w:val="subscript"/>
        </w:rPr>
        <w:t>3</w:t>
      </w:r>
      <w:r w:rsidR="007B2DA1" w:rsidRPr="00EF6EA4">
        <w:rPr>
          <w:rFonts w:ascii="Times New Roman" w:hAnsi="Times New Roman" w:cs="Times New Roman"/>
        </w:rPr>
        <w:t xml:space="preserve">, and </w:t>
      </w:r>
      <w:r w:rsidR="00643B35" w:rsidRPr="00EF6EA4">
        <w:rPr>
          <w:rFonts w:ascii="Times New Roman" w:hAnsi="Times New Roman" w:cs="Times New Roman"/>
        </w:rPr>
        <w:t>G</w:t>
      </w:r>
      <w:r w:rsidR="007B2DA1" w:rsidRPr="00EF6EA4">
        <w:rPr>
          <w:rFonts w:ascii="Times New Roman" w:hAnsi="Times New Roman" w:cs="Times New Roman"/>
          <w:vertAlign w:val="subscript"/>
        </w:rPr>
        <w:t>4</w:t>
      </w:r>
      <w:r w:rsidR="007B2DA1" w:rsidRPr="00EF6EA4">
        <w:rPr>
          <w:rFonts w:ascii="Times New Roman" w:hAnsi="Times New Roman" w:cs="Times New Roman"/>
        </w:rPr>
        <w:t xml:space="preserve">, were provided with the experimental diets outlined in </w:t>
      </w:r>
      <w:r w:rsidR="0071766C">
        <w:rPr>
          <w:rFonts w:ascii="Times New Roman" w:hAnsi="Times New Roman" w:cs="Times New Roman"/>
        </w:rPr>
        <w:t>(</w:t>
      </w:r>
      <w:r w:rsidR="007B2DA1" w:rsidRPr="00EF6EA4">
        <w:rPr>
          <w:rFonts w:ascii="Times New Roman" w:hAnsi="Times New Roman" w:cs="Times New Roman"/>
          <w:b/>
          <w:bCs/>
        </w:rPr>
        <w:t>Table 2</w:t>
      </w:r>
      <w:r w:rsidR="0071766C">
        <w:rPr>
          <w:rFonts w:ascii="Times New Roman" w:hAnsi="Times New Roman" w:cs="Times New Roman"/>
          <w:b/>
          <w:bCs/>
        </w:rPr>
        <w:t>)</w:t>
      </w:r>
      <w:r w:rsidR="007B2DA1" w:rsidRPr="00EF6EA4">
        <w:rPr>
          <w:rFonts w:ascii="Times New Roman" w:hAnsi="Times New Roman" w:cs="Times New Roman"/>
        </w:rPr>
        <w:t>. The animals were fed twice daily, starting with 500 g per treatment per day, with adjustments made based on each group or pen’s feed intake. Clean drinking water was available throughout the day.</w:t>
      </w:r>
    </w:p>
    <w:p w14:paraId="6344044E" w14:textId="5A8D5E43" w:rsidR="00643B35" w:rsidRPr="00EF6EA4" w:rsidRDefault="00643B35" w:rsidP="00EF6EA4">
      <w:pPr>
        <w:spacing w:line="240" w:lineRule="auto"/>
        <w:jc w:val="both"/>
        <w:rPr>
          <w:rFonts w:ascii="Times New Roman" w:hAnsi="Times New Roman" w:cs="Times New Roman"/>
          <w:b/>
          <w:bCs/>
        </w:rPr>
      </w:pPr>
      <w:r w:rsidRPr="00EF6EA4">
        <w:rPr>
          <w:rFonts w:ascii="Times New Roman" w:hAnsi="Times New Roman" w:cs="Times New Roman"/>
          <w:b/>
          <w:bCs/>
        </w:rPr>
        <w:t>Haematological</w:t>
      </w:r>
      <w:r w:rsidR="00840F1B" w:rsidRPr="00EF6EA4">
        <w:rPr>
          <w:rFonts w:ascii="Times New Roman" w:hAnsi="Times New Roman" w:cs="Times New Roman"/>
          <w:b/>
          <w:bCs/>
        </w:rPr>
        <w:t xml:space="preserve"> Analysis</w:t>
      </w:r>
      <w:r w:rsidRPr="00EF6EA4">
        <w:rPr>
          <w:rFonts w:ascii="Times New Roman" w:hAnsi="Times New Roman" w:cs="Times New Roman"/>
          <w:b/>
          <w:bCs/>
        </w:rPr>
        <w:t xml:space="preserve">: </w:t>
      </w:r>
      <w:r w:rsidRPr="00EF6EA4">
        <w:rPr>
          <w:rFonts w:ascii="Times New Roman" w:hAnsi="Times New Roman" w:cs="Times New Roman"/>
        </w:rPr>
        <w:t>Four animals from each treatment group were randomly selected, and terminal blood samples were collected from the ear vein of each using a syringe and needle. Approximately 2 ml of blood per animal was collected into labelled ethylene diamine tetraacetic acid (EDTA) specimen bottles for haematological analysis. Haematological parameters, including red blood corpuscles (RBC), white blood corpuscles (WBC), haemoglobin (Hb), packed cell volume (PCV), and mean corpuscular volume (MCV), were determined using whole blood samples following standard methods outlined by Sastry (1989).</w:t>
      </w:r>
    </w:p>
    <w:p w14:paraId="5F4E0AC4" w14:textId="720313FC" w:rsidR="007B2DA1"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Health Monitoring</w:t>
      </w:r>
      <w:r w:rsidR="00643B35" w:rsidRPr="00EF6EA4">
        <w:rPr>
          <w:rFonts w:ascii="Times New Roman" w:hAnsi="Times New Roman" w:cs="Times New Roman"/>
          <w:b/>
          <w:bCs/>
        </w:rPr>
        <w:t xml:space="preserve">: </w:t>
      </w:r>
      <w:r w:rsidR="007B2DA1" w:rsidRPr="00EF6EA4">
        <w:rPr>
          <w:rFonts w:ascii="Times New Roman" w:hAnsi="Times New Roman" w:cs="Times New Roman"/>
        </w:rPr>
        <w:t xml:space="preserve">The health status of the experimental animals was monitored daily through observations of their activity, alertness, feed intake, </w:t>
      </w:r>
      <w:r w:rsidR="00643B35" w:rsidRPr="00EF6EA4">
        <w:rPr>
          <w:rFonts w:ascii="Times New Roman" w:hAnsi="Times New Roman" w:cs="Times New Roman"/>
        </w:rPr>
        <w:t>faces</w:t>
      </w:r>
      <w:r w:rsidR="007B2DA1" w:rsidRPr="00EF6EA4">
        <w:rPr>
          <w:rFonts w:ascii="Times New Roman" w:hAnsi="Times New Roman" w:cs="Times New Roman"/>
        </w:rPr>
        <w:t xml:space="preserve"> and urination patterns, and any unusual eye discharges. The morbidity and mortality rates of the pigs were quantified as percentages using the following formulas:</w:t>
      </w:r>
    </w:p>
    <w:p w14:paraId="4FFFE30F" w14:textId="77777777" w:rsidR="007B2DA1" w:rsidRPr="00EF6EA4" w:rsidRDefault="007B2DA1" w:rsidP="00EF6EA4">
      <w:pPr>
        <w:numPr>
          <w:ilvl w:val="0"/>
          <w:numId w:val="3"/>
        </w:numPr>
        <w:spacing w:line="240" w:lineRule="auto"/>
        <w:jc w:val="both"/>
        <w:rPr>
          <w:rFonts w:ascii="Times New Roman" w:hAnsi="Times New Roman" w:cs="Times New Roman"/>
        </w:rPr>
      </w:pPr>
      <w:r w:rsidRPr="00EF6EA4">
        <w:rPr>
          <w:rFonts w:ascii="Times New Roman" w:hAnsi="Times New Roman" w:cs="Times New Roman"/>
          <w:b/>
          <w:bCs/>
        </w:rPr>
        <w:t>Morbidity (%)</w:t>
      </w:r>
      <w:r w:rsidRPr="00EF6EA4">
        <w:rPr>
          <w:rFonts w:ascii="Times New Roman" w:hAnsi="Times New Roman" w:cs="Times New Roman"/>
        </w:rPr>
        <w:t xml:space="preserve"> = (Total number of sick pigs </w:t>
      </w:r>
      <w:r w:rsidRPr="00EF6EA4">
        <w:rPr>
          <w:rFonts w:ascii="Times New Roman" w:hAnsi="Times New Roman" w:cs="Times New Roman"/>
          <w:b/>
          <w:bCs/>
        </w:rPr>
        <w:t xml:space="preserve">/ </w:t>
      </w:r>
      <w:r w:rsidRPr="00EF6EA4">
        <w:rPr>
          <w:rFonts w:ascii="Times New Roman" w:hAnsi="Times New Roman" w:cs="Times New Roman"/>
        </w:rPr>
        <w:t xml:space="preserve">Total number of pigs) </w:t>
      </w:r>
      <w:r w:rsidRPr="00EF6EA4">
        <w:rPr>
          <w:rFonts w:ascii="Times New Roman" w:hAnsi="Times New Roman" w:cs="Times New Roman"/>
          <w:b/>
          <w:bCs/>
        </w:rPr>
        <w:t xml:space="preserve">× </w:t>
      </w:r>
      <w:r w:rsidRPr="00EF6EA4">
        <w:rPr>
          <w:rFonts w:ascii="Times New Roman" w:hAnsi="Times New Roman" w:cs="Times New Roman"/>
        </w:rPr>
        <w:t>100</w:t>
      </w:r>
    </w:p>
    <w:p w14:paraId="26B698D5" w14:textId="77777777" w:rsidR="007B2DA1" w:rsidRPr="00EF6EA4" w:rsidRDefault="007B2DA1" w:rsidP="00EF6EA4">
      <w:pPr>
        <w:numPr>
          <w:ilvl w:val="0"/>
          <w:numId w:val="3"/>
        </w:numPr>
        <w:spacing w:line="240" w:lineRule="auto"/>
        <w:jc w:val="both"/>
        <w:rPr>
          <w:rFonts w:ascii="Times New Roman" w:hAnsi="Times New Roman" w:cs="Times New Roman"/>
        </w:rPr>
      </w:pPr>
      <w:r w:rsidRPr="00EF6EA4">
        <w:rPr>
          <w:rFonts w:ascii="Times New Roman" w:hAnsi="Times New Roman" w:cs="Times New Roman"/>
          <w:b/>
          <w:bCs/>
        </w:rPr>
        <w:t>Mortality (%)</w:t>
      </w:r>
      <w:r w:rsidRPr="00EF6EA4">
        <w:rPr>
          <w:rFonts w:ascii="Times New Roman" w:hAnsi="Times New Roman" w:cs="Times New Roman"/>
        </w:rPr>
        <w:t xml:space="preserve"> = (Total number of pigs died </w:t>
      </w:r>
      <w:r w:rsidRPr="00EF6EA4">
        <w:rPr>
          <w:rFonts w:ascii="Times New Roman" w:hAnsi="Times New Roman" w:cs="Times New Roman"/>
          <w:b/>
          <w:bCs/>
        </w:rPr>
        <w:t>/</w:t>
      </w:r>
      <w:r w:rsidRPr="00EF6EA4">
        <w:rPr>
          <w:rFonts w:ascii="Times New Roman" w:hAnsi="Times New Roman" w:cs="Times New Roman"/>
        </w:rPr>
        <w:t xml:space="preserve"> Total number of pigs) </w:t>
      </w:r>
      <w:r w:rsidRPr="00EF6EA4">
        <w:rPr>
          <w:rFonts w:ascii="Times New Roman" w:hAnsi="Times New Roman" w:cs="Times New Roman"/>
          <w:b/>
          <w:bCs/>
        </w:rPr>
        <w:t>×</w:t>
      </w:r>
      <w:r w:rsidRPr="00EF6EA4">
        <w:rPr>
          <w:rFonts w:ascii="Times New Roman" w:hAnsi="Times New Roman" w:cs="Times New Roman"/>
        </w:rPr>
        <w:t xml:space="preserve"> 100</w:t>
      </w:r>
    </w:p>
    <w:p w14:paraId="55094054" w14:textId="782C0577"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Statistical Analysis</w:t>
      </w:r>
      <w:r w:rsidR="00643B35" w:rsidRPr="00EF6EA4">
        <w:rPr>
          <w:rFonts w:ascii="Times New Roman" w:hAnsi="Times New Roman" w:cs="Times New Roman"/>
          <w:b/>
          <w:bCs/>
        </w:rPr>
        <w:t xml:space="preserve">: </w:t>
      </w:r>
      <w:r w:rsidRPr="00EF6EA4">
        <w:rPr>
          <w:rFonts w:ascii="Times New Roman" w:hAnsi="Times New Roman" w:cs="Times New Roman"/>
        </w:rPr>
        <w:t xml:space="preserve">Data were </w:t>
      </w:r>
      <w:r w:rsidR="00643B35" w:rsidRPr="00EF6EA4">
        <w:rPr>
          <w:rFonts w:ascii="Times New Roman" w:hAnsi="Times New Roman" w:cs="Times New Roman"/>
        </w:rPr>
        <w:t>analysed</w:t>
      </w:r>
      <w:r w:rsidRPr="00EF6EA4">
        <w:rPr>
          <w:rFonts w:ascii="Times New Roman" w:hAnsi="Times New Roman" w:cs="Times New Roman"/>
        </w:rPr>
        <w:t xml:space="preserve"> using one-way ANOVA in a Completely Randomized Design (CRD). Duncan’s Multiple Range Test (DMRT) compared means at P&lt;0.05 (Snedecor &amp; Cochran, 1994).</w:t>
      </w:r>
    </w:p>
    <w:p w14:paraId="5EF5AB1C" w14:textId="2CA97687"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Results</w:t>
      </w:r>
      <w:r w:rsidR="00BA142E" w:rsidRPr="00EF6EA4">
        <w:rPr>
          <w:rFonts w:ascii="Times New Roman" w:hAnsi="Times New Roman" w:cs="Times New Roman"/>
          <w:b/>
          <w:bCs/>
        </w:rPr>
        <w:t xml:space="preserve"> and Discussion</w:t>
      </w:r>
    </w:p>
    <w:p w14:paraId="4EF4FFD1" w14:textId="43BCA5F3" w:rsidR="00714D28" w:rsidRPr="00EF6EA4" w:rsidRDefault="00643B35" w:rsidP="00EF6EA4">
      <w:pPr>
        <w:spacing w:line="240" w:lineRule="auto"/>
        <w:jc w:val="both"/>
        <w:rPr>
          <w:rFonts w:ascii="Times New Roman" w:hAnsi="Times New Roman" w:cs="Times New Roman"/>
        </w:rPr>
      </w:pPr>
      <w:r w:rsidRPr="00EF6EA4">
        <w:rPr>
          <w:rFonts w:ascii="Times New Roman" w:hAnsi="Times New Roman" w:cs="Times New Roman"/>
          <w:b/>
          <w:bCs/>
        </w:rPr>
        <w:t>Haematological</w:t>
      </w:r>
      <w:r w:rsidR="00840F1B" w:rsidRPr="00EF6EA4">
        <w:rPr>
          <w:rFonts w:ascii="Times New Roman" w:hAnsi="Times New Roman" w:cs="Times New Roman"/>
          <w:b/>
          <w:bCs/>
        </w:rPr>
        <w:t xml:space="preserve"> Parameters</w:t>
      </w:r>
      <w:r w:rsidR="00D339AC" w:rsidRPr="00EF6EA4">
        <w:rPr>
          <w:rFonts w:ascii="Times New Roman" w:hAnsi="Times New Roman" w:cs="Times New Roman"/>
          <w:b/>
          <w:bCs/>
        </w:rPr>
        <w:t>:</w:t>
      </w:r>
      <w:r w:rsidR="00714D28" w:rsidRPr="00EF6EA4">
        <w:rPr>
          <w:rFonts w:ascii="Times New Roman" w:eastAsia="Times New Roman" w:hAnsi="Times New Roman" w:cs="Times New Roman"/>
          <w:kern w:val="0"/>
          <w14:ligatures w14:val="none"/>
        </w:rPr>
        <w:t xml:space="preserve"> </w:t>
      </w:r>
      <w:r w:rsidR="00714D28" w:rsidRPr="00EF6EA4">
        <w:rPr>
          <w:rFonts w:ascii="Times New Roman" w:hAnsi="Times New Roman" w:cs="Times New Roman"/>
        </w:rPr>
        <w:t xml:space="preserve">In a comparative study evaluating </w:t>
      </w:r>
      <w:r w:rsidR="001A3B41" w:rsidRPr="00EF6EA4">
        <w:rPr>
          <w:rFonts w:ascii="Times New Roman" w:hAnsi="Times New Roman" w:cs="Times New Roman"/>
        </w:rPr>
        <w:t>haematological</w:t>
      </w:r>
      <w:r w:rsidR="00714D28" w:rsidRPr="00EF6EA4">
        <w:rPr>
          <w:rFonts w:ascii="Times New Roman" w:hAnsi="Times New Roman" w:cs="Times New Roman"/>
        </w:rPr>
        <w:t xml:space="preserve"> responses across four dietary treatment groups, distinct differences emerged in the blood parameters of the animals. Red Blood Corpuscle (RBC) counts gradually increased from group </w:t>
      </w:r>
      <w:r w:rsidR="00EE1B59" w:rsidRPr="00EF6EA4">
        <w:rPr>
          <w:rFonts w:ascii="Times New Roman" w:hAnsi="Times New Roman" w:cs="Times New Roman"/>
        </w:rPr>
        <w:t>G</w:t>
      </w:r>
      <w:r w:rsidR="00714D28" w:rsidRPr="00EF6EA4">
        <w:rPr>
          <w:rFonts w:ascii="Times New Roman" w:hAnsi="Times New Roman" w:cs="Times New Roman"/>
          <w:vertAlign w:val="subscript"/>
        </w:rPr>
        <w:t>1</w:t>
      </w:r>
      <w:r w:rsidR="00714D28" w:rsidRPr="00EF6EA4">
        <w:rPr>
          <w:rFonts w:ascii="Times New Roman" w:hAnsi="Times New Roman" w:cs="Times New Roman"/>
        </w:rPr>
        <w:t xml:space="preserve"> to </w:t>
      </w:r>
      <w:r w:rsidR="00EE1B59" w:rsidRPr="00EF6EA4">
        <w:rPr>
          <w:rFonts w:ascii="Times New Roman" w:hAnsi="Times New Roman" w:cs="Times New Roman"/>
        </w:rPr>
        <w:t>G</w:t>
      </w:r>
      <w:r w:rsidR="00714D28" w:rsidRPr="00EF6EA4">
        <w:rPr>
          <w:rFonts w:ascii="Times New Roman" w:hAnsi="Times New Roman" w:cs="Times New Roman"/>
          <w:vertAlign w:val="subscript"/>
        </w:rPr>
        <w:t>4</w:t>
      </w:r>
      <w:r w:rsidR="00714D28" w:rsidRPr="00EF6EA4">
        <w:rPr>
          <w:rFonts w:ascii="Times New Roman" w:hAnsi="Times New Roman" w:cs="Times New Roman"/>
        </w:rPr>
        <w:t>, with respective values of 6.08, 6.11, 6.61, and 6.86 (10</w:t>
      </w:r>
      <w:r w:rsidR="00714D28" w:rsidRPr="00EF6EA4">
        <w:rPr>
          <w:rFonts w:ascii="Times New Roman" w:hAnsi="Times New Roman" w:cs="Times New Roman"/>
          <w:vertAlign w:val="superscript"/>
        </w:rPr>
        <w:t>6</w:t>
      </w:r>
      <w:r w:rsidR="00714D28" w:rsidRPr="00EF6EA4">
        <w:rPr>
          <w:rFonts w:ascii="Times New Roman" w:hAnsi="Times New Roman" w:cs="Times New Roman"/>
        </w:rPr>
        <w:t xml:space="preserve"> cells/µL). This upward trend was statistically significant </w:t>
      </w:r>
      <w:r w:rsidR="00714D28" w:rsidRPr="00EF6EA4">
        <w:rPr>
          <w:rFonts w:ascii="Times New Roman" w:hAnsi="Times New Roman" w:cs="Times New Roman"/>
        </w:rPr>
        <w:lastRenderedPageBreak/>
        <w:t>(P&lt;0.05), suggesting that the dietary interventions had a measurable impact on erythropoiesis. Similarly, the White Blood Corpuscle (WBC) counts exhibited a marked rise across the treatment groups</w:t>
      </w:r>
      <w:r w:rsidR="00EE1B59" w:rsidRPr="00EF6EA4">
        <w:rPr>
          <w:rFonts w:ascii="Times New Roman" w:hAnsi="Times New Roman" w:cs="Times New Roman"/>
        </w:rPr>
        <w:t xml:space="preserve"> </w:t>
      </w:r>
      <w:r w:rsidR="00714D28" w:rsidRPr="00EF6EA4">
        <w:rPr>
          <w:rFonts w:ascii="Times New Roman" w:hAnsi="Times New Roman" w:cs="Times New Roman"/>
        </w:rPr>
        <w:t>15.18, 19.08, 22.80, and 22.95 (x10</w:t>
      </w:r>
      <w:r w:rsidR="00714D28" w:rsidRPr="00EF6EA4">
        <w:rPr>
          <w:rFonts w:ascii="Times New Roman" w:hAnsi="Times New Roman" w:cs="Times New Roman"/>
          <w:vertAlign w:val="superscript"/>
        </w:rPr>
        <w:t>3</w:t>
      </w:r>
      <w:r w:rsidR="00714D28" w:rsidRPr="00EF6EA4">
        <w:rPr>
          <w:rFonts w:ascii="Times New Roman" w:hAnsi="Times New Roman" w:cs="Times New Roman"/>
        </w:rPr>
        <w:t>/µL)</w:t>
      </w:r>
      <w:r w:rsidR="002B6C8D" w:rsidRPr="00EF6EA4">
        <w:rPr>
          <w:rFonts w:ascii="Times New Roman" w:hAnsi="Times New Roman" w:cs="Times New Roman"/>
        </w:rPr>
        <w:t xml:space="preserve"> </w:t>
      </w:r>
      <w:r w:rsidR="00714D28" w:rsidRPr="00EF6EA4">
        <w:rPr>
          <w:rFonts w:ascii="Times New Roman" w:hAnsi="Times New Roman" w:cs="Times New Roman"/>
        </w:rPr>
        <w:t xml:space="preserve">with significant differences (P&lt;0.05) indicating enhanced immune responsiveness. </w:t>
      </w:r>
      <w:r w:rsidR="001A3B41" w:rsidRPr="00EF6EA4">
        <w:rPr>
          <w:rFonts w:ascii="Times New Roman" w:hAnsi="Times New Roman" w:cs="Times New Roman"/>
        </w:rPr>
        <w:t>Haemoglobin</w:t>
      </w:r>
      <w:r w:rsidR="00714D28" w:rsidRPr="00EF6EA4">
        <w:rPr>
          <w:rFonts w:ascii="Times New Roman" w:hAnsi="Times New Roman" w:cs="Times New Roman"/>
        </w:rPr>
        <w:t xml:space="preserve"> (Hb) levels mirrored this pattern, rising steadily from 11.28 g/dL in </w:t>
      </w:r>
      <w:r w:rsidR="00EE1B59" w:rsidRPr="00EF6EA4">
        <w:rPr>
          <w:rFonts w:ascii="Times New Roman" w:hAnsi="Times New Roman" w:cs="Times New Roman"/>
        </w:rPr>
        <w:t>G</w:t>
      </w:r>
      <w:r w:rsidR="00714D28" w:rsidRPr="00EF6EA4">
        <w:rPr>
          <w:rFonts w:ascii="Times New Roman" w:hAnsi="Times New Roman" w:cs="Times New Roman"/>
          <w:vertAlign w:val="subscript"/>
        </w:rPr>
        <w:t>1</w:t>
      </w:r>
      <w:r w:rsidR="00714D28" w:rsidRPr="00EF6EA4">
        <w:rPr>
          <w:rFonts w:ascii="Times New Roman" w:hAnsi="Times New Roman" w:cs="Times New Roman"/>
        </w:rPr>
        <w:t xml:space="preserve"> to 13.13 g/dL in </w:t>
      </w:r>
      <w:r w:rsidR="00EE1B59" w:rsidRPr="00EF6EA4">
        <w:rPr>
          <w:rFonts w:ascii="Times New Roman" w:hAnsi="Times New Roman" w:cs="Times New Roman"/>
        </w:rPr>
        <w:t>G</w:t>
      </w:r>
      <w:r w:rsidR="00714D28" w:rsidRPr="00EF6EA4">
        <w:rPr>
          <w:rFonts w:ascii="Times New Roman" w:hAnsi="Times New Roman" w:cs="Times New Roman"/>
          <w:vertAlign w:val="subscript"/>
        </w:rPr>
        <w:t>4</w:t>
      </w:r>
      <w:r w:rsidR="00714D28" w:rsidRPr="00EF6EA4">
        <w:rPr>
          <w:rFonts w:ascii="Times New Roman" w:hAnsi="Times New Roman" w:cs="Times New Roman"/>
        </w:rPr>
        <w:t xml:space="preserve">, again with significant differences (P&lt;0.05) among the groups. Packed Cell Volume (PCV) followed suit, with mean values of 34.93%, 35.85%, 36.40%, and 37.15%, respectively, while the Mean Corpuscular Volume (MCV) increased from 53.50 to 56.23 </w:t>
      </w:r>
      <w:proofErr w:type="spellStart"/>
      <w:r w:rsidR="00714D28" w:rsidRPr="00EF6EA4">
        <w:rPr>
          <w:rFonts w:ascii="Times New Roman" w:hAnsi="Times New Roman" w:cs="Times New Roman"/>
        </w:rPr>
        <w:t>fL</w:t>
      </w:r>
      <w:proofErr w:type="spellEnd"/>
      <w:r w:rsidR="00714D28" w:rsidRPr="00EF6EA4">
        <w:rPr>
          <w:rFonts w:ascii="Times New Roman" w:hAnsi="Times New Roman" w:cs="Times New Roman"/>
        </w:rPr>
        <w:t>, all showing statistically significant variations (P&lt;0.05) across treatments</w:t>
      </w:r>
      <w:r w:rsidR="00EE1B59" w:rsidRPr="00EF6EA4">
        <w:rPr>
          <w:rFonts w:ascii="Times New Roman" w:hAnsi="Times New Roman" w:cs="Times New Roman"/>
          <w:b/>
          <w:bCs/>
        </w:rPr>
        <w:t xml:space="preserve"> (Table </w:t>
      </w:r>
      <w:r w:rsidR="0073734D" w:rsidRPr="00EF6EA4">
        <w:rPr>
          <w:rFonts w:ascii="Times New Roman" w:hAnsi="Times New Roman" w:cs="Times New Roman"/>
          <w:b/>
          <w:bCs/>
        </w:rPr>
        <w:t>3</w:t>
      </w:r>
      <w:r w:rsidR="00D74A3E" w:rsidRPr="00EF6EA4">
        <w:rPr>
          <w:rFonts w:ascii="Times New Roman" w:hAnsi="Times New Roman" w:cs="Times New Roman"/>
          <w:b/>
          <w:bCs/>
        </w:rPr>
        <w:t xml:space="preserve"> and Fig 1</w:t>
      </w:r>
      <w:r w:rsidR="00EE1B59" w:rsidRPr="00EF6EA4">
        <w:rPr>
          <w:rFonts w:ascii="Times New Roman" w:hAnsi="Times New Roman" w:cs="Times New Roman"/>
          <w:b/>
          <w:bCs/>
        </w:rPr>
        <w:t>)</w:t>
      </w:r>
      <w:r w:rsidR="00714D28" w:rsidRPr="00EF6EA4">
        <w:rPr>
          <w:rFonts w:ascii="Times New Roman" w:hAnsi="Times New Roman" w:cs="Times New Roman"/>
        </w:rPr>
        <w:t>.</w:t>
      </w:r>
    </w:p>
    <w:p w14:paraId="291FDC67" w14:textId="1E82154D" w:rsidR="00714D28" w:rsidRPr="00EF6EA4" w:rsidRDefault="00EE1B59" w:rsidP="00EF6EA4">
      <w:pPr>
        <w:spacing w:line="240" w:lineRule="auto"/>
        <w:jc w:val="both"/>
        <w:rPr>
          <w:rFonts w:ascii="Times New Roman" w:hAnsi="Times New Roman" w:cs="Times New Roman"/>
        </w:rPr>
      </w:pPr>
      <w:r w:rsidRPr="00EF6EA4">
        <w:rPr>
          <w:rFonts w:ascii="Times New Roman" w:hAnsi="Times New Roman" w:cs="Times New Roman"/>
        </w:rPr>
        <w:tab/>
      </w:r>
      <w:r w:rsidR="00714D28" w:rsidRPr="00EF6EA4">
        <w:rPr>
          <w:rFonts w:ascii="Times New Roman" w:hAnsi="Times New Roman" w:cs="Times New Roman"/>
        </w:rPr>
        <w:t>Supporting these findings, Effiong et al. (2024) observed that rabbits fed jackfruit seed meal (JSM) fermented by various methods displayed significant differences (P≤0.01) in WBC, Hb, PCV, platelet count, and MCHC. In their study, rabbits on PWFJ diets had the highest WBC (10.0 x 10</w:t>
      </w:r>
      <w:r w:rsidR="00714D28" w:rsidRPr="00EF6EA4">
        <w:rPr>
          <w:rFonts w:ascii="Times New Roman" w:hAnsi="Times New Roman" w:cs="Times New Roman"/>
          <w:vertAlign w:val="superscript"/>
        </w:rPr>
        <w:t>3</w:t>
      </w:r>
      <w:r w:rsidR="00714D28" w:rsidRPr="00EF6EA4">
        <w:rPr>
          <w:rFonts w:ascii="Times New Roman" w:hAnsi="Times New Roman" w:cs="Times New Roman"/>
        </w:rPr>
        <w:t>/µL), closely followed by MCFJ (4.7 x 10</w:t>
      </w:r>
      <w:r w:rsidR="00714D28" w:rsidRPr="00EF6EA4">
        <w:rPr>
          <w:rFonts w:ascii="Times New Roman" w:hAnsi="Times New Roman" w:cs="Times New Roman"/>
          <w:vertAlign w:val="superscript"/>
        </w:rPr>
        <w:t>3</w:t>
      </w:r>
      <w:r w:rsidR="00714D28" w:rsidRPr="00EF6EA4">
        <w:rPr>
          <w:rFonts w:ascii="Times New Roman" w:hAnsi="Times New Roman" w:cs="Times New Roman"/>
        </w:rPr>
        <w:t xml:space="preserve">/µL). Interestingly, the RAW and MCFJ groups showed no significant differences in WBC (P&gt;0.05). The highest Hb and PCV values were recorded in the control group (13.2 g/100 mL and 44.1%, respectively), indicating the influence of diet on </w:t>
      </w:r>
      <w:r w:rsidR="001A3B41" w:rsidRPr="00EF6EA4">
        <w:rPr>
          <w:rFonts w:ascii="Times New Roman" w:hAnsi="Times New Roman" w:cs="Times New Roman"/>
        </w:rPr>
        <w:t>haematological</w:t>
      </w:r>
      <w:r w:rsidR="00714D28" w:rsidRPr="00EF6EA4">
        <w:rPr>
          <w:rFonts w:ascii="Times New Roman" w:hAnsi="Times New Roman" w:cs="Times New Roman"/>
        </w:rPr>
        <w:t xml:space="preserve"> integrity. Despite variations in platelet counts, all values were within healthy physiological limits. According to Jain (1986) and Zimmerman et al. (2010), the WBC levels observed (7.0–10.0 x10</w:t>
      </w:r>
      <w:r w:rsidR="00714D28" w:rsidRPr="00EF6EA4">
        <w:rPr>
          <w:rFonts w:ascii="Times New Roman" w:hAnsi="Times New Roman" w:cs="Times New Roman"/>
          <w:vertAlign w:val="superscript"/>
        </w:rPr>
        <w:t>3</w:t>
      </w:r>
      <w:r w:rsidR="00714D28" w:rsidRPr="00EF6EA4">
        <w:rPr>
          <w:rFonts w:ascii="Times New Roman" w:hAnsi="Times New Roman" w:cs="Times New Roman"/>
        </w:rPr>
        <w:t xml:space="preserve">/µL) were within the normal range, suggesting that the animals were stress-free and immunologically competent. High lymphocyte counts, in contrast to the findings of </w:t>
      </w:r>
      <w:proofErr w:type="spellStart"/>
      <w:r w:rsidR="00714D28" w:rsidRPr="00EF6EA4">
        <w:rPr>
          <w:rFonts w:ascii="Times New Roman" w:hAnsi="Times New Roman" w:cs="Times New Roman"/>
        </w:rPr>
        <w:t>Togun</w:t>
      </w:r>
      <w:proofErr w:type="spellEnd"/>
      <w:r w:rsidR="00714D28" w:rsidRPr="00EF6EA4">
        <w:rPr>
          <w:rFonts w:ascii="Times New Roman" w:hAnsi="Times New Roman" w:cs="Times New Roman"/>
        </w:rPr>
        <w:t xml:space="preserve"> et al. (2007), reflected a strong immune </w:t>
      </w:r>
      <w:r w:rsidR="001A3B41" w:rsidRPr="00EF6EA4">
        <w:rPr>
          <w:rFonts w:ascii="Times New Roman" w:hAnsi="Times New Roman" w:cs="Times New Roman"/>
        </w:rPr>
        <w:t>defines</w:t>
      </w:r>
      <w:r w:rsidR="00714D28" w:rsidRPr="00EF6EA4">
        <w:rPr>
          <w:rFonts w:ascii="Times New Roman" w:hAnsi="Times New Roman" w:cs="Times New Roman"/>
        </w:rPr>
        <w:t xml:space="preserve">. Their study concluded that RBC, Hb, PCV, and platelet counts were consistent with the reports by </w:t>
      </w:r>
      <w:proofErr w:type="spellStart"/>
      <w:r w:rsidR="00714D28" w:rsidRPr="00EF6EA4">
        <w:rPr>
          <w:rFonts w:ascii="Times New Roman" w:hAnsi="Times New Roman" w:cs="Times New Roman"/>
        </w:rPr>
        <w:t>Shaahu</w:t>
      </w:r>
      <w:proofErr w:type="spellEnd"/>
      <w:r w:rsidR="00714D28" w:rsidRPr="00EF6EA4">
        <w:rPr>
          <w:rFonts w:ascii="Times New Roman" w:hAnsi="Times New Roman" w:cs="Times New Roman"/>
        </w:rPr>
        <w:t xml:space="preserve"> and </w:t>
      </w:r>
      <w:proofErr w:type="spellStart"/>
      <w:r w:rsidR="00714D28" w:rsidRPr="00EF6EA4">
        <w:rPr>
          <w:rFonts w:ascii="Times New Roman" w:hAnsi="Times New Roman" w:cs="Times New Roman"/>
        </w:rPr>
        <w:t>Tiough</w:t>
      </w:r>
      <w:proofErr w:type="spellEnd"/>
      <w:r w:rsidR="00714D28" w:rsidRPr="00EF6EA4">
        <w:rPr>
          <w:rFonts w:ascii="Times New Roman" w:hAnsi="Times New Roman" w:cs="Times New Roman"/>
        </w:rPr>
        <w:t xml:space="preserve"> (2019), and </w:t>
      </w:r>
      <w:proofErr w:type="spellStart"/>
      <w:r w:rsidR="00714D28" w:rsidRPr="00EF6EA4">
        <w:rPr>
          <w:rFonts w:ascii="Times New Roman" w:hAnsi="Times New Roman" w:cs="Times New Roman"/>
        </w:rPr>
        <w:t>Mitruka</w:t>
      </w:r>
      <w:proofErr w:type="spellEnd"/>
      <w:r w:rsidR="00714D28" w:rsidRPr="00EF6EA4">
        <w:rPr>
          <w:rFonts w:ascii="Times New Roman" w:hAnsi="Times New Roman" w:cs="Times New Roman"/>
        </w:rPr>
        <w:t xml:space="preserve"> and </w:t>
      </w:r>
      <w:proofErr w:type="spellStart"/>
      <w:r w:rsidR="00714D28" w:rsidRPr="00EF6EA4">
        <w:rPr>
          <w:rFonts w:ascii="Times New Roman" w:hAnsi="Times New Roman" w:cs="Times New Roman"/>
        </w:rPr>
        <w:t>Rawnsley</w:t>
      </w:r>
      <w:proofErr w:type="spellEnd"/>
      <w:r w:rsidR="00714D28" w:rsidRPr="00EF6EA4">
        <w:rPr>
          <w:rFonts w:ascii="Times New Roman" w:hAnsi="Times New Roman" w:cs="Times New Roman"/>
        </w:rPr>
        <w:t xml:space="preserve"> (1979), indicating the nutritional safety of the experimental diets. Similarly, Mili et al. (2020) established </w:t>
      </w:r>
      <w:r w:rsidR="001A3B41" w:rsidRPr="00EF6EA4">
        <w:rPr>
          <w:rFonts w:ascii="Times New Roman" w:hAnsi="Times New Roman" w:cs="Times New Roman"/>
        </w:rPr>
        <w:t>haematological</w:t>
      </w:r>
      <w:r w:rsidR="00714D28" w:rsidRPr="00EF6EA4">
        <w:rPr>
          <w:rFonts w:ascii="Times New Roman" w:hAnsi="Times New Roman" w:cs="Times New Roman"/>
        </w:rPr>
        <w:t xml:space="preserve"> and biochemical reference values for </w:t>
      </w:r>
      <w:r w:rsidRPr="00EF6EA4">
        <w:rPr>
          <w:rFonts w:ascii="Times New Roman" w:hAnsi="Times New Roman" w:cs="Times New Roman"/>
          <w:i/>
          <w:iCs/>
        </w:rPr>
        <w:t>Tenyi Vo</w:t>
      </w:r>
      <w:r w:rsidR="00714D28" w:rsidRPr="00EF6EA4">
        <w:rPr>
          <w:rFonts w:ascii="Times New Roman" w:hAnsi="Times New Roman" w:cs="Times New Roman"/>
        </w:rPr>
        <w:t xml:space="preserve"> pigs, finding average RBC of 6.06±0.26 x 10</w:t>
      </w:r>
      <w:r w:rsidR="00714D28" w:rsidRPr="00EF6EA4">
        <w:rPr>
          <w:rFonts w:ascii="Times New Roman" w:hAnsi="Times New Roman" w:cs="Times New Roman"/>
          <w:vertAlign w:val="superscript"/>
        </w:rPr>
        <w:t>6</w:t>
      </w:r>
      <w:r w:rsidR="00714D28" w:rsidRPr="00EF6EA4">
        <w:rPr>
          <w:rFonts w:ascii="Times New Roman" w:hAnsi="Times New Roman" w:cs="Times New Roman"/>
        </w:rPr>
        <w:t xml:space="preserve">/µL, Hb of 10.03±0.74 g/dL, PCV of 32.98±1.07%, MCV of 52.36±1.66 </w:t>
      </w:r>
      <w:proofErr w:type="spellStart"/>
      <w:r w:rsidR="00714D28" w:rsidRPr="00EF6EA4">
        <w:rPr>
          <w:rFonts w:ascii="Times New Roman" w:hAnsi="Times New Roman" w:cs="Times New Roman"/>
        </w:rPr>
        <w:t>fL</w:t>
      </w:r>
      <w:proofErr w:type="spellEnd"/>
      <w:r w:rsidR="00714D28" w:rsidRPr="00EF6EA4">
        <w:rPr>
          <w:rFonts w:ascii="Times New Roman" w:hAnsi="Times New Roman" w:cs="Times New Roman"/>
        </w:rPr>
        <w:t>, and WBC of 27.88±5.28 x 10</w:t>
      </w:r>
      <w:r w:rsidR="00714D28" w:rsidRPr="00EF6EA4">
        <w:rPr>
          <w:rFonts w:ascii="Times New Roman" w:hAnsi="Times New Roman" w:cs="Times New Roman"/>
          <w:vertAlign w:val="superscript"/>
        </w:rPr>
        <w:t>3</w:t>
      </w:r>
      <w:r w:rsidR="00714D28" w:rsidRPr="00EF6EA4">
        <w:rPr>
          <w:rFonts w:ascii="Times New Roman" w:hAnsi="Times New Roman" w:cs="Times New Roman"/>
        </w:rPr>
        <w:t xml:space="preserve">/µL. These values, largely within or close to established normal ranges, provided a vital baseline for assessing health and productivity. While their WBC exceeded the range cited by Brockus et al. (2005) and Nath et al. (2017), the deviation could be attributed to breed or environmental differences. Eze et al. (2010) and Etim et al. (2014) noted slightly higher normal Hb ranges (10–16 g/dL), suggesting that </w:t>
      </w:r>
      <w:proofErr w:type="spellStart"/>
      <w:r w:rsidR="00714D28" w:rsidRPr="00EF6EA4">
        <w:rPr>
          <w:rFonts w:ascii="Times New Roman" w:hAnsi="Times New Roman" w:cs="Times New Roman"/>
          <w:i/>
          <w:iCs/>
        </w:rPr>
        <w:t>Tenyi-vo</w:t>
      </w:r>
      <w:proofErr w:type="spellEnd"/>
      <w:r w:rsidR="00714D28" w:rsidRPr="00EF6EA4">
        <w:rPr>
          <w:rFonts w:ascii="Times New Roman" w:hAnsi="Times New Roman" w:cs="Times New Roman"/>
        </w:rPr>
        <w:t xml:space="preserve"> pigs might naturally exhibit lower values. The RBC counts remained within expected ranges (Clark et al., 2009; </w:t>
      </w:r>
      <w:proofErr w:type="spellStart"/>
      <w:r w:rsidR="00714D28" w:rsidRPr="00EF6EA4">
        <w:rPr>
          <w:rFonts w:ascii="Times New Roman" w:hAnsi="Times New Roman" w:cs="Times New Roman"/>
        </w:rPr>
        <w:t>Mayengbam</w:t>
      </w:r>
      <w:proofErr w:type="spellEnd"/>
      <w:r w:rsidR="00714D28" w:rsidRPr="00EF6EA4">
        <w:rPr>
          <w:rFonts w:ascii="Times New Roman" w:hAnsi="Times New Roman" w:cs="Times New Roman"/>
        </w:rPr>
        <w:t xml:space="preserve"> et al., 2014), reinforcing the health status of the sampled animals.</w:t>
      </w:r>
    </w:p>
    <w:p w14:paraId="11B22DC9" w14:textId="47D730AA" w:rsidR="00840F1B" w:rsidRPr="00EF6EA4" w:rsidRDefault="00714D28" w:rsidP="00EF6EA4">
      <w:pPr>
        <w:spacing w:line="240" w:lineRule="auto"/>
        <w:jc w:val="both"/>
        <w:rPr>
          <w:rFonts w:ascii="Times New Roman" w:hAnsi="Times New Roman" w:cs="Times New Roman"/>
        </w:rPr>
      </w:pPr>
      <w:r w:rsidRPr="00EF6EA4">
        <w:rPr>
          <w:rFonts w:ascii="Times New Roman" w:hAnsi="Times New Roman" w:cs="Times New Roman"/>
        </w:rPr>
        <w:t xml:space="preserve">Several other studies corroborate these findings. For instance, </w:t>
      </w:r>
      <w:proofErr w:type="spellStart"/>
      <w:r w:rsidRPr="00EF6EA4">
        <w:rPr>
          <w:rFonts w:ascii="Times New Roman" w:hAnsi="Times New Roman" w:cs="Times New Roman"/>
        </w:rPr>
        <w:t>Adegbenro</w:t>
      </w:r>
      <w:proofErr w:type="spellEnd"/>
      <w:r w:rsidRPr="00EF6EA4">
        <w:rPr>
          <w:rFonts w:ascii="Times New Roman" w:hAnsi="Times New Roman" w:cs="Times New Roman"/>
        </w:rPr>
        <w:t xml:space="preserve"> et al. (2016) noted RBC values between 6.15–6.97 x10</w:t>
      </w:r>
      <w:r w:rsidRPr="00EF6EA4">
        <w:rPr>
          <w:rFonts w:ascii="Times New Roman" w:hAnsi="Times New Roman" w:cs="Times New Roman"/>
          <w:vertAlign w:val="superscript"/>
        </w:rPr>
        <w:t>6</w:t>
      </w:r>
      <w:r w:rsidRPr="00EF6EA4">
        <w:rPr>
          <w:rFonts w:ascii="Times New Roman" w:hAnsi="Times New Roman" w:cs="Times New Roman"/>
        </w:rPr>
        <w:t>/mm</w:t>
      </w:r>
      <w:r w:rsidRPr="00EF6EA4">
        <w:rPr>
          <w:rFonts w:ascii="Times New Roman" w:hAnsi="Times New Roman" w:cs="Times New Roman"/>
          <w:vertAlign w:val="superscript"/>
        </w:rPr>
        <w:t>3</w:t>
      </w:r>
      <w:r w:rsidRPr="00EF6EA4">
        <w:rPr>
          <w:rFonts w:ascii="Times New Roman" w:hAnsi="Times New Roman" w:cs="Times New Roman"/>
        </w:rPr>
        <w:t xml:space="preserve"> in weaner pigs on composite leaf meals. </w:t>
      </w:r>
      <w:proofErr w:type="spellStart"/>
      <w:r w:rsidRPr="00EF6EA4">
        <w:rPr>
          <w:rFonts w:ascii="Times New Roman" w:hAnsi="Times New Roman" w:cs="Times New Roman"/>
        </w:rPr>
        <w:t>Agiang</w:t>
      </w:r>
      <w:proofErr w:type="spellEnd"/>
      <w:r w:rsidRPr="00EF6EA4">
        <w:rPr>
          <w:rFonts w:ascii="Times New Roman" w:hAnsi="Times New Roman" w:cs="Times New Roman"/>
        </w:rPr>
        <w:t xml:space="preserve"> et al. (2017) found that rats fed jackfruit diets maintained healthy RBC and WBC values. Zhang et al. (2020) and </w:t>
      </w:r>
      <w:proofErr w:type="spellStart"/>
      <w:r w:rsidRPr="00EF6EA4">
        <w:rPr>
          <w:rFonts w:ascii="Times New Roman" w:hAnsi="Times New Roman" w:cs="Times New Roman"/>
        </w:rPr>
        <w:t>Ojediran</w:t>
      </w:r>
      <w:proofErr w:type="spellEnd"/>
      <w:r w:rsidRPr="00EF6EA4">
        <w:rPr>
          <w:rFonts w:ascii="Times New Roman" w:hAnsi="Times New Roman" w:cs="Times New Roman"/>
        </w:rPr>
        <w:t xml:space="preserve"> et al. (2022) documented similar improvements in pigs fed sucralose and ascorbic acid, respectively, while John et al. (2023) and Atchiwassa et al. (2024) reported enhanced </w:t>
      </w:r>
      <w:r w:rsidR="001A3B41" w:rsidRPr="00EF6EA4">
        <w:rPr>
          <w:rFonts w:ascii="Times New Roman" w:hAnsi="Times New Roman" w:cs="Times New Roman"/>
        </w:rPr>
        <w:t>haematological</w:t>
      </w:r>
      <w:r w:rsidRPr="00EF6EA4">
        <w:rPr>
          <w:rFonts w:ascii="Times New Roman" w:hAnsi="Times New Roman" w:cs="Times New Roman"/>
        </w:rPr>
        <w:t xml:space="preserve"> profiles in pigs fed </w:t>
      </w:r>
      <w:proofErr w:type="spellStart"/>
      <w:r w:rsidRPr="00EF6EA4">
        <w:rPr>
          <w:rFonts w:ascii="Times New Roman" w:hAnsi="Times New Roman" w:cs="Times New Roman"/>
        </w:rPr>
        <w:t>doum</w:t>
      </w:r>
      <w:proofErr w:type="spellEnd"/>
      <w:r w:rsidRPr="00EF6EA4">
        <w:rPr>
          <w:rFonts w:ascii="Times New Roman" w:hAnsi="Times New Roman" w:cs="Times New Roman"/>
        </w:rPr>
        <w:t xml:space="preserve"> palm mesocarp and cashew apple pulp diets. Taken together, these results underline the positive influence of dietary interventions</w:t>
      </w:r>
      <w:r w:rsidR="00A7617D" w:rsidRPr="00EF6EA4">
        <w:rPr>
          <w:rFonts w:ascii="Times New Roman" w:hAnsi="Times New Roman" w:cs="Times New Roman"/>
        </w:rPr>
        <w:t xml:space="preserve"> </w:t>
      </w:r>
      <w:r w:rsidRPr="00EF6EA4">
        <w:rPr>
          <w:rFonts w:ascii="Times New Roman" w:hAnsi="Times New Roman" w:cs="Times New Roman"/>
        </w:rPr>
        <w:t>especially those involving jackfruit-based or alternative energy-protein sources</w:t>
      </w:r>
      <w:r w:rsidR="00A7617D" w:rsidRPr="00EF6EA4">
        <w:rPr>
          <w:rFonts w:ascii="Times New Roman" w:hAnsi="Times New Roman" w:cs="Times New Roman"/>
        </w:rPr>
        <w:t xml:space="preserve"> </w:t>
      </w:r>
      <w:r w:rsidRPr="00EF6EA4">
        <w:rPr>
          <w:rFonts w:ascii="Times New Roman" w:hAnsi="Times New Roman" w:cs="Times New Roman"/>
        </w:rPr>
        <w:t xml:space="preserve">on </w:t>
      </w:r>
      <w:r w:rsidR="001A3B41" w:rsidRPr="00EF6EA4">
        <w:rPr>
          <w:rFonts w:ascii="Times New Roman" w:hAnsi="Times New Roman" w:cs="Times New Roman"/>
        </w:rPr>
        <w:t>haematological</w:t>
      </w:r>
      <w:r w:rsidRPr="00EF6EA4">
        <w:rPr>
          <w:rFonts w:ascii="Times New Roman" w:hAnsi="Times New Roman" w:cs="Times New Roman"/>
        </w:rPr>
        <w:t xml:space="preserve"> parameters. Such improvements indicate better physiological health, immune function, and nutritional status of livestock across various species and conditions.</w:t>
      </w:r>
    </w:p>
    <w:p w14:paraId="7B57F6A3" w14:textId="140F2051" w:rsidR="00D67448"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Morbidity and Mortality</w:t>
      </w:r>
      <w:r w:rsidR="00D67448" w:rsidRPr="00EF6EA4">
        <w:rPr>
          <w:rFonts w:ascii="Times New Roman" w:hAnsi="Times New Roman" w:cs="Times New Roman"/>
          <w:b/>
          <w:bCs/>
        </w:rPr>
        <w:t xml:space="preserve">: </w:t>
      </w:r>
      <w:r w:rsidR="00D67448" w:rsidRPr="00EF6EA4">
        <w:rPr>
          <w:rFonts w:ascii="Times New Roman" w:hAnsi="Times New Roman" w:cs="Times New Roman"/>
        </w:rPr>
        <w:t>The absence of morbidity and mortality in G</w:t>
      </w:r>
      <w:r w:rsidR="00D67448" w:rsidRPr="00EF6EA4">
        <w:rPr>
          <w:rFonts w:ascii="Times New Roman" w:hAnsi="Times New Roman" w:cs="Times New Roman"/>
          <w:vertAlign w:val="subscript"/>
        </w:rPr>
        <w:t>3</w:t>
      </w:r>
      <w:r w:rsidR="00D67448" w:rsidRPr="00EF6EA4">
        <w:rPr>
          <w:rFonts w:ascii="Times New Roman" w:hAnsi="Times New Roman" w:cs="Times New Roman"/>
        </w:rPr>
        <w:t xml:space="preserve"> and G</w:t>
      </w:r>
      <w:r w:rsidR="00D67448" w:rsidRPr="00EF6EA4">
        <w:rPr>
          <w:rFonts w:ascii="Times New Roman" w:hAnsi="Times New Roman" w:cs="Times New Roman"/>
          <w:vertAlign w:val="subscript"/>
        </w:rPr>
        <w:t>4</w:t>
      </w:r>
      <w:r w:rsidR="00D67448" w:rsidRPr="00EF6EA4">
        <w:rPr>
          <w:rFonts w:ascii="Times New Roman" w:hAnsi="Times New Roman" w:cs="Times New Roman"/>
        </w:rPr>
        <w:t xml:space="preserve"> groups </w:t>
      </w:r>
      <w:r w:rsidR="00D67448" w:rsidRPr="0071766C">
        <w:rPr>
          <w:rFonts w:ascii="Times New Roman" w:hAnsi="Times New Roman" w:cs="Times New Roman"/>
          <w:b/>
          <w:bCs/>
        </w:rPr>
        <w:t xml:space="preserve">(Table </w:t>
      </w:r>
      <w:r w:rsidR="0073734D" w:rsidRPr="0071766C">
        <w:rPr>
          <w:rFonts w:ascii="Times New Roman" w:hAnsi="Times New Roman" w:cs="Times New Roman"/>
          <w:b/>
          <w:bCs/>
        </w:rPr>
        <w:t>4</w:t>
      </w:r>
      <w:r w:rsidR="00D67448" w:rsidRPr="0071766C">
        <w:rPr>
          <w:rFonts w:ascii="Times New Roman" w:hAnsi="Times New Roman" w:cs="Times New Roman"/>
          <w:b/>
          <w:bCs/>
        </w:rPr>
        <w:t>)</w:t>
      </w:r>
      <w:r w:rsidR="00D67448" w:rsidRPr="00EF6EA4">
        <w:rPr>
          <w:rFonts w:ascii="Times New Roman" w:hAnsi="Times New Roman" w:cs="Times New Roman"/>
        </w:rPr>
        <w:t xml:space="preserve"> supports the health-enhancing potential of specific dietary supplements, in contrast to G</w:t>
      </w:r>
      <w:r w:rsidR="00D67448" w:rsidRPr="00EF6EA4">
        <w:rPr>
          <w:rFonts w:ascii="Times New Roman" w:hAnsi="Times New Roman" w:cs="Times New Roman"/>
          <w:vertAlign w:val="subscript"/>
        </w:rPr>
        <w:t>1</w:t>
      </w:r>
      <w:r w:rsidR="00D67448" w:rsidRPr="00EF6EA4">
        <w:rPr>
          <w:rFonts w:ascii="Times New Roman" w:hAnsi="Times New Roman" w:cs="Times New Roman"/>
        </w:rPr>
        <w:t xml:space="preserve"> and G</w:t>
      </w:r>
      <w:r w:rsidR="00D67448" w:rsidRPr="00EF6EA4">
        <w:rPr>
          <w:rFonts w:ascii="Times New Roman" w:hAnsi="Times New Roman" w:cs="Times New Roman"/>
          <w:vertAlign w:val="subscript"/>
        </w:rPr>
        <w:t>2</w:t>
      </w:r>
      <w:r w:rsidR="00D67448" w:rsidRPr="00EF6EA4">
        <w:rPr>
          <w:rFonts w:ascii="Times New Roman" w:hAnsi="Times New Roman" w:cs="Times New Roman"/>
        </w:rPr>
        <w:t xml:space="preserve">, where pneumonia-related issues were evident (Gopinathan et al., 2011). These findings emphasize the importance of nutritional intervention in reducing piglet mortality. De Grau et al. (2005) </w:t>
      </w:r>
      <w:r w:rsidR="00D67448" w:rsidRPr="00EF6EA4">
        <w:rPr>
          <w:rFonts w:ascii="Times New Roman" w:hAnsi="Times New Roman" w:cs="Times New Roman"/>
        </w:rPr>
        <w:lastRenderedPageBreak/>
        <w:t>highlighted that pigs weighing less than 4.1 kg at weaning are significantly more prone to mortality (1.2–10.2%) than their heavier counterparts. Similarly, high pre-weaning mortality was recorded in nondescript local pigs of Mizoram at 29.73% (Kumaresan et al., 2007) and in Mali pigs of Tripura at 12.75% (</w:t>
      </w:r>
      <w:proofErr w:type="spellStart"/>
      <w:r w:rsidR="00D67448" w:rsidRPr="00EF6EA4">
        <w:rPr>
          <w:rFonts w:ascii="Times New Roman" w:hAnsi="Times New Roman" w:cs="Times New Roman"/>
        </w:rPr>
        <w:t>Dandapat</w:t>
      </w:r>
      <w:proofErr w:type="spellEnd"/>
      <w:r w:rsidR="00D67448" w:rsidRPr="00EF6EA4">
        <w:rPr>
          <w:rFonts w:ascii="Times New Roman" w:hAnsi="Times New Roman" w:cs="Times New Roman"/>
        </w:rPr>
        <w:t xml:space="preserve"> et al., 2010). </w:t>
      </w:r>
    </w:p>
    <w:p w14:paraId="242D9418" w14:textId="2638A0C6" w:rsidR="009232A4" w:rsidRPr="00EF6EA4" w:rsidRDefault="00D67448" w:rsidP="00EF6EA4">
      <w:pPr>
        <w:spacing w:line="240" w:lineRule="auto"/>
        <w:jc w:val="both"/>
        <w:rPr>
          <w:rFonts w:ascii="Times New Roman" w:hAnsi="Times New Roman" w:cs="Times New Roman"/>
        </w:rPr>
      </w:pPr>
      <w:r w:rsidRPr="00EF6EA4">
        <w:rPr>
          <w:rFonts w:ascii="Times New Roman" w:hAnsi="Times New Roman" w:cs="Times New Roman"/>
        </w:rPr>
        <w:tab/>
        <w:t xml:space="preserve">Poor hygiene and lack of disease control practices were reported to increase the incidence of piglet </w:t>
      </w:r>
      <w:r w:rsidR="001A3B41" w:rsidRPr="00EF6EA4">
        <w:rPr>
          <w:rFonts w:ascii="Times New Roman" w:hAnsi="Times New Roman" w:cs="Times New Roman"/>
        </w:rPr>
        <w:t>diarrhoea</w:t>
      </w:r>
      <w:r w:rsidRPr="00EF6EA4">
        <w:rPr>
          <w:rFonts w:ascii="Times New Roman" w:hAnsi="Times New Roman" w:cs="Times New Roman"/>
        </w:rPr>
        <w:t xml:space="preserve"> in smallholder systems (</w:t>
      </w:r>
      <w:proofErr w:type="spellStart"/>
      <w:r w:rsidRPr="00EF6EA4">
        <w:rPr>
          <w:rFonts w:ascii="Times New Roman" w:hAnsi="Times New Roman" w:cs="Times New Roman"/>
        </w:rPr>
        <w:t>Pengsavanh</w:t>
      </w:r>
      <w:proofErr w:type="spellEnd"/>
      <w:r w:rsidRPr="00EF6EA4">
        <w:rPr>
          <w:rFonts w:ascii="Times New Roman" w:hAnsi="Times New Roman" w:cs="Times New Roman"/>
        </w:rPr>
        <w:t xml:space="preserve"> et al., 2010), while Mondal et al. (2012) identified digestive disorders, </w:t>
      </w:r>
      <w:r w:rsidR="001A3B41" w:rsidRPr="00EF6EA4">
        <w:rPr>
          <w:rFonts w:ascii="Times New Roman" w:hAnsi="Times New Roman" w:cs="Times New Roman"/>
        </w:rPr>
        <w:t>hypoglycaemia</w:t>
      </w:r>
      <w:r w:rsidRPr="00EF6EA4">
        <w:rPr>
          <w:rFonts w:ascii="Times New Roman" w:hAnsi="Times New Roman" w:cs="Times New Roman"/>
        </w:rPr>
        <w:t>/weakling, and respiratory issues as key contributors to early deaths. Variations in pre-weaning mortality were also observed across breeds</w:t>
      </w:r>
      <w:r w:rsidR="006E6A85" w:rsidRPr="00EF6EA4">
        <w:rPr>
          <w:rFonts w:ascii="Times New Roman" w:hAnsi="Times New Roman" w:cs="Times New Roman"/>
        </w:rPr>
        <w:t xml:space="preserve"> </w:t>
      </w:r>
      <w:r w:rsidRPr="00EF6EA4">
        <w:rPr>
          <w:rFonts w:ascii="Times New Roman" w:hAnsi="Times New Roman" w:cs="Times New Roman"/>
        </w:rPr>
        <w:t xml:space="preserve">2.94% in Hampshire desi cross, 14.94% in Ghungroo, and 14.28% in </w:t>
      </w:r>
      <w:proofErr w:type="spellStart"/>
      <w:r w:rsidRPr="00EF6EA4">
        <w:rPr>
          <w:rFonts w:ascii="Times New Roman" w:hAnsi="Times New Roman" w:cs="Times New Roman"/>
        </w:rPr>
        <w:t>Niang</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Megha</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Gokuldas</w:t>
      </w:r>
      <w:proofErr w:type="spellEnd"/>
      <w:r w:rsidRPr="00EF6EA4">
        <w:rPr>
          <w:rFonts w:ascii="Times New Roman" w:hAnsi="Times New Roman" w:cs="Times New Roman"/>
        </w:rPr>
        <w:t xml:space="preserve"> et al., 2015). Although location of rearing had no significant effect in Nagaland, stillbirths were recorded at different rates across districts (Chusi et al., 2016). Encouragingly, mortality was absent in pigs supplemented with turmeric powder (</w:t>
      </w:r>
      <w:proofErr w:type="spellStart"/>
      <w:r w:rsidRPr="00EF6EA4">
        <w:rPr>
          <w:rFonts w:ascii="Times New Roman" w:hAnsi="Times New Roman" w:cs="Times New Roman"/>
        </w:rPr>
        <w:t>Alagbe</w:t>
      </w:r>
      <w:proofErr w:type="spellEnd"/>
      <w:r w:rsidRPr="00EF6EA4">
        <w:rPr>
          <w:rFonts w:ascii="Times New Roman" w:hAnsi="Times New Roman" w:cs="Times New Roman"/>
        </w:rPr>
        <w:t xml:space="preserve"> et al., 2017), and lower mortality (0.79%) was seen in desi pigs compared to purebred or crossbreds (Boro et al., 2018). Roy et al. (2018) noted seasonal impacts, with chill and scour contributing to 15.625% pre-weaning deaths. Pre-weaning mortality rates of 14.35%, 14.78%, and 32.00% were recorded in Ghungroo, Large Black, and </w:t>
      </w:r>
      <w:r w:rsidR="00EE1B59" w:rsidRPr="00EF6EA4">
        <w:rPr>
          <w:rFonts w:ascii="Times New Roman" w:hAnsi="Times New Roman" w:cs="Times New Roman"/>
          <w:i/>
          <w:iCs/>
        </w:rPr>
        <w:t>Tenyi Vo</w:t>
      </w:r>
      <w:r w:rsidRPr="00EF6EA4">
        <w:rPr>
          <w:rFonts w:ascii="Times New Roman" w:hAnsi="Times New Roman" w:cs="Times New Roman"/>
        </w:rPr>
        <w:t xml:space="preserve"> pigs respectively (Singh et al., 2020). Interestingly, morbidity and mortality of 40% and 20% respectively were observed in </w:t>
      </w:r>
      <w:r w:rsidR="00EE1B59" w:rsidRPr="00EF6EA4">
        <w:rPr>
          <w:rFonts w:ascii="Times New Roman" w:hAnsi="Times New Roman" w:cs="Times New Roman"/>
          <w:i/>
          <w:iCs/>
        </w:rPr>
        <w:t>Tenyi Vo</w:t>
      </w:r>
      <w:r w:rsidRPr="00EF6EA4">
        <w:rPr>
          <w:rFonts w:ascii="Times New Roman" w:hAnsi="Times New Roman" w:cs="Times New Roman"/>
        </w:rPr>
        <w:t xml:space="preserve"> pigs fed Nutgall fruit (Amer et al., 2023), while those fed Roselle calyx powder showed reduced rates of 10% and 5% (</w:t>
      </w:r>
      <w:proofErr w:type="spellStart"/>
      <w:r w:rsidRPr="00EF6EA4">
        <w:rPr>
          <w:rFonts w:ascii="Times New Roman" w:hAnsi="Times New Roman" w:cs="Times New Roman"/>
        </w:rPr>
        <w:t>Sothu</w:t>
      </w:r>
      <w:proofErr w:type="spellEnd"/>
      <w:r w:rsidRPr="00EF6EA4">
        <w:rPr>
          <w:rFonts w:ascii="Times New Roman" w:hAnsi="Times New Roman" w:cs="Times New Roman"/>
        </w:rPr>
        <w:t xml:space="preserve"> et al., 2024). These findings collectively affirm the role of jackfruit powder in enhancing piglet health without compromising physiological stability.</w:t>
      </w:r>
    </w:p>
    <w:p w14:paraId="60D10E1F" w14:textId="7BEEDAF9" w:rsidR="00840F1B" w:rsidRPr="00EF6EA4" w:rsidRDefault="00840F1B" w:rsidP="00EF6EA4">
      <w:pPr>
        <w:spacing w:line="240" w:lineRule="auto"/>
        <w:jc w:val="both"/>
        <w:rPr>
          <w:rFonts w:ascii="Times New Roman" w:hAnsi="Times New Roman" w:cs="Times New Roman"/>
          <w:b/>
          <w:bCs/>
        </w:rPr>
      </w:pPr>
      <w:r w:rsidRPr="00EF6EA4">
        <w:rPr>
          <w:rFonts w:ascii="Times New Roman" w:hAnsi="Times New Roman" w:cs="Times New Roman"/>
          <w:b/>
          <w:bCs/>
        </w:rPr>
        <w:t>Conclusion</w:t>
      </w:r>
    </w:p>
    <w:p w14:paraId="4F17A13D" w14:textId="53B7F6F4" w:rsidR="00840F1B" w:rsidRPr="00EF6EA4" w:rsidRDefault="009232A4" w:rsidP="00EF6EA4">
      <w:pPr>
        <w:spacing w:line="240" w:lineRule="auto"/>
        <w:jc w:val="both"/>
        <w:rPr>
          <w:rFonts w:ascii="Times New Roman" w:hAnsi="Times New Roman" w:cs="Times New Roman"/>
        </w:rPr>
      </w:pPr>
      <w:r w:rsidRPr="00EF6EA4">
        <w:rPr>
          <w:rFonts w:ascii="Times New Roman" w:hAnsi="Times New Roman" w:cs="Times New Roman"/>
        </w:rPr>
        <w:tab/>
      </w:r>
      <w:r w:rsidR="00840F1B" w:rsidRPr="00EF6EA4">
        <w:rPr>
          <w:rFonts w:ascii="Times New Roman" w:hAnsi="Times New Roman" w:cs="Times New Roman"/>
        </w:rPr>
        <w:t xml:space="preserve">Jackfruit powder at 75 g/kg significantly improves </w:t>
      </w:r>
      <w:r w:rsidR="00D339AC" w:rsidRPr="00EF6EA4">
        <w:rPr>
          <w:rFonts w:ascii="Times New Roman" w:hAnsi="Times New Roman" w:cs="Times New Roman"/>
        </w:rPr>
        <w:t>haematological</w:t>
      </w:r>
      <w:r w:rsidR="00840F1B" w:rsidRPr="00EF6EA4">
        <w:rPr>
          <w:rFonts w:ascii="Times New Roman" w:hAnsi="Times New Roman" w:cs="Times New Roman"/>
        </w:rPr>
        <w:t xml:space="preserve"> parameters and eliminates morbidity and mortality in </w:t>
      </w:r>
      <w:r w:rsidR="00EE1B59" w:rsidRPr="00EF6EA4">
        <w:rPr>
          <w:rFonts w:ascii="Times New Roman" w:hAnsi="Times New Roman" w:cs="Times New Roman"/>
          <w:i/>
          <w:iCs/>
        </w:rPr>
        <w:t>Tenyi Vo</w:t>
      </w:r>
      <w:r w:rsidR="00840F1B" w:rsidRPr="00EF6EA4">
        <w:rPr>
          <w:rFonts w:ascii="Times New Roman" w:hAnsi="Times New Roman" w:cs="Times New Roman"/>
        </w:rPr>
        <w:t xml:space="preserve"> pigs. Its integration into pig diets can enhance health and welfare, benefiting Nagaland’s pig farming sector. Further research is needed to explore biochemical pathways and long-term impacts.</w:t>
      </w:r>
    </w:p>
    <w:p w14:paraId="5891832A" w14:textId="77777777" w:rsidR="00840F1B" w:rsidRPr="00EF6EA4" w:rsidRDefault="00840F1B" w:rsidP="00EF6EA4">
      <w:pPr>
        <w:spacing w:before="240" w:line="240" w:lineRule="auto"/>
        <w:jc w:val="both"/>
        <w:rPr>
          <w:rFonts w:ascii="Times New Roman" w:hAnsi="Times New Roman" w:cs="Times New Roman"/>
          <w:b/>
          <w:bCs/>
        </w:rPr>
      </w:pPr>
      <w:r w:rsidRPr="00EF6EA4">
        <w:rPr>
          <w:rFonts w:ascii="Times New Roman" w:hAnsi="Times New Roman" w:cs="Times New Roman"/>
          <w:b/>
          <w:bCs/>
        </w:rPr>
        <w:t>References</w:t>
      </w:r>
    </w:p>
    <w:p w14:paraId="34B13F47"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Adegbenro</w:t>
      </w:r>
      <w:proofErr w:type="spellEnd"/>
      <w:r w:rsidRPr="00EF6EA4">
        <w:rPr>
          <w:rFonts w:ascii="Times New Roman" w:hAnsi="Times New Roman" w:cs="Times New Roman"/>
        </w:rPr>
        <w:t xml:space="preserve">, M., </w:t>
      </w:r>
      <w:proofErr w:type="spellStart"/>
      <w:r w:rsidRPr="00EF6EA4">
        <w:rPr>
          <w:rFonts w:ascii="Times New Roman" w:hAnsi="Times New Roman" w:cs="Times New Roman"/>
        </w:rPr>
        <w:t>Agbede</w:t>
      </w:r>
      <w:proofErr w:type="spellEnd"/>
      <w:r w:rsidRPr="00EF6EA4">
        <w:rPr>
          <w:rFonts w:ascii="Times New Roman" w:hAnsi="Times New Roman" w:cs="Times New Roman"/>
        </w:rPr>
        <w:t xml:space="preserve">, J. O., </w:t>
      </w:r>
      <w:proofErr w:type="spellStart"/>
      <w:r w:rsidRPr="00EF6EA4">
        <w:rPr>
          <w:rFonts w:ascii="Times New Roman" w:hAnsi="Times New Roman" w:cs="Times New Roman"/>
        </w:rPr>
        <w:t>Onibi</w:t>
      </w:r>
      <w:proofErr w:type="spellEnd"/>
      <w:r w:rsidRPr="00EF6EA4">
        <w:rPr>
          <w:rFonts w:ascii="Times New Roman" w:hAnsi="Times New Roman" w:cs="Times New Roman"/>
        </w:rPr>
        <w:t xml:space="preserve">, G. E., &amp; </w:t>
      </w:r>
      <w:proofErr w:type="spellStart"/>
      <w:r w:rsidRPr="00EF6EA4">
        <w:rPr>
          <w:rFonts w:ascii="Times New Roman" w:hAnsi="Times New Roman" w:cs="Times New Roman"/>
        </w:rPr>
        <w:t>Aletor</w:t>
      </w:r>
      <w:proofErr w:type="spellEnd"/>
      <w:r w:rsidRPr="00EF6EA4">
        <w:rPr>
          <w:rFonts w:ascii="Times New Roman" w:hAnsi="Times New Roman" w:cs="Times New Roman"/>
        </w:rPr>
        <w:t>, V. A. (2016). Composite leaf meal: effects on haematology and biochemical indices of growing pigs. </w:t>
      </w:r>
      <w:proofErr w:type="spellStart"/>
      <w:r w:rsidRPr="00EF6EA4">
        <w:rPr>
          <w:rFonts w:ascii="Times New Roman" w:hAnsi="Times New Roman" w:cs="Times New Roman"/>
        </w:rPr>
        <w:t>Archiva</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Zootechnica</w:t>
      </w:r>
      <w:proofErr w:type="spellEnd"/>
      <w:r w:rsidRPr="00EF6EA4">
        <w:rPr>
          <w:rFonts w:ascii="Times New Roman" w:hAnsi="Times New Roman" w:cs="Times New Roman"/>
        </w:rPr>
        <w:t>, 19(2), 65.</w:t>
      </w:r>
    </w:p>
    <w:p w14:paraId="0C79058D"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Agboola, O. S. (2014). Antioxidant potentials of local fruits and foreign wines sold in Ile-Ife, Nigeria. International Journal of Biological and Chemical Sciences, 8(2), 699-704.</w:t>
      </w:r>
    </w:p>
    <w:p w14:paraId="3266B083"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Agiang</w:t>
      </w:r>
      <w:proofErr w:type="spellEnd"/>
      <w:r w:rsidRPr="00EF6EA4">
        <w:rPr>
          <w:rFonts w:ascii="Times New Roman" w:hAnsi="Times New Roman" w:cs="Times New Roman"/>
        </w:rPr>
        <w:t>, M. A., Dongo, B. S., Williams, I. O., &amp; Utu-Baku, A. B. (2017). Assessment of the haematological indices of albino rats fed diets supplemented with jackfruit bulb, seed or a blend of bulb and seed. International Journal of Biological and Chemical Sciences, 11(1), 397-407.</w:t>
      </w:r>
    </w:p>
    <w:p w14:paraId="29D628CA"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Alagbe</w:t>
      </w:r>
      <w:proofErr w:type="spellEnd"/>
      <w:r w:rsidRPr="00EF6EA4">
        <w:rPr>
          <w:rFonts w:ascii="Times New Roman" w:hAnsi="Times New Roman" w:cs="Times New Roman"/>
        </w:rPr>
        <w:t>, J. O. (2017). Growth performance and blood parameters of weaner pigs fed diets supplemented with turmeric powder. Energy (ME kcal/kg), 2433(2437.5), 2439-9.</w:t>
      </w:r>
    </w:p>
    <w:p w14:paraId="7336C9A3"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Albokhadaim</w:t>
      </w:r>
      <w:proofErr w:type="spellEnd"/>
      <w:r w:rsidRPr="00EF6EA4">
        <w:rPr>
          <w:rFonts w:ascii="Times New Roman" w:hAnsi="Times New Roman" w:cs="Times New Roman"/>
        </w:rPr>
        <w:t xml:space="preserve">, I. (2015). Influence of dietary supplementation of propolis on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biochemistry and lipid profile of rats fed high cholesterol diet. Journal of Advanced Veterinary and Animal Research, 2(1), 56-63.</w:t>
      </w:r>
    </w:p>
    <w:p w14:paraId="79E5B07A"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Amer, T., Rutsa, M. C., Savino, N., &amp; Singh, R. (2023). Performance of </w:t>
      </w:r>
      <w:proofErr w:type="spellStart"/>
      <w:r w:rsidRPr="00EF6EA4">
        <w:rPr>
          <w:rFonts w:ascii="Times New Roman" w:hAnsi="Times New Roman" w:cs="Times New Roman"/>
        </w:rPr>
        <w:t>tenyivo</w:t>
      </w:r>
      <w:proofErr w:type="spellEnd"/>
      <w:r w:rsidRPr="00EF6EA4">
        <w:rPr>
          <w:rFonts w:ascii="Times New Roman" w:hAnsi="Times New Roman" w:cs="Times New Roman"/>
        </w:rPr>
        <w:t xml:space="preserve"> pig on diet supplemented with nutgall (</w:t>
      </w:r>
      <w:proofErr w:type="spellStart"/>
      <w:r w:rsidRPr="00EF6EA4">
        <w:rPr>
          <w:rFonts w:ascii="Times New Roman" w:hAnsi="Times New Roman" w:cs="Times New Roman"/>
        </w:rPr>
        <w:t>Rhus</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semialata</w:t>
      </w:r>
      <w:proofErr w:type="spellEnd"/>
      <w:r w:rsidRPr="00EF6EA4">
        <w:rPr>
          <w:rFonts w:ascii="Times New Roman" w:hAnsi="Times New Roman" w:cs="Times New Roman"/>
        </w:rPr>
        <w:t>) fruit. The Pharma Innovation Journal, 12(2), 1464-1471.</w:t>
      </w:r>
    </w:p>
    <w:p w14:paraId="72B56E31"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lastRenderedPageBreak/>
        <w:t>Asif, M. (2014). The prevention and control the type-2 diabetes by changing lifestyle and dietary pattern. Journal of education and health promotion, 3(1), 1.</w:t>
      </w:r>
    </w:p>
    <w:p w14:paraId="1D0EAEF9"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Atchiwassa, S., </w:t>
      </w:r>
      <w:proofErr w:type="spellStart"/>
      <w:r w:rsidRPr="00EF6EA4">
        <w:rPr>
          <w:rFonts w:ascii="Times New Roman" w:hAnsi="Times New Roman" w:cs="Times New Roman"/>
        </w:rPr>
        <w:t>Ayssiwede</w:t>
      </w:r>
      <w:proofErr w:type="spellEnd"/>
      <w:r w:rsidRPr="00EF6EA4">
        <w:rPr>
          <w:rFonts w:ascii="Times New Roman" w:hAnsi="Times New Roman" w:cs="Times New Roman"/>
        </w:rPr>
        <w:t xml:space="preserve">, S. B., Kadja, M. C., </w:t>
      </w:r>
      <w:proofErr w:type="spellStart"/>
      <w:r w:rsidRPr="00EF6EA4">
        <w:rPr>
          <w:rFonts w:ascii="Times New Roman" w:hAnsi="Times New Roman" w:cs="Times New Roman"/>
        </w:rPr>
        <w:t>Kalandi</w:t>
      </w:r>
      <w:proofErr w:type="spellEnd"/>
      <w:r w:rsidRPr="00EF6EA4">
        <w:rPr>
          <w:rFonts w:ascii="Times New Roman" w:hAnsi="Times New Roman" w:cs="Times New Roman"/>
        </w:rPr>
        <w:t xml:space="preserve">, M., </w:t>
      </w:r>
      <w:proofErr w:type="spellStart"/>
      <w:r w:rsidRPr="00EF6EA4">
        <w:rPr>
          <w:rFonts w:ascii="Times New Roman" w:hAnsi="Times New Roman" w:cs="Times New Roman"/>
        </w:rPr>
        <w:t>Ossebi</w:t>
      </w:r>
      <w:proofErr w:type="spellEnd"/>
      <w:r w:rsidRPr="00EF6EA4">
        <w:rPr>
          <w:rFonts w:ascii="Times New Roman" w:hAnsi="Times New Roman" w:cs="Times New Roman"/>
        </w:rPr>
        <w:t xml:space="preserve">, W., </w:t>
      </w:r>
      <w:proofErr w:type="spellStart"/>
      <w:r w:rsidRPr="00EF6EA4">
        <w:rPr>
          <w:rFonts w:ascii="Times New Roman" w:hAnsi="Times New Roman" w:cs="Times New Roman"/>
        </w:rPr>
        <w:t>Michihoun</w:t>
      </w:r>
      <w:proofErr w:type="spellEnd"/>
      <w:r w:rsidRPr="00EF6EA4">
        <w:rPr>
          <w:rFonts w:ascii="Times New Roman" w:hAnsi="Times New Roman" w:cs="Times New Roman"/>
        </w:rPr>
        <w:t xml:space="preserve">, G. S., ... &amp; </w:t>
      </w:r>
      <w:proofErr w:type="spellStart"/>
      <w:r w:rsidRPr="00EF6EA4">
        <w:rPr>
          <w:rFonts w:ascii="Times New Roman" w:hAnsi="Times New Roman" w:cs="Times New Roman"/>
        </w:rPr>
        <w:t>Missohou</w:t>
      </w:r>
      <w:proofErr w:type="spellEnd"/>
      <w:r w:rsidRPr="00EF6EA4">
        <w:rPr>
          <w:rFonts w:ascii="Times New Roman" w:hAnsi="Times New Roman" w:cs="Times New Roman"/>
        </w:rPr>
        <w:t>, A. (2024). Effect of Diets Containing Dried Cashew Apple Pulp (</w:t>
      </w:r>
      <w:proofErr w:type="spellStart"/>
      <w:r w:rsidRPr="00EF6EA4">
        <w:rPr>
          <w:rFonts w:ascii="Times New Roman" w:hAnsi="Times New Roman" w:cs="Times New Roman"/>
        </w:rPr>
        <w:t>Anarcadium</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occidentale</w:t>
      </w:r>
      <w:proofErr w:type="spellEnd"/>
      <w:r w:rsidRPr="00EF6EA4">
        <w:rPr>
          <w:rFonts w:ascii="Times New Roman" w:hAnsi="Times New Roman" w:cs="Times New Roman"/>
        </w:rPr>
        <w:t xml:space="preserve">) on Local Pigs Health Status via Biochemical and </w:t>
      </w:r>
      <w:proofErr w:type="spellStart"/>
      <w:r w:rsidRPr="00EF6EA4">
        <w:rPr>
          <w:rFonts w:ascii="Times New Roman" w:hAnsi="Times New Roman" w:cs="Times New Roman"/>
        </w:rPr>
        <w:t>Hematological</w:t>
      </w:r>
      <w:proofErr w:type="spellEnd"/>
      <w:r w:rsidRPr="00EF6EA4">
        <w:rPr>
          <w:rFonts w:ascii="Times New Roman" w:hAnsi="Times New Roman" w:cs="Times New Roman"/>
        </w:rPr>
        <w:t xml:space="preserve"> Parameters in South’s Senegal. Animal and Veterinary Sciences, 12(1), 19-30.</w:t>
      </w:r>
    </w:p>
    <w:p w14:paraId="4680ACD2"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Balogun, M. E., </w:t>
      </w:r>
      <w:proofErr w:type="spellStart"/>
      <w:r w:rsidRPr="00EF6EA4">
        <w:rPr>
          <w:rFonts w:ascii="Times New Roman" w:hAnsi="Times New Roman" w:cs="Times New Roman"/>
        </w:rPr>
        <w:t>Folawiyo</w:t>
      </w:r>
      <w:proofErr w:type="spellEnd"/>
      <w:r w:rsidRPr="00EF6EA4">
        <w:rPr>
          <w:rFonts w:ascii="Times New Roman" w:hAnsi="Times New Roman" w:cs="Times New Roman"/>
        </w:rPr>
        <w:t xml:space="preserve">, M. A., Besong, E. E., &amp; Jeje, S. O. (2014). Effect of ethanolic fruit extract of </w:t>
      </w:r>
      <w:proofErr w:type="spellStart"/>
      <w:r w:rsidRPr="00EF6EA4">
        <w:rPr>
          <w:rFonts w:ascii="Times New Roman" w:hAnsi="Times New Roman" w:cs="Times New Roman"/>
        </w:rPr>
        <w:t>Adenopus</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breviflorus</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Lagenaria</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breviflora</w:t>
      </w:r>
      <w:proofErr w:type="spellEnd"/>
      <w:r w:rsidRPr="00EF6EA4">
        <w:rPr>
          <w:rFonts w:ascii="Times New Roman" w:hAnsi="Times New Roman" w:cs="Times New Roman"/>
        </w:rPr>
        <w:t xml:space="preserve"> Robert) on </w:t>
      </w:r>
      <w:proofErr w:type="spellStart"/>
      <w:r w:rsidRPr="00EF6EA4">
        <w:rPr>
          <w:rFonts w:ascii="Times New Roman" w:hAnsi="Times New Roman" w:cs="Times New Roman"/>
        </w:rPr>
        <w:t>hematological</w:t>
      </w:r>
      <w:proofErr w:type="spellEnd"/>
      <w:r w:rsidRPr="00EF6EA4">
        <w:rPr>
          <w:rFonts w:ascii="Times New Roman" w:hAnsi="Times New Roman" w:cs="Times New Roman"/>
        </w:rPr>
        <w:t xml:space="preserve"> indices in male Albino Wistar rats. J. Phys. Pharm. Adv, 4(11), 501-508.</w:t>
      </w:r>
    </w:p>
    <w:p w14:paraId="57498D4F"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Berckmans</w:t>
      </w:r>
      <w:proofErr w:type="spellEnd"/>
      <w:r w:rsidRPr="00EF6EA4">
        <w:rPr>
          <w:rFonts w:ascii="Times New Roman" w:hAnsi="Times New Roman" w:cs="Times New Roman"/>
        </w:rPr>
        <w:t>, D. (2014). Precision livestock farming technologies for welfare management in intensive livestock systems. Rev. Sci. Tech, 33(1), 189-196.</w:t>
      </w:r>
    </w:p>
    <w:p w14:paraId="50DF1771" w14:textId="54338386"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Bhat, R., Rai, R. V., &amp; Karim, A. A. (2010). Mycotoxins in food and feed: present status and future concerns. Comprehensive Reviews in Food Science and Food Safety, 9(1), 57-81.</w:t>
      </w:r>
    </w:p>
    <w:p w14:paraId="19932FCE" w14:textId="47EA500B"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Borkotoky, D., Perumal, P. </w:t>
      </w:r>
      <w:r w:rsidR="00151184" w:rsidRPr="00EF6EA4">
        <w:rPr>
          <w:rFonts w:ascii="Times New Roman" w:hAnsi="Times New Roman" w:cs="Times New Roman"/>
        </w:rPr>
        <w:t>&amp;</w:t>
      </w:r>
      <w:r w:rsidRPr="00EF6EA4">
        <w:rPr>
          <w:rFonts w:ascii="Times New Roman" w:hAnsi="Times New Roman" w:cs="Times New Roman"/>
        </w:rPr>
        <w:t xml:space="preserve"> Singh, R. K. (2014). Morphometric attributes of Naga local pigs. Veterinary Research, 2 (1)</w:t>
      </w:r>
      <w:r w:rsidR="00151184" w:rsidRPr="00EF6EA4">
        <w:rPr>
          <w:rFonts w:ascii="Times New Roman" w:hAnsi="Times New Roman" w:cs="Times New Roman"/>
        </w:rPr>
        <w:t>,</w:t>
      </w:r>
      <w:r w:rsidRPr="00EF6EA4">
        <w:rPr>
          <w:rFonts w:ascii="Times New Roman" w:hAnsi="Times New Roman" w:cs="Times New Roman"/>
        </w:rPr>
        <w:t xml:space="preserve"> 08-11.</w:t>
      </w:r>
    </w:p>
    <w:p w14:paraId="60BB1CEA"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Boro, P., Patel, B. H. M., Sahoo, N. R., Gaur, G. K., Singh, M., Dutt, T., ... &amp; Maurya, R. (2018). </w:t>
      </w:r>
      <w:proofErr w:type="spellStart"/>
      <w:r w:rsidRPr="00EF6EA4">
        <w:rPr>
          <w:rFonts w:ascii="Times New Roman" w:hAnsi="Times New Roman" w:cs="Times New Roman"/>
        </w:rPr>
        <w:t>Morhometric</w:t>
      </w:r>
      <w:proofErr w:type="spellEnd"/>
      <w:r w:rsidRPr="00EF6EA4">
        <w:rPr>
          <w:rFonts w:ascii="Times New Roman" w:hAnsi="Times New Roman" w:cs="Times New Roman"/>
        </w:rPr>
        <w:t xml:space="preserve"> attributes of Bareilly desi pigs. Journal of Entomology and Zoology, 6(5), 1163-1166.</w:t>
      </w:r>
    </w:p>
    <w:p w14:paraId="7CEFA0A8"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Boukhers</w:t>
      </w:r>
      <w:proofErr w:type="spellEnd"/>
      <w:r w:rsidRPr="00EF6EA4">
        <w:rPr>
          <w:rFonts w:ascii="Times New Roman" w:hAnsi="Times New Roman" w:cs="Times New Roman"/>
        </w:rPr>
        <w:t xml:space="preserve">, I., </w:t>
      </w:r>
      <w:proofErr w:type="spellStart"/>
      <w:r w:rsidRPr="00EF6EA4">
        <w:rPr>
          <w:rFonts w:ascii="Times New Roman" w:hAnsi="Times New Roman" w:cs="Times New Roman"/>
        </w:rPr>
        <w:t>Boudard</w:t>
      </w:r>
      <w:proofErr w:type="spellEnd"/>
      <w:r w:rsidRPr="00EF6EA4">
        <w:rPr>
          <w:rFonts w:ascii="Times New Roman" w:hAnsi="Times New Roman" w:cs="Times New Roman"/>
        </w:rPr>
        <w:t xml:space="preserve">, F., Morel, S., </w:t>
      </w:r>
      <w:proofErr w:type="spellStart"/>
      <w:r w:rsidRPr="00EF6EA4">
        <w:rPr>
          <w:rFonts w:ascii="Times New Roman" w:hAnsi="Times New Roman" w:cs="Times New Roman"/>
        </w:rPr>
        <w:t>Servent</w:t>
      </w:r>
      <w:proofErr w:type="spellEnd"/>
      <w:r w:rsidRPr="00EF6EA4">
        <w:rPr>
          <w:rFonts w:ascii="Times New Roman" w:hAnsi="Times New Roman" w:cs="Times New Roman"/>
        </w:rPr>
        <w:t xml:space="preserve">, A., </w:t>
      </w:r>
      <w:proofErr w:type="spellStart"/>
      <w:r w:rsidRPr="00EF6EA4">
        <w:rPr>
          <w:rFonts w:ascii="Times New Roman" w:hAnsi="Times New Roman" w:cs="Times New Roman"/>
        </w:rPr>
        <w:t>Portet</w:t>
      </w:r>
      <w:proofErr w:type="spellEnd"/>
      <w:r w:rsidRPr="00EF6EA4">
        <w:rPr>
          <w:rFonts w:ascii="Times New Roman" w:hAnsi="Times New Roman" w:cs="Times New Roman"/>
        </w:rPr>
        <w:t xml:space="preserve">, K., Guzman, C., ... &amp; </w:t>
      </w:r>
      <w:proofErr w:type="spellStart"/>
      <w:r w:rsidRPr="00EF6EA4">
        <w:rPr>
          <w:rFonts w:ascii="Times New Roman" w:hAnsi="Times New Roman" w:cs="Times New Roman"/>
        </w:rPr>
        <w:t>Poucheret</w:t>
      </w:r>
      <w:proofErr w:type="spellEnd"/>
      <w:r w:rsidRPr="00EF6EA4">
        <w:rPr>
          <w:rFonts w:ascii="Times New Roman" w:hAnsi="Times New Roman" w:cs="Times New Roman"/>
        </w:rPr>
        <w:t>, P. (2022). Nutrition, healthcare benefits and phytochemical properties of cassava (Manihot esculenta) leaves sourced from three countries (Reunion, Guinea, and Costa Rica). Foods, 11(14), 2027.</w:t>
      </w:r>
    </w:p>
    <w:p w14:paraId="1E87D1A1"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Celik, A., Ozcan, I. T., </w:t>
      </w:r>
      <w:proofErr w:type="spellStart"/>
      <w:r w:rsidRPr="00EF6EA4">
        <w:rPr>
          <w:rFonts w:ascii="Times New Roman" w:hAnsi="Times New Roman" w:cs="Times New Roman"/>
        </w:rPr>
        <w:t>Gündes</w:t>
      </w:r>
      <w:proofErr w:type="spellEnd"/>
      <w:r w:rsidRPr="00EF6EA4">
        <w:rPr>
          <w:rFonts w:ascii="Times New Roman" w:hAnsi="Times New Roman" w:cs="Times New Roman"/>
        </w:rPr>
        <w:t>, A., Topuz, M., Pektas, I., Yesil, E., ... &amp; Cin, V. G. (2015). Usefulness of admission hematologic parameters as diagnostic tools in acute pulmonary embolism. The Kaohsiung journal of medical sciences, 31(3), 145-149.</w:t>
      </w:r>
    </w:p>
    <w:p w14:paraId="214B1B83" w14:textId="1F91CA57" w:rsidR="007F448D" w:rsidRPr="00EF6EA4" w:rsidRDefault="007F448D"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Chemshirova</w:t>
      </w:r>
      <w:proofErr w:type="spellEnd"/>
      <w:r w:rsidRPr="00EF6EA4">
        <w:rPr>
          <w:rFonts w:ascii="Times New Roman" w:hAnsi="Times New Roman" w:cs="Times New Roman"/>
        </w:rPr>
        <w:t>, N. (2000). Blood biochemical characteristics and their connection with milk productivity of cattle. Journal of Animal Science, 2</w:t>
      </w:r>
      <w:r w:rsidR="00151184" w:rsidRPr="00EF6EA4">
        <w:rPr>
          <w:rFonts w:ascii="Times New Roman" w:hAnsi="Times New Roman" w:cs="Times New Roman"/>
        </w:rPr>
        <w:t>,</w:t>
      </w:r>
      <w:r w:rsidRPr="00EF6EA4">
        <w:rPr>
          <w:rFonts w:ascii="Times New Roman" w:hAnsi="Times New Roman" w:cs="Times New Roman"/>
        </w:rPr>
        <w:t xml:space="preserve"> 45-47.</w:t>
      </w:r>
    </w:p>
    <w:p w14:paraId="596B2D35" w14:textId="140809EF"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Chusi, Z., Savino, N., Dhali, A. </w:t>
      </w:r>
      <w:r w:rsidR="00151184" w:rsidRPr="00EF6EA4">
        <w:rPr>
          <w:rFonts w:ascii="Times New Roman" w:hAnsi="Times New Roman" w:cs="Times New Roman"/>
        </w:rPr>
        <w:t>&amp;</w:t>
      </w:r>
      <w:r w:rsidRPr="00EF6EA4">
        <w:rPr>
          <w:rFonts w:ascii="Times New Roman" w:hAnsi="Times New Roman" w:cs="Times New Roman"/>
        </w:rPr>
        <w:t xml:space="preserve"> Perumal, P. 2016. Reproductive attributes of local pig (</w:t>
      </w:r>
      <w:proofErr w:type="spellStart"/>
      <w:r w:rsidRPr="00EF6EA4">
        <w:rPr>
          <w:rFonts w:ascii="Times New Roman" w:hAnsi="Times New Roman" w:cs="Times New Roman"/>
        </w:rPr>
        <w:t>Votho</w:t>
      </w:r>
      <w:proofErr w:type="spellEnd"/>
      <w:r w:rsidRPr="00EF6EA4">
        <w:rPr>
          <w:rFonts w:ascii="Times New Roman" w:hAnsi="Times New Roman" w:cs="Times New Roman"/>
        </w:rPr>
        <w:t>) of Nagaland, India. Indian Journal of Animal Research. 50(6)</w:t>
      </w:r>
      <w:r w:rsidR="00151184" w:rsidRPr="00EF6EA4">
        <w:rPr>
          <w:rFonts w:ascii="Times New Roman" w:hAnsi="Times New Roman" w:cs="Times New Roman"/>
        </w:rPr>
        <w:t>,</w:t>
      </w:r>
      <w:r w:rsidRPr="00EF6EA4">
        <w:rPr>
          <w:rFonts w:ascii="Times New Roman" w:hAnsi="Times New Roman" w:cs="Times New Roman"/>
        </w:rPr>
        <w:t xml:space="preserve"> 862-866.</w:t>
      </w:r>
    </w:p>
    <w:p w14:paraId="147C8865"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Clark, S. G., &amp; Coffer, N. (2008). Normal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and hematologic disorders in potbellied pigs. Veterinary Clinics of North America: Exotic Animal Practice, 11(3), 569-582.</w:t>
      </w:r>
    </w:p>
    <w:p w14:paraId="4188B0B4"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Dandapat</w:t>
      </w:r>
      <w:proofErr w:type="spellEnd"/>
      <w:r w:rsidRPr="00EF6EA4">
        <w:rPr>
          <w:rFonts w:ascii="Times New Roman" w:hAnsi="Times New Roman" w:cs="Times New Roman"/>
        </w:rPr>
        <w:t xml:space="preserve">, A., Choudhury, K. D., Debbarma, C., &amp; Das, M. K. (2010). Phenotypic characterization of Mali pig in Tripura, India. Chest </w:t>
      </w:r>
      <w:proofErr w:type="spellStart"/>
      <w:r w:rsidRPr="00EF6EA4">
        <w:rPr>
          <w:rFonts w:ascii="Times New Roman" w:hAnsi="Times New Roman" w:cs="Times New Roman"/>
        </w:rPr>
        <w:t>Livest</w:t>
      </w:r>
      <w:proofErr w:type="spellEnd"/>
      <w:r w:rsidRPr="00EF6EA4">
        <w:rPr>
          <w:rFonts w:ascii="Times New Roman" w:hAnsi="Times New Roman" w:cs="Times New Roman"/>
        </w:rPr>
        <w:t xml:space="preserve"> Res Rural Dev, 22(4), 0-7.</w:t>
      </w:r>
    </w:p>
    <w:p w14:paraId="61D370BE" w14:textId="218C608D"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De Grau, A., Dewey, C., Friendship, R. </w:t>
      </w:r>
      <w:r w:rsidR="00151184" w:rsidRPr="00EF6EA4">
        <w:rPr>
          <w:rFonts w:ascii="Times New Roman" w:hAnsi="Times New Roman" w:cs="Times New Roman"/>
        </w:rPr>
        <w:t>&amp;</w:t>
      </w:r>
      <w:r w:rsidRPr="00EF6EA4">
        <w:rPr>
          <w:rFonts w:ascii="Times New Roman" w:hAnsi="Times New Roman" w:cs="Times New Roman"/>
        </w:rPr>
        <w:t xml:space="preserve"> de Lange, K. 2005. Observational study of factors associated with nursery pig performance. Canadian Journal of Veterinary Research. 69(4)</w:t>
      </w:r>
      <w:r w:rsidR="00151184" w:rsidRPr="00EF6EA4">
        <w:rPr>
          <w:rFonts w:ascii="Times New Roman" w:hAnsi="Times New Roman" w:cs="Times New Roman"/>
        </w:rPr>
        <w:t>,</w:t>
      </w:r>
      <w:r w:rsidRPr="00EF6EA4">
        <w:rPr>
          <w:rFonts w:ascii="Times New Roman" w:hAnsi="Times New Roman" w:cs="Times New Roman"/>
        </w:rPr>
        <w:t xml:space="preserve"> 241.</w:t>
      </w:r>
    </w:p>
    <w:p w14:paraId="179C0118" w14:textId="77777777"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Department of Animal Husbandry and Dairying website are: </w:t>
      </w:r>
      <w:hyperlink r:id="rId7" w:history="1">
        <w:r w:rsidRPr="00EF6EA4">
          <w:rPr>
            <w:rStyle w:val="Hyperlink"/>
            <w:rFonts w:ascii="Times New Roman" w:hAnsi="Times New Roman" w:cs="Times New Roman"/>
          </w:rPr>
          <w:t>https://dahd.gov.in/external-link</w:t>
        </w:r>
      </w:hyperlink>
    </w:p>
    <w:p w14:paraId="0C623630"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Dike, M. C., &amp; Nnamdi, E. A. (2012). Comparative study of proximate, phytochemical and mineral compositions of edible plant fruits/seeds from Nigerian rainforest. International Journal of Biological and Chemical Sciences, 6(4), 1905-1909.</w:t>
      </w:r>
    </w:p>
    <w:p w14:paraId="3C73DA71" w14:textId="77777777" w:rsidR="00151184" w:rsidRPr="00EF6EA4" w:rsidRDefault="00151184"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Donaldson, M. S. (2004). Nutrition and cancer: a review of the evidence for an anti-cancer diet. Nutrition journal, 3(1), 19.</w:t>
      </w:r>
    </w:p>
    <w:p w14:paraId="43CEBBB1"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lastRenderedPageBreak/>
        <w:t xml:space="preserve">Donfack, V. D., Roque, S., Trigo, G., Fokou, P. T., </w:t>
      </w:r>
      <w:proofErr w:type="spellStart"/>
      <w:r w:rsidRPr="00EF6EA4">
        <w:rPr>
          <w:rFonts w:ascii="Times New Roman" w:hAnsi="Times New Roman" w:cs="Times New Roman"/>
        </w:rPr>
        <w:t>Tchokouaha</w:t>
      </w:r>
      <w:proofErr w:type="spellEnd"/>
      <w:r w:rsidRPr="00EF6EA4">
        <w:rPr>
          <w:rFonts w:ascii="Times New Roman" w:hAnsi="Times New Roman" w:cs="Times New Roman"/>
        </w:rPr>
        <w:t>, L. Y., Tsabang, N., ... &amp; Boyom, F. F. (2014). Antimycobacterial activity of selected medicinal plants extracts from Cameroon. International Journal of Biological and Chemical Sciences, 8(1), 273-288.</w:t>
      </w:r>
    </w:p>
    <w:p w14:paraId="455EE66D"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Effiong, O. O., Henry, A. J., &amp; Inyang, U. A. (2016). Chemical Composition of Earth Ball (</w:t>
      </w:r>
      <w:proofErr w:type="spellStart"/>
      <w:r w:rsidRPr="00EF6EA4">
        <w:rPr>
          <w:rFonts w:ascii="Times New Roman" w:hAnsi="Times New Roman" w:cs="Times New Roman"/>
        </w:rPr>
        <w:t>Icacinia</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manni</w:t>
      </w:r>
      <w:proofErr w:type="spellEnd"/>
      <w:r w:rsidRPr="00EF6EA4">
        <w:rPr>
          <w:rFonts w:ascii="Times New Roman" w:hAnsi="Times New Roman" w:cs="Times New Roman"/>
        </w:rPr>
        <w:t>) fermented with rumen digesta filtrate. 5thAnimal Science Association of Nigeria and Nigerian Institute of Animal Science. In Joint Annual Meeting, University of Port Harcourt, Rivers State (pp. 18-21).</w:t>
      </w:r>
    </w:p>
    <w:p w14:paraId="124BA1B1"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Erasto, P., &amp; </w:t>
      </w:r>
      <w:proofErr w:type="spellStart"/>
      <w:r w:rsidRPr="00EF6EA4">
        <w:rPr>
          <w:rFonts w:ascii="Times New Roman" w:hAnsi="Times New Roman" w:cs="Times New Roman"/>
        </w:rPr>
        <w:t>Tshikalange</w:t>
      </w:r>
      <w:proofErr w:type="spellEnd"/>
      <w:r w:rsidRPr="00EF6EA4">
        <w:rPr>
          <w:rFonts w:ascii="Times New Roman" w:hAnsi="Times New Roman" w:cs="Times New Roman"/>
        </w:rPr>
        <w:t>, T. E. (2010). Antioxidant and HPTLC profile of the leaf and fruit extracts of Lagenaria siceraria. International Journal of Biological and Chemical Sciences, 4(6).</w:t>
      </w:r>
    </w:p>
    <w:p w14:paraId="3F352D99"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Erukainure</w:t>
      </w:r>
      <w:proofErr w:type="spellEnd"/>
      <w:r w:rsidRPr="00EF6EA4">
        <w:rPr>
          <w:rFonts w:ascii="Times New Roman" w:hAnsi="Times New Roman" w:cs="Times New Roman"/>
        </w:rPr>
        <w:t xml:space="preserve">, O. L., </w:t>
      </w:r>
      <w:proofErr w:type="spellStart"/>
      <w:r w:rsidRPr="00EF6EA4">
        <w:rPr>
          <w:rFonts w:ascii="Times New Roman" w:hAnsi="Times New Roman" w:cs="Times New Roman"/>
        </w:rPr>
        <w:t>Ebuehi</w:t>
      </w:r>
      <w:proofErr w:type="spellEnd"/>
      <w:r w:rsidRPr="00EF6EA4">
        <w:rPr>
          <w:rFonts w:ascii="Times New Roman" w:hAnsi="Times New Roman" w:cs="Times New Roman"/>
        </w:rPr>
        <w:t xml:space="preserve">, O. A., Adeboyejo, F. O., Aliyu, M., &amp; </w:t>
      </w:r>
      <w:proofErr w:type="spellStart"/>
      <w:r w:rsidRPr="00EF6EA4">
        <w:rPr>
          <w:rFonts w:ascii="Times New Roman" w:hAnsi="Times New Roman" w:cs="Times New Roman"/>
        </w:rPr>
        <w:t>Elemo</w:t>
      </w:r>
      <w:proofErr w:type="spellEnd"/>
      <w:r w:rsidRPr="00EF6EA4">
        <w:rPr>
          <w:rFonts w:ascii="Times New Roman" w:hAnsi="Times New Roman" w:cs="Times New Roman"/>
        </w:rPr>
        <w:t xml:space="preserve">, G. N. (2013). </w:t>
      </w:r>
      <w:proofErr w:type="spellStart"/>
      <w:r w:rsidRPr="00EF6EA4">
        <w:rPr>
          <w:rFonts w:ascii="Times New Roman" w:hAnsi="Times New Roman" w:cs="Times New Roman"/>
        </w:rPr>
        <w:t>Hematological</w:t>
      </w:r>
      <w:proofErr w:type="spellEnd"/>
      <w:r w:rsidRPr="00EF6EA4">
        <w:rPr>
          <w:rFonts w:ascii="Times New Roman" w:hAnsi="Times New Roman" w:cs="Times New Roman"/>
        </w:rPr>
        <w:t xml:space="preserve"> and biochemical changes in diabetic rats fed with </w:t>
      </w:r>
      <w:proofErr w:type="spellStart"/>
      <w:r w:rsidRPr="00EF6EA4">
        <w:rPr>
          <w:rFonts w:ascii="Times New Roman" w:hAnsi="Times New Roman" w:cs="Times New Roman"/>
        </w:rPr>
        <w:t>fiber</w:t>
      </w:r>
      <w:proofErr w:type="spellEnd"/>
      <w:r w:rsidRPr="00EF6EA4">
        <w:rPr>
          <w:rFonts w:ascii="Times New Roman" w:hAnsi="Times New Roman" w:cs="Times New Roman"/>
        </w:rPr>
        <w:t>-enriched cake. Journal of Acute Medicine, 3(2), 39-44.</w:t>
      </w:r>
    </w:p>
    <w:p w14:paraId="7B136DC7"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Etim, N. N., Williams, M. E., Akpabio, U., &amp; Offiong, E. E. (2014). Haematological parameters and factors affecting their values. Agricultural science, 2(1), 37-47.</w:t>
      </w:r>
    </w:p>
    <w:p w14:paraId="27C55679"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Eze, J. I., </w:t>
      </w:r>
      <w:proofErr w:type="spellStart"/>
      <w:r w:rsidRPr="00EF6EA4">
        <w:rPr>
          <w:rFonts w:ascii="Times New Roman" w:hAnsi="Times New Roman" w:cs="Times New Roman"/>
        </w:rPr>
        <w:t>Onunkwo</w:t>
      </w:r>
      <w:proofErr w:type="spellEnd"/>
      <w:r w:rsidRPr="00EF6EA4">
        <w:rPr>
          <w:rFonts w:ascii="Times New Roman" w:hAnsi="Times New Roman" w:cs="Times New Roman"/>
        </w:rPr>
        <w:t xml:space="preserve">, J. I., </w:t>
      </w:r>
      <w:proofErr w:type="spellStart"/>
      <w:r w:rsidRPr="00EF6EA4">
        <w:rPr>
          <w:rFonts w:ascii="Times New Roman" w:hAnsi="Times New Roman" w:cs="Times New Roman"/>
        </w:rPr>
        <w:t>Shoyinka</w:t>
      </w:r>
      <w:proofErr w:type="spellEnd"/>
      <w:r w:rsidRPr="00EF6EA4">
        <w:rPr>
          <w:rFonts w:ascii="Times New Roman" w:hAnsi="Times New Roman" w:cs="Times New Roman"/>
        </w:rPr>
        <w:t xml:space="preserve">, S. V. O., Chah, F. K., </w:t>
      </w:r>
      <w:proofErr w:type="spellStart"/>
      <w:r w:rsidRPr="00EF6EA4">
        <w:rPr>
          <w:rFonts w:ascii="Times New Roman" w:hAnsi="Times New Roman" w:cs="Times New Roman"/>
        </w:rPr>
        <w:t>Ngene</w:t>
      </w:r>
      <w:proofErr w:type="spellEnd"/>
      <w:r w:rsidRPr="00EF6EA4">
        <w:rPr>
          <w:rFonts w:ascii="Times New Roman" w:hAnsi="Times New Roman" w:cs="Times New Roman"/>
        </w:rPr>
        <w:t xml:space="preserve">, A. A., </w:t>
      </w:r>
      <w:proofErr w:type="spellStart"/>
      <w:r w:rsidRPr="00EF6EA4">
        <w:rPr>
          <w:rFonts w:ascii="Times New Roman" w:hAnsi="Times New Roman" w:cs="Times New Roman"/>
        </w:rPr>
        <w:t>Okolinta</w:t>
      </w:r>
      <w:proofErr w:type="spellEnd"/>
      <w:r w:rsidRPr="00EF6EA4">
        <w:rPr>
          <w:rFonts w:ascii="Times New Roman" w:hAnsi="Times New Roman" w:cs="Times New Roman"/>
        </w:rPr>
        <w:t xml:space="preserve">, N., ... &amp; </w:t>
      </w:r>
      <w:proofErr w:type="spellStart"/>
      <w:r w:rsidRPr="00EF6EA4">
        <w:rPr>
          <w:rFonts w:ascii="Times New Roman" w:hAnsi="Times New Roman" w:cs="Times New Roman"/>
        </w:rPr>
        <w:t>Onyenwe</w:t>
      </w:r>
      <w:proofErr w:type="spellEnd"/>
      <w:r w:rsidRPr="00EF6EA4">
        <w:rPr>
          <w:rFonts w:ascii="Times New Roman" w:hAnsi="Times New Roman" w:cs="Times New Roman"/>
        </w:rPr>
        <w:t>, I. W. (2010). Haematological profiles of pigs raised under intensive management system in South-Eastern Nigeria. Nigerian Veterinary Journal, 31(2).</w:t>
      </w:r>
    </w:p>
    <w:p w14:paraId="10CA34A1" w14:textId="75AF56E8"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Fernández, A. C., Pintor de la Maza, B., </w:t>
      </w:r>
      <w:proofErr w:type="spellStart"/>
      <w:r w:rsidRPr="00EF6EA4">
        <w:rPr>
          <w:rFonts w:ascii="Times New Roman" w:hAnsi="Times New Roman" w:cs="Times New Roman"/>
        </w:rPr>
        <w:t>Casariego</w:t>
      </w:r>
      <w:proofErr w:type="spellEnd"/>
      <w:r w:rsidRPr="00EF6EA4">
        <w:rPr>
          <w:rFonts w:ascii="Times New Roman" w:hAnsi="Times New Roman" w:cs="Times New Roman"/>
        </w:rPr>
        <w:t xml:space="preserve">, A. V., </w:t>
      </w:r>
      <w:proofErr w:type="spellStart"/>
      <w:r w:rsidRPr="00EF6EA4">
        <w:rPr>
          <w:rFonts w:ascii="Times New Roman" w:hAnsi="Times New Roman" w:cs="Times New Roman"/>
        </w:rPr>
        <w:t>Taibo</w:t>
      </w:r>
      <w:proofErr w:type="spellEnd"/>
      <w:r w:rsidRPr="00EF6EA4">
        <w:rPr>
          <w:rFonts w:ascii="Times New Roman" w:hAnsi="Times New Roman" w:cs="Times New Roman"/>
        </w:rPr>
        <w:t xml:space="preserve">, R. V., Gómez, J. J. L., Rodríguez, I. C., &amp; Pomar, M. D. B. (2015). Food intake and nutritional status influence outcomes in hospitalized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-oncology patients. </w:t>
      </w:r>
      <w:proofErr w:type="spellStart"/>
      <w:r w:rsidRPr="00EF6EA4">
        <w:rPr>
          <w:rFonts w:ascii="Times New Roman" w:hAnsi="Times New Roman" w:cs="Times New Roman"/>
        </w:rPr>
        <w:t>Nutrición</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Hospitalaria</w:t>
      </w:r>
      <w:proofErr w:type="spellEnd"/>
      <w:r w:rsidRPr="00EF6EA4">
        <w:rPr>
          <w:rFonts w:ascii="Times New Roman" w:hAnsi="Times New Roman" w:cs="Times New Roman"/>
        </w:rPr>
        <w:t xml:space="preserve">, 31(6), 2598–2605. </w:t>
      </w:r>
    </w:p>
    <w:p w14:paraId="6F958BA6"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Gokuldas</w:t>
      </w:r>
      <w:proofErr w:type="spellEnd"/>
      <w:r w:rsidRPr="00EF6EA4">
        <w:rPr>
          <w:rFonts w:ascii="Times New Roman" w:hAnsi="Times New Roman" w:cs="Times New Roman"/>
        </w:rPr>
        <w:t xml:space="preserve">, P. P., </w:t>
      </w:r>
      <w:proofErr w:type="spellStart"/>
      <w:r w:rsidRPr="00EF6EA4">
        <w:rPr>
          <w:rFonts w:ascii="Times New Roman" w:hAnsi="Times New Roman" w:cs="Times New Roman"/>
        </w:rPr>
        <w:t>Tamuli</w:t>
      </w:r>
      <w:proofErr w:type="spellEnd"/>
      <w:r w:rsidRPr="00EF6EA4">
        <w:rPr>
          <w:rFonts w:ascii="Times New Roman" w:hAnsi="Times New Roman" w:cs="Times New Roman"/>
        </w:rPr>
        <w:t>, M. K., Mohan, N. H., Barman, K., &amp; Sahoo, N. R. (2015). A comparative analysis of reproductive performance of different pig breeds under intensive management systems in sub-tropical climate. Indian Journal of Animal Sciences, 85(9), 1042-45.</w:t>
      </w:r>
    </w:p>
    <w:p w14:paraId="304DC473" w14:textId="6406AFDD"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Gopinathan, A., et al. (2011). Survival of indigenous pigs under intensive farming in an organised farm in Tamil Nadu, India. Pig Journal, 65(13), 19-22.</w:t>
      </w:r>
    </w:p>
    <w:p w14:paraId="2D7AFAB3"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Haddad, E. H., Berk, L. S., Kettering, J. D., Hubbard, R. W., &amp; Peters, W. R. (1999). Dietary intake and biochemical, hematologic, and immune status of vegans compared with nonvegetarians. The American journal of clinical nutrition, 70(3), 586S-593S.</w:t>
      </w:r>
    </w:p>
    <w:p w14:paraId="5EE1F07E" w14:textId="77777777" w:rsidR="00EC3800" w:rsidRPr="00EF6EA4" w:rsidRDefault="00EC3800"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Jain, N. C. (1986). Normal values in blood of laboratory, fur-bearing, and miscellaneous zoo, domestic, and wild animals. </w:t>
      </w:r>
      <w:proofErr w:type="spellStart"/>
      <w:r w:rsidRPr="00EF6EA4">
        <w:rPr>
          <w:rFonts w:ascii="Times New Roman" w:hAnsi="Times New Roman" w:cs="Times New Roman"/>
        </w:rPr>
        <w:t>Schalm’s</w:t>
      </w:r>
      <w:proofErr w:type="spellEnd"/>
      <w:r w:rsidRPr="00EF6EA4">
        <w:rPr>
          <w:rFonts w:ascii="Times New Roman" w:hAnsi="Times New Roman" w:cs="Times New Roman"/>
        </w:rPr>
        <w:t xml:space="preserve"> Veterinary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4th ed. Ed NC Jain. Philadelphia, Lea &amp; </w:t>
      </w:r>
      <w:proofErr w:type="spellStart"/>
      <w:r w:rsidRPr="00EF6EA4">
        <w:rPr>
          <w:rFonts w:ascii="Times New Roman" w:hAnsi="Times New Roman" w:cs="Times New Roman"/>
        </w:rPr>
        <w:t>Febiger</w:t>
      </w:r>
      <w:proofErr w:type="spellEnd"/>
      <w:r w:rsidRPr="00EF6EA4">
        <w:rPr>
          <w:rFonts w:ascii="Times New Roman" w:hAnsi="Times New Roman" w:cs="Times New Roman"/>
        </w:rPr>
        <w:t>, 337.</w:t>
      </w:r>
    </w:p>
    <w:p w14:paraId="1B0D7A29" w14:textId="20B210CB"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John, A. O. and </w:t>
      </w:r>
      <w:proofErr w:type="spellStart"/>
      <w:r w:rsidRPr="00EF6EA4">
        <w:rPr>
          <w:rFonts w:ascii="Times New Roman" w:hAnsi="Times New Roman" w:cs="Times New Roman"/>
        </w:rPr>
        <w:t>Anorue</w:t>
      </w:r>
      <w:proofErr w:type="spellEnd"/>
      <w:r w:rsidRPr="00EF6EA4">
        <w:rPr>
          <w:rFonts w:ascii="Times New Roman" w:hAnsi="Times New Roman" w:cs="Times New Roman"/>
        </w:rPr>
        <w:t xml:space="preserve">, D. N. </w:t>
      </w:r>
      <w:r w:rsidR="006861D7" w:rsidRPr="00EF6EA4">
        <w:rPr>
          <w:rFonts w:ascii="Times New Roman" w:hAnsi="Times New Roman" w:cs="Times New Roman"/>
        </w:rPr>
        <w:t>(</w:t>
      </w:r>
      <w:r w:rsidRPr="00EF6EA4">
        <w:rPr>
          <w:rFonts w:ascii="Times New Roman" w:hAnsi="Times New Roman" w:cs="Times New Roman"/>
        </w:rPr>
        <w:t>2023</w:t>
      </w:r>
      <w:r w:rsidR="006861D7" w:rsidRPr="00EF6EA4">
        <w:rPr>
          <w:rFonts w:ascii="Times New Roman" w:hAnsi="Times New Roman" w:cs="Times New Roman"/>
        </w:rPr>
        <w:t>)</w:t>
      </w:r>
      <w:r w:rsidRPr="00EF6EA4">
        <w:rPr>
          <w:rFonts w:ascii="Times New Roman" w:hAnsi="Times New Roman" w:cs="Times New Roman"/>
        </w:rPr>
        <w:t xml:space="preserve">. Effect of </w:t>
      </w:r>
      <w:proofErr w:type="spellStart"/>
      <w:r w:rsidRPr="00EF6EA4">
        <w:rPr>
          <w:rFonts w:ascii="Times New Roman" w:hAnsi="Times New Roman" w:cs="Times New Roman"/>
        </w:rPr>
        <w:t>Doun</w:t>
      </w:r>
      <w:proofErr w:type="spellEnd"/>
      <w:r w:rsidRPr="00EF6EA4">
        <w:rPr>
          <w:rFonts w:ascii="Times New Roman" w:hAnsi="Times New Roman" w:cs="Times New Roman"/>
        </w:rPr>
        <w:t xml:space="preserve"> Palm Mesocarp Meal (Hyphaene </w:t>
      </w:r>
      <w:proofErr w:type="spellStart"/>
      <w:r w:rsidRPr="00EF6EA4">
        <w:rPr>
          <w:rFonts w:ascii="Times New Roman" w:hAnsi="Times New Roman" w:cs="Times New Roman"/>
        </w:rPr>
        <w:t>Thebaica</w:t>
      </w:r>
      <w:proofErr w:type="spellEnd"/>
      <w:r w:rsidRPr="00EF6EA4">
        <w:rPr>
          <w:rFonts w:ascii="Times New Roman" w:hAnsi="Times New Roman" w:cs="Times New Roman"/>
        </w:rPr>
        <w:t>) As Partial Replacement for Maize on Growth Performance and Haematological Indices of Weaned Pigs. Journal of Biotechnology &amp; Bioinformatics Research</w:t>
      </w:r>
      <w:r w:rsidR="00EC3800" w:rsidRPr="00EF6EA4">
        <w:rPr>
          <w:rFonts w:ascii="Times New Roman" w:hAnsi="Times New Roman" w:cs="Times New Roman"/>
        </w:rPr>
        <w:t>,</w:t>
      </w:r>
      <w:r w:rsidRPr="00EF6EA4">
        <w:rPr>
          <w:rFonts w:ascii="Times New Roman" w:hAnsi="Times New Roman" w:cs="Times New Roman"/>
        </w:rPr>
        <w:t xml:space="preserve"> 167(5)</w:t>
      </w:r>
      <w:r w:rsidR="00EC3800" w:rsidRPr="00EF6EA4">
        <w:rPr>
          <w:rFonts w:ascii="Times New Roman" w:hAnsi="Times New Roman" w:cs="Times New Roman"/>
        </w:rPr>
        <w:t>,</w:t>
      </w:r>
      <w:r w:rsidRPr="00EF6EA4">
        <w:rPr>
          <w:rFonts w:ascii="Times New Roman" w:hAnsi="Times New Roman" w:cs="Times New Roman"/>
        </w:rPr>
        <w:t xml:space="preserve"> 2-6.</w:t>
      </w:r>
    </w:p>
    <w:p w14:paraId="6F14262C" w14:textId="147F45A9"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K, Kumar, S. V., </w:t>
      </w:r>
      <w:proofErr w:type="spellStart"/>
      <w:r w:rsidRPr="00EF6EA4">
        <w:rPr>
          <w:rFonts w:ascii="Times New Roman" w:hAnsi="Times New Roman" w:cs="Times New Roman"/>
        </w:rPr>
        <w:t>Balasubramanyam</w:t>
      </w:r>
      <w:proofErr w:type="spellEnd"/>
      <w:r w:rsidRPr="00EF6EA4">
        <w:rPr>
          <w:rFonts w:ascii="Times New Roman" w:hAnsi="Times New Roman" w:cs="Times New Roman"/>
        </w:rPr>
        <w:t xml:space="preserve">, D., Senthil, N. R., Manju, G. </w:t>
      </w:r>
      <w:r w:rsidR="00EE708F" w:rsidRPr="00EF6EA4">
        <w:rPr>
          <w:rFonts w:ascii="Times New Roman" w:hAnsi="Times New Roman" w:cs="Times New Roman"/>
        </w:rPr>
        <w:t>&amp;</w:t>
      </w:r>
      <w:r w:rsidRPr="00EF6EA4">
        <w:rPr>
          <w:rFonts w:ascii="Times New Roman" w:hAnsi="Times New Roman" w:cs="Times New Roman"/>
        </w:rPr>
        <w:t xml:space="preserve"> Gopi, H. (2017). Serum biochemical profile of indigenous pigs in Tamil Nadu. International Journal of Chemical Studies, 5 (4)</w:t>
      </w:r>
      <w:r w:rsidR="00EE708F" w:rsidRPr="00EF6EA4">
        <w:rPr>
          <w:rFonts w:ascii="Times New Roman" w:hAnsi="Times New Roman" w:cs="Times New Roman"/>
        </w:rPr>
        <w:t>,</w:t>
      </w:r>
      <w:r w:rsidRPr="00EF6EA4">
        <w:rPr>
          <w:rFonts w:ascii="Times New Roman" w:hAnsi="Times New Roman" w:cs="Times New Roman"/>
        </w:rPr>
        <w:t xml:space="preserve"> 243-245.</w:t>
      </w:r>
    </w:p>
    <w:p w14:paraId="7309576C" w14:textId="71A0268E"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Kadir, M. F., Bin Sayeed, M. S., Setu, N. I., Mostafa, A., &amp; Mia, M. M. (2014). Ethnopharmacological survey of medicinal plants used by traditional health practitioners in </w:t>
      </w:r>
      <w:proofErr w:type="spellStart"/>
      <w:r w:rsidRPr="00EF6EA4">
        <w:rPr>
          <w:rFonts w:ascii="Times New Roman" w:hAnsi="Times New Roman" w:cs="Times New Roman"/>
        </w:rPr>
        <w:t>Thanchi</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Bandarban</w:t>
      </w:r>
      <w:proofErr w:type="spellEnd"/>
      <w:r w:rsidRPr="00EF6EA4">
        <w:rPr>
          <w:rFonts w:ascii="Times New Roman" w:hAnsi="Times New Roman" w:cs="Times New Roman"/>
        </w:rPr>
        <w:t xml:space="preserve"> Hill Tracts, Bangladesh. Journal of Ethnopharmacology, 155(1), 495–508. </w:t>
      </w:r>
    </w:p>
    <w:p w14:paraId="5EC26BD2" w14:textId="46384A47" w:rsidR="00EE708F" w:rsidRPr="00EF6EA4" w:rsidRDefault="00EE708F"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lastRenderedPageBreak/>
        <w:t xml:space="preserve">Karunakaran, M., Mondal, M., Rajarajan, K., Karmakar, H. D., Bhat, B. P., Das, J., &amp; Rajkhowa, C. (2009). Early puberty in local Naga boar of India: Assessment through epididymal </w:t>
      </w:r>
      <w:proofErr w:type="spellStart"/>
      <w:r w:rsidRPr="00EF6EA4">
        <w:rPr>
          <w:rFonts w:ascii="Times New Roman" w:hAnsi="Times New Roman" w:cs="Times New Roman"/>
        </w:rPr>
        <w:t>spermiogram</w:t>
      </w:r>
      <w:proofErr w:type="spellEnd"/>
      <w:r w:rsidRPr="00EF6EA4">
        <w:rPr>
          <w:rFonts w:ascii="Times New Roman" w:hAnsi="Times New Roman" w:cs="Times New Roman"/>
        </w:rPr>
        <w:t xml:space="preserve"> and in vivo pregnancy. Animal reproduction science, 111(1), 112-119.</w:t>
      </w:r>
    </w:p>
    <w:p w14:paraId="3997B63F" w14:textId="2D79C050"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Kumaresan, A., </w:t>
      </w:r>
      <w:proofErr w:type="spellStart"/>
      <w:r w:rsidRPr="00EF6EA4">
        <w:rPr>
          <w:rFonts w:ascii="Times New Roman" w:hAnsi="Times New Roman" w:cs="Times New Roman"/>
        </w:rPr>
        <w:t>Bujarbaruah</w:t>
      </w:r>
      <w:proofErr w:type="spellEnd"/>
      <w:r w:rsidRPr="00EF6EA4">
        <w:rPr>
          <w:rFonts w:ascii="Times New Roman" w:hAnsi="Times New Roman" w:cs="Times New Roman"/>
        </w:rPr>
        <w:t xml:space="preserve">, K. M., Pathak, K. A., Chhetri, K., Das, S. K., Das, A. </w:t>
      </w:r>
      <w:r w:rsidR="00EE708F" w:rsidRPr="00EF6EA4">
        <w:rPr>
          <w:rFonts w:ascii="Times New Roman" w:hAnsi="Times New Roman" w:cs="Times New Roman"/>
        </w:rPr>
        <w:t>&amp;</w:t>
      </w:r>
      <w:r w:rsidRPr="00EF6EA4">
        <w:rPr>
          <w:rFonts w:ascii="Times New Roman" w:hAnsi="Times New Roman" w:cs="Times New Roman"/>
        </w:rPr>
        <w:t xml:space="preserve"> Ahmed, S. K. (2007). Performance of pigs reared under traditional tribal low input production system and chemical composition of non-conventional tropical plants used as pig feed. Livestock Science, 107</w:t>
      </w:r>
      <w:r w:rsidR="00EE708F" w:rsidRPr="00EF6EA4">
        <w:rPr>
          <w:rFonts w:ascii="Times New Roman" w:hAnsi="Times New Roman" w:cs="Times New Roman"/>
        </w:rPr>
        <w:t>,</w:t>
      </w:r>
      <w:r w:rsidRPr="00EF6EA4">
        <w:rPr>
          <w:rFonts w:ascii="Times New Roman" w:hAnsi="Times New Roman" w:cs="Times New Roman"/>
        </w:rPr>
        <w:t xml:space="preserve"> 294-298.</w:t>
      </w:r>
    </w:p>
    <w:p w14:paraId="0C375A7E" w14:textId="32D38D50"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Lavy, A., Fuhrman, B., Markel, A., Dankner, G., Ben-Amotz, A., Presser, D., &amp; Aviram, M. (1994). Effect of dietary supplementation of red or white wine on human blood chemistry,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and coagulation: </w:t>
      </w:r>
      <w:proofErr w:type="spellStart"/>
      <w:r w:rsidRPr="00EF6EA4">
        <w:rPr>
          <w:rFonts w:ascii="Times New Roman" w:hAnsi="Times New Roman" w:cs="Times New Roman"/>
        </w:rPr>
        <w:t>Favorable</w:t>
      </w:r>
      <w:proofErr w:type="spellEnd"/>
      <w:r w:rsidRPr="00EF6EA4">
        <w:rPr>
          <w:rFonts w:ascii="Times New Roman" w:hAnsi="Times New Roman" w:cs="Times New Roman"/>
        </w:rPr>
        <w:t xml:space="preserve"> effect of red wine on plasma high-density lipoprotein. Annals of Nutrition and Metabolism, 38(5), 287–294. </w:t>
      </w:r>
    </w:p>
    <w:p w14:paraId="429751D0" w14:textId="6A82A13D" w:rsidR="007F448D" w:rsidRPr="00EF6EA4" w:rsidRDefault="007F448D"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Mayengbam</w:t>
      </w:r>
      <w:proofErr w:type="spellEnd"/>
      <w:r w:rsidRPr="00EF6EA4">
        <w:rPr>
          <w:rFonts w:ascii="Times New Roman" w:hAnsi="Times New Roman" w:cs="Times New Roman"/>
        </w:rPr>
        <w:t xml:space="preserve">, P. and </w:t>
      </w:r>
      <w:proofErr w:type="spellStart"/>
      <w:r w:rsidRPr="00EF6EA4">
        <w:rPr>
          <w:rFonts w:ascii="Times New Roman" w:hAnsi="Times New Roman" w:cs="Times New Roman"/>
        </w:rPr>
        <w:t>Tolenkhomba</w:t>
      </w:r>
      <w:proofErr w:type="spellEnd"/>
      <w:r w:rsidRPr="00EF6EA4">
        <w:rPr>
          <w:rFonts w:ascii="Times New Roman" w:hAnsi="Times New Roman" w:cs="Times New Roman"/>
        </w:rPr>
        <w:t xml:space="preserve">, T. C. (2015). Seasonal variation of </w:t>
      </w:r>
      <w:proofErr w:type="spellStart"/>
      <w:r w:rsidRPr="00EF6EA4">
        <w:rPr>
          <w:rFonts w:ascii="Times New Roman" w:hAnsi="Times New Roman" w:cs="Times New Roman"/>
        </w:rPr>
        <w:t>hemato</w:t>
      </w:r>
      <w:proofErr w:type="spellEnd"/>
      <w:r w:rsidRPr="00EF6EA4">
        <w:rPr>
          <w:rFonts w:ascii="Times New Roman" w:hAnsi="Times New Roman" w:cs="Times New Roman"/>
        </w:rPr>
        <w:t xml:space="preserve">-biochemical parameters in indigenous pig: </w:t>
      </w:r>
      <w:proofErr w:type="spellStart"/>
      <w:r w:rsidRPr="00EF6EA4">
        <w:rPr>
          <w:rFonts w:ascii="Times New Roman" w:hAnsi="Times New Roman" w:cs="Times New Roman"/>
        </w:rPr>
        <w:t>Zovawk</w:t>
      </w:r>
      <w:proofErr w:type="spellEnd"/>
      <w:r w:rsidRPr="00EF6EA4">
        <w:rPr>
          <w:rFonts w:ascii="Times New Roman" w:hAnsi="Times New Roman" w:cs="Times New Roman"/>
        </w:rPr>
        <w:t xml:space="preserve"> of Mizoram. Veterinary World, 7 (7)</w:t>
      </w:r>
      <w:r w:rsidR="00EE708F" w:rsidRPr="00EF6EA4">
        <w:rPr>
          <w:rFonts w:ascii="Times New Roman" w:hAnsi="Times New Roman" w:cs="Times New Roman"/>
        </w:rPr>
        <w:t>,</w:t>
      </w:r>
      <w:r w:rsidRPr="00EF6EA4">
        <w:rPr>
          <w:rFonts w:ascii="Times New Roman" w:hAnsi="Times New Roman" w:cs="Times New Roman"/>
        </w:rPr>
        <w:t xml:space="preserve"> 505-508.</w:t>
      </w:r>
    </w:p>
    <w:p w14:paraId="422A81B0" w14:textId="68C0A2ED" w:rsidR="007F448D" w:rsidRPr="00EF6EA4" w:rsidRDefault="007F448D"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Mayengbam</w:t>
      </w:r>
      <w:proofErr w:type="spellEnd"/>
      <w:r w:rsidRPr="00EF6EA4">
        <w:rPr>
          <w:rFonts w:ascii="Times New Roman" w:hAnsi="Times New Roman" w:cs="Times New Roman"/>
        </w:rPr>
        <w:t xml:space="preserve">, P., </w:t>
      </w:r>
      <w:proofErr w:type="spellStart"/>
      <w:r w:rsidRPr="00EF6EA4">
        <w:rPr>
          <w:rFonts w:ascii="Times New Roman" w:hAnsi="Times New Roman" w:cs="Times New Roman"/>
        </w:rPr>
        <w:t>Tolenkhomba</w:t>
      </w:r>
      <w:proofErr w:type="spellEnd"/>
      <w:r w:rsidRPr="00EF6EA4">
        <w:rPr>
          <w:rFonts w:ascii="Times New Roman" w:hAnsi="Times New Roman" w:cs="Times New Roman"/>
        </w:rPr>
        <w:t xml:space="preserve">, T. C.  and Ayub, Ali, M.  (2014).  </w:t>
      </w:r>
      <w:proofErr w:type="spellStart"/>
      <w:r w:rsidRPr="00EF6EA4">
        <w:rPr>
          <w:rFonts w:ascii="Times New Roman" w:hAnsi="Times New Roman" w:cs="Times New Roman"/>
        </w:rPr>
        <w:t>Hematological</w:t>
      </w:r>
      <w:proofErr w:type="spellEnd"/>
      <w:r w:rsidRPr="00EF6EA4">
        <w:rPr>
          <w:rFonts w:ascii="Times New Roman" w:hAnsi="Times New Roman" w:cs="Times New Roman"/>
        </w:rPr>
        <w:t xml:space="preserve"> profile of </w:t>
      </w:r>
      <w:proofErr w:type="spellStart"/>
      <w:r w:rsidRPr="00EF6EA4">
        <w:rPr>
          <w:rFonts w:ascii="Times New Roman" w:hAnsi="Times New Roman" w:cs="Times New Roman"/>
        </w:rPr>
        <w:t>Zovawk</w:t>
      </w:r>
      <w:proofErr w:type="spellEnd"/>
      <w:r w:rsidRPr="00EF6EA4">
        <w:rPr>
          <w:rFonts w:ascii="Times New Roman" w:hAnsi="Times New Roman" w:cs="Times New Roman"/>
        </w:rPr>
        <w:t>- an indigenous pig of Mizoram. Veterinary World, 8 (6)</w:t>
      </w:r>
      <w:r w:rsidR="00EE708F" w:rsidRPr="00EF6EA4">
        <w:rPr>
          <w:rFonts w:ascii="Times New Roman" w:hAnsi="Times New Roman" w:cs="Times New Roman"/>
        </w:rPr>
        <w:t>,</w:t>
      </w:r>
      <w:r w:rsidRPr="00EF6EA4">
        <w:rPr>
          <w:rFonts w:ascii="Times New Roman" w:hAnsi="Times New Roman" w:cs="Times New Roman"/>
        </w:rPr>
        <w:t xml:space="preserve"> 732-737.</w:t>
      </w:r>
    </w:p>
    <w:p w14:paraId="73BE10B4" w14:textId="77777777"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Mili, B., </w:t>
      </w:r>
      <w:proofErr w:type="spellStart"/>
      <w:r w:rsidRPr="00EF6EA4">
        <w:rPr>
          <w:rFonts w:ascii="Times New Roman" w:hAnsi="Times New Roman" w:cs="Times New Roman"/>
        </w:rPr>
        <w:t>Laltlankimi</w:t>
      </w:r>
      <w:proofErr w:type="spellEnd"/>
      <w:r w:rsidRPr="00EF6EA4">
        <w:rPr>
          <w:rFonts w:ascii="Times New Roman" w:hAnsi="Times New Roman" w:cs="Times New Roman"/>
        </w:rPr>
        <w:t xml:space="preserve">, C. T., Devi, R. M., </w:t>
      </w:r>
      <w:proofErr w:type="spellStart"/>
      <w:r w:rsidRPr="00EF6EA4">
        <w:rPr>
          <w:rFonts w:ascii="Times New Roman" w:hAnsi="Times New Roman" w:cs="Times New Roman"/>
        </w:rPr>
        <w:t>Ralte</w:t>
      </w:r>
      <w:proofErr w:type="spellEnd"/>
      <w:r w:rsidRPr="00EF6EA4">
        <w:rPr>
          <w:rFonts w:ascii="Times New Roman" w:hAnsi="Times New Roman" w:cs="Times New Roman"/>
        </w:rPr>
        <w:t xml:space="preserve">, L., Yore, K., &amp; Gogoi, A. (2020). Haematology and Serum Biochemical Profiles of Indigenous </w:t>
      </w:r>
      <w:proofErr w:type="spellStart"/>
      <w:r w:rsidRPr="00EF6EA4">
        <w:rPr>
          <w:rFonts w:ascii="Times New Roman" w:hAnsi="Times New Roman" w:cs="Times New Roman"/>
        </w:rPr>
        <w:t>Tenyi-vo</w:t>
      </w:r>
      <w:proofErr w:type="spellEnd"/>
      <w:r w:rsidRPr="00EF6EA4">
        <w:rPr>
          <w:rFonts w:ascii="Times New Roman" w:hAnsi="Times New Roman" w:cs="Times New Roman"/>
        </w:rPr>
        <w:t xml:space="preserve"> Pigs of Nagaland. International Journal of Livestock Research, 10(10), 130-136.</w:t>
      </w:r>
    </w:p>
    <w:p w14:paraId="5D93CC70" w14:textId="77777777" w:rsidR="007F448D" w:rsidRPr="00EF6EA4" w:rsidRDefault="007F448D"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Mitruka</w:t>
      </w:r>
      <w:proofErr w:type="spellEnd"/>
      <w:r w:rsidRPr="00EF6EA4">
        <w:rPr>
          <w:rFonts w:ascii="Times New Roman" w:hAnsi="Times New Roman" w:cs="Times New Roman"/>
        </w:rPr>
        <w:t xml:space="preserve">, B. M., and H. M. Rawnsley (1979). Chemical, Biochemical and Haematological reference values in normal experimental animals. 1st </w:t>
      </w:r>
      <w:proofErr w:type="spellStart"/>
      <w:r w:rsidRPr="00EF6EA4">
        <w:rPr>
          <w:rFonts w:ascii="Times New Roman" w:hAnsi="Times New Roman" w:cs="Times New Roman"/>
        </w:rPr>
        <w:t>Edn</w:t>
      </w:r>
      <w:proofErr w:type="spellEnd"/>
      <w:r w:rsidRPr="00EF6EA4">
        <w:rPr>
          <w:rFonts w:ascii="Times New Roman" w:hAnsi="Times New Roman" w:cs="Times New Roman"/>
        </w:rPr>
        <w:t xml:space="preserve">. Masson. </w:t>
      </w:r>
      <w:proofErr w:type="spellStart"/>
      <w:r w:rsidRPr="00EF6EA4">
        <w:rPr>
          <w:rFonts w:ascii="Times New Roman" w:hAnsi="Times New Roman" w:cs="Times New Roman"/>
        </w:rPr>
        <w:t>Rubling</w:t>
      </w:r>
      <w:proofErr w:type="spellEnd"/>
      <w:r w:rsidRPr="00EF6EA4">
        <w:rPr>
          <w:rFonts w:ascii="Times New Roman" w:hAnsi="Times New Roman" w:cs="Times New Roman"/>
        </w:rPr>
        <w:t>. 88 – 90.</w:t>
      </w:r>
    </w:p>
    <w:p w14:paraId="0A16D90E" w14:textId="59E1E69A"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Mohana, N. H., Debnath, S., Mahapatra, R. K., Nayak, L. K., Baruah, S., Das, A., Banik, S. </w:t>
      </w:r>
      <w:r w:rsidR="000C669B" w:rsidRPr="00EF6EA4">
        <w:rPr>
          <w:rFonts w:ascii="Times New Roman" w:hAnsi="Times New Roman" w:cs="Times New Roman"/>
        </w:rPr>
        <w:t xml:space="preserve">&amp; </w:t>
      </w:r>
      <w:proofErr w:type="spellStart"/>
      <w:r w:rsidRPr="00EF6EA4">
        <w:rPr>
          <w:rFonts w:ascii="Times New Roman" w:hAnsi="Times New Roman" w:cs="Times New Roman"/>
        </w:rPr>
        <w:t>Tamuli</w:t>
      </w:r>
      <w:proofErr w:type="spellEnd"/>
      <w:r w:rsidRPr="00EF6EA4">
        <w:rPr>
          <w:rFonts w:ascii="Times New Roman" w:hAnsi="Times New Roman" w:cs="Times New Roman"/>
        </w:rPr>
        <w:t xml:space="preserve">, M. K. (2014). Tensile properties of hair </w:t>
      </w:r>
      <w:proofErr w:type="spellStart"/>
      <w:r w:rsidRPr="00EF6EA4">
        <w:rPr>
          <w:rFonts w:ascii="Times New Roman" w:hAnsi="Times New Roman" w:cs="Times New Roman"/>
        </w:rPr>
        <w:t>ûbres</w:t>
      </w:r>
      <w:proofErr w:type="spellEnd"/>
      <w:r w:rsidRPr="00EF6EA4">
        <w:rPr>
          <w:rFonts w:ascii="Times New Roman" w:hAnsi="Times New Roman" w:cs="Times New Roman"/>
        </w:rPr>
        <w:t xml:space="preserve"> obtained from different breeds of pigs. Biosystems Engineering, 119</w:t>
      </w:r>
      <w:r w:rsidR="000C669B" w:rsidRPr="00EF6EA4">
        <w:rPr>
          <w:rFonts w:ascii="Times New Roman" w:hAnsi="Times New Roman" w:cs="Times New Roman"/>
        </w:rPr>
        <w:t>,</w:t>
      </w:r>
      <w:r w:rsidRPr="00EF6EA4">
        <w:rPr>
          <w:rFonts w:ascii="Times New Roman" w:hAnsi="Times New Roman" w:cs="Times New Roman"/>
        </w:rPr>
        <w:t xml:space="preserve"> 35-43.</w:t>
      </w:r>
    </w:p>
    <w:p w14:paraId="2991A4EF" w14:textId="75B5644F"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Mondal, S. K., De, U. K., Das, G. K., </w:t>
      </w:r>
      <w:proofErr w:type="spellStart"/>
      <w:r w:rsidRPr="00EF6EA4">
        <w:rPr>
          <w:rFonts w:ascii="Times New Roman" w:hAnsi="Times New Roman" w:cs="Times New Roman"/>
        </w:rPr>
        <w:t>Powde</w:t>
      </w:r>
      <w:proofErr w:type="spellEnd"/>
      <w:r w:rsidRPr="00EF6EA4">
        <w:rPr>
          <w:rFonts w:ascii="Times New Roman" w:hAnsi="Times New Roman" w:cs="Times New Roman"/>
        </w:rPr>
        <w:t xml:space="preserve">, A. M. </w:t>
      </w:r>
      <w:r w:rsidR="000C669B" w:rsidRPr="00EF6EA4">
        <w:rPr>
          <w:rFonts w:ascii="Times New Roman" w:hAnsi="Times New Roman" w:cs="Times New Roman"/>
        </w:rPr>
        <w:t>&amp;</w:t>
      </w:r>
      <w:r w:rsidRPr="00EF6EA4">
        <w:rPr>
          <w:rFonts w:ascii="Times New Roman" w:hAnsi="Times New Roman" w:cs="Times New Roman"/>
        </w:rPr>
        <w:t xml:space="preserve"> Verma, A. K. </w:t>
      </w:r>
      <w:r w:rsidR="006861D7" w:rsidRPr="00EF6EA4">
        <w:rPr>
          <w:rFonts w:ascii="Times New Roman" w:hAnsi="Times New Roman" w:cs="Times New Roman"/>
        </w:rPr>
        <w:t>(</w:t>
      </w:r>
      <w:r w:rsidRPr="00EF6EA4">
        <w:rPr>
          <w:rFonts w:ascii="Times New Roman" w:hAnsi="Times New Roman" w:cs="Times New Roman"/>
        </w:rPr>
        <w:t>2012</w:t>
      </w:r>
      <w:r w:rsidR="006861D7" w:rsidRPr="00EF6EA4">
        <w:rPr>
          <w:rFonts w:ascii="Times New Roman" w:hAnsi="Times New Roman" w:cs="Times New Roman"/>
        </w:rPr>
        <w:t>)</w:t>
      </w:r>
      <w:r w:rsidRPr="00EF6EA4">
        <w:rPr>
          <w:rFonts w:ascii="Times New Roman" w:hAnsi="Times New Roman" w:cs="Times New Roman"/>
        </w:rPr>
        <w:t>. Pattern of mortality of crossbred pigs in an organized swine production farm. Journal of Livestock Science. 3</w:t>
      </w:r>
      <w:r w:rsidR="000C669B" w:rsidRPr="00EF6EA4">
        <w:rPr>
          <w:rFonts w:ascii="Times New Roman" w:hAnsi="Times New Roman" w:cs="Times New Roman"/>
        </w:rPr>
        <w:t>,</w:t>
      </w:r>
      <w:r w:rsidRPr="00EF6EA4">
        <w:rPr>
          <w:rFonts w:ascii="Times New Roman" w:hAnsi="Times New Roman" w:cs="Times New Roman"/>
        </w:rPr>
        <w:t xml:space="preserve"> 37-44.</w:t>
      </w:r>
    </w:p>
    <w:p w14:paraId="53713D2A" w14:textId="77777777"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Morton, J. (1987). Fruits of warm climates (1st ed.). Julia F. Morton.</w:t>
      </w:r>
    </w:p>
    <w:p w14:paraId="3A445404" w14:textId="1095186A"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Nath, R., Barman, A., Sarma, S., Goswami, J., Sarmah, S. </w:t>
      </w:r>
      <w:r w:rsidR="000C669B" w:rsidRPr="00EF6EA4">
        <w:rPr>
          <w:rFonts w:ascii="Times New Roman" w:hAnsi="Times New Roman" w:cs="Times New Roman"/>
        </w:rPr>
        <w:t>&amp;</w:t>
      </w:r>
      <w:r w:rsidRPr="00EF6EA4">
        <w:rPr>
          <w:rFonts w:ascii="Times New Roman" w:hAnsi="Times New Roman" w:cs="Times New Roman"/>
        </w:rPr>
        <w:t xml:space="preserve"> Deka, I. (2017). Electrolytes and hormones profiles of Doom pigs Assam of different age groups. International Journal of Chemical Studies, 5 (2)</w:t>
      </w:r>
      <w:r w:rsidR="000C669B" w:rsidRPr="00EF6EA4">
        <w:rPr>
          <w:rFonts w:ascii="Times New Roman" w:hAnsi="Times New Roman" w:cs="Times New Roman"/>
        </w:rPr>
        <w:t>,</w:t>
      </w:r>
      <w:r w:rsidRPr="00EF6EA4">
        <w:rPr>
          <w:rFonts w:ascii="Times New Roman" w:hAnsi="Times New Roman" w:cs="Times New Roman"/>
        </w:rPr>
        <w:t xml:space="preserve"> 149-151.  </w:t>
      </w:r>
    </w:p>
    <w:p w14:paraId="6A07289B"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Ndyomugyenyi</w:t>
      </w:r>
      <w:proofErr w:type="spellEnd"/>
      <w:r w:rsidRPr="00EF6EA4">
        <w:rPr>
          <w:rFonts w:ascii="Times New Roman" w:hAnsi="Times New Roman" w:cs="Times New Roman"/>
        </w:rPr>
        <w:t xml:space="preserve">, E. K., Okot, M. W., &amp; </w:t>
      </w:r>
      <w:proofErr w:type="spellStart"/>
      <w:r w:rsidRPr="00EF6EA4">
        <w:rPr>
          <w:rFonts w:ascii="Times New Roman" w:hAnsi="Times New Roman" w:cs="Times New Roman"/>
        </w:rPr>
        <w:t>Mutetikka</w:t>
      </w:r>
      <w:proofErr w:type="spellEnd"/>
      <w:r w:rsidRPr="00EF6EA4">
        <w:rPr>
          <w:rFonts w:ascii="Times New Roman" w:hAnsi="Times New Roman" w:cs="Times New Roman"/>
        </w:rPr>
        <w:t>, D. (2014). Production and availability of Jackfruit (Artocarpus heterophyllus) and Java plum (</w:t>
      </w:r>
      <w:proofErr w:type="spellStart"/>
      <w:r w:rsidRPr="00EF6EA4">
        <w:rPr>
          <w:rFonts w:ascii="Times New Roman" w:hAnsi="Times New Roman" w:cs="Times New Roman"/>
        </w:rPr>
        <w:t>Syzygium</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cumini</w:t>
      </w:r>
      <w:proofErr w:type="spellEnd"/>
      <w:r w:rsidRPr="00EF6EA4">
        <w:rPr>
          <w:rFonts w:ascii="Times New Roman" w:hAnsi="Times New Roman" w:cs="Times New Roman"/>
        </w:rPr>
        <w:t>) seeds for livestock feeding in Eastern and Central Regions of Uganda. Livestock Research for Rural Development, 26(4), 1-12.</w:t>
      </w:r>
    </w:p>
    <w:p w14:paraId="3E14A45E"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Noor, F., Rahman, M. J., </w:t>
      </w:r>
      <w:proofErr w:type="spellStart"/>
      <w:r w:rsidRPr="00EF6EA4">
        <w:rPr>
          <w:rFonts w:ascii="Times New Roman" w:hAnsi="Times New Roman" w:cs="Times New Roman"/>
        </w:rPr>
        <w:t>Mahomud</w:t>
      </w:r>
      <w:proofErr w:type="spellEnd"/>
      <w:r w:rsidRPr="00EF6EA4">
        <w:rPr>
          <w:rFonts w:ascii="Times New Roman" w:hAnsi="Times New Roman" w:cs="Times New Roman"/>
        </w:rPr>
        <w:t>, M. S., Akter, M. S., Talukder, M. A. I., &amp; Ahmed, M. (2014). Physicochemical properties of flour and extraction of starch from jackfruit seed. International Journal of Nutrition and Food Sciences, 3(4), 347-354.</w:t>
      </w:r>
    </w:p>
    <w:p w14:paraId="444ADB0F" w14:textId="18E92467" w:rsidR="000C669B" w:rsidRPr="00EF6EA4" w:rsidRDefault="000C669B"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Ojediran</w:t>
      </w:r>
      <w:proofErr w:type="spellEnd"/>
      <w:r w:rsidRPr="00EF6EA4">
        <w:rPr>
          <w:rFonts w:ascii="Times New Roman" w:hAnsi="Times New Roman" w:cs="Times New Roman"/>
        </w:rPr>
        <w:t xml:space="preserve">, T. K., Ajewole, T. M., Taiwo, O., &amp; Adewale, I. A. I. (2022). </w:t>
      </w:r>
      <w:r w:rsidR="006861D7" w:rsidRPr="00EF6EA4">
        <w:rPr>
          <w:rFonts w:ascii="Times New Roman" w:hAnsi="Times New Roman" w:cs="Times New Roman"/>
        </w:rPr>
        <w:t>Effect of vitamin c (ascorbic acid) supplementation on growth performance, economic indices, haematology, serum biochemistry and carcass characteristic of weaner pigs</w:t>
      </w:r>
      <w:r w:rsidRPr="00EF6EA4">
        <w:rPr>
          <w:rFonts w:ascii="Times New Roman" w:hAnsi="Times New Roman" w:cs="Times New Roman"/>
        </w:rPr>
        <w:t>. Slovak Journal of Animal Science, 55(1–4), 27-36.</w:t>
      </w:r>
    </w:p>
    <w:p w14:paraId="60C69642" w14:textId="2473B32F" w:rsidR="007F448D" w:rsidRPr="00EF6EA4" w:rsidRDefault="000C669B"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Okafor, O. E., </w:t>
      </w:r>
      <w:proofErr w:type="spellStart"/>
      <w:r w:rsidRPr="00EF6EA4">
        <w:rPr>
          <w:rFonts w:ascii="Times New Roman" w:hAnsi="Times New Roman" w:cs="Times New Roman"/>
        </w:rPr>
        <w:t>Ezeanyika</w:t>
      </w:r>
      <w:proofErr w:type="spellEnd"/>
      <w:r w:rsidRPr="00EF6EA4">
        <w:rPr>
          <w:rFonts w:ascii="Times New Roman" w:hAnsi="Times New Roman" w:cs="Times New Roman"/>
        </w:rPr>
        <w:t xml:space="preserve">, L. U. S., &amp; </w:t>
      </w:r>
      <w:proofErr w:type="spellStart"/>
      <w:r w:rsidRPr="00EF6EA4">
        <w:rPr>
          <w:rFonts w:ascii="Times New Roman" w:hAnsi="Times New Roman" w:cs="Times New Roman"/>
        </w:rPr>
        <w:t>Ujowundu</w:t>
      </w:r>
      <w:proofErr w:type="spellEnd"/>
      <w:r w:rsidRPr="00EF6EA4">
        <w:rPr>
          <w:rFonts w:ascii="Times New Roman" w:hAnsi="Times New Roman" w:cs="Times New Roman"/>
        </w:rPr>
        <w:t xml:space="preserve">, C. U. O. (2015). Effect of Traditional Processing Techniques on the </w:t>
      </w:r>
      <w:proofErr w:type="spellStart"/>
      <w:r w:rsidRPr="00EF6EA4">
        <w:rPr>
          <w:rFonts w:ascii="Times New Roman" w:hAnsi="Times New Roman" w:cs="Times New Roman"/>
        </w:rPr>
        <w:t>Proximateand</w:t>
      </w:r>
      <w:proofErr w:type="spellEnd"/>
      <w:r w:rsidRPr="00EF6EA4">
        <w:rPr>
          <w:rFonts w:ascii="Times New Roman" w:hAnsi="Times New Roman" w:cs="Times New Roman"/>
        </w:rPr>
        <w:t xml:space="preserve"> Mineral Compositions of Jack Fruit (</w:t>
      </w:r>
      <w:proofErr w:type="spellStart"/>
      <w:r w:rsidRPr="00EF6EA4">
        <w:rPr>
          <w:rFonts w:ascii="Times New Roman" w:hAnsi="Times New Roman" w:cs="Times New Roman"/>
        </w:rPr>
        <w:t>ArtocarpusHeterophyllus</w:t>
      </w:r>
      <w:proofErr w:type="spellEnd"/>
      <w:r w:rsidRPr="00EF6EA4">
        <w:rPr>
          <w:rFonts w:ascii="Times New Roman" w:hAnsi="Times New Roman" w:cs="Times New Roman"/>
        </w:rPr>
        <w:t xml:space="preserve">) Seeds. In International Conference on Food Nutrition, Chemical and Environmental </w:t>
      </w:r>
      <w:r w:rsidR="00BB1B5F" w:rsidRPr="00EF6EA4">
        <w:rPr>
          <w:rFonts w:ascii="Times New Roman" w:hAnsi="Times New Roman" w:cs="Times New Roman"/>
        </w:rPr>
        <w:t>Engineering. (</w:t>
      </w:r>
      <w:r w:rsidRPr="00EF6EA4">
        <w:rPr>
          <w:rFonts w:ascii="Times New Roman" w:hAnsi="Times New Roman" w:cs="Times New Roman"/>
        </w:rPr>
        <w:t>ICFNCE’2015) Aug (pp. 25-26).</w:t>
      </w:r>
      <w:r w:rsidR="007F448D" w:rsidRPr="00EF6EA4">
        <w:rPr>
          <w:rFonts w:ascii="Times New Roman" w:hAnsi="Times New Roman" w:cs="Times New Roman"/>
        </w:rPr>
        <w:t xml:space="preserve"> </w:t>
      </w:r>
    </w:p>
    <w:p w14:paraId="49E70243"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lastRenderedPageBreak/>
        <w:t xml:space="preserve">Okolo, I., Owolabi, O. A., James, D. B., </w:t>
      </w:r>
      <w:proofErr w:type="spellStart"/>
      <w:r w:rsidRPr="00EF6EA4">
        <w:rPr>
          <w:rFonts w:ascii="Times New Roman" w:hAnsi="Times New Roman" w:cs="Times New Roman"/>
        </w:rPr>
        <w:t>Sallau</w:t>
      </w:r>
      <w:proofErr w:type="spellEnd"/>
      <w:r w:rsidRPr="00EF6EA4">
        <w:rPr>
          <w:rFonts w:ascii="Times New Roman" w:hAnsi="Times New Roman" w:cs="Times New Roman"/>
        </w:rPr>
        <w:t xml:space="preserve">, A. B., </w:t>
      </w:r>
      <w:proofErr w:type="spellStart"/>
      <w:r w:rsidRPr="00EF6EA4">
        <w:rPr>
          <w:rFonts w:ascii="Times New Roman" w:hAnsi="Times New Roman" w:cs="Times New Roman"/>
        </w:rPr>
        <w:t>Andongma</w:t>
      </w:r>
      <w:proofErr w:type="spellEnd"/>
      <w:r w:rsidRPr="00EF6EA4">
        <w:rPr>
          <w:rFonts w:ascii="Times New Roman" w:hAnsi="Times New Roman" w:cs="Times New Roman"/>
        </w:rPr>
        <w:t xml:space="preserve">, B. T., &amp; Moses, C. A. (2015). The haemoglobin regeneration potential of fermented and unfermented </w:t>
      </w:r>
      <w:proofErr w:type="spellStart"/>
      <w:r w:rsidRPr="00EF6EA4">
        <w:rPr>
          <w:rFonts w:ascii="Times New Roman" w:hAnsi="Times New Roman" w:cs="Times New Roman"/>
        </w:rPr>
        <w:t>Telfaira</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occidentalis</w:t>
      </w:r>
      <w:proofErr w:type="spellEnd"/>
      <w:r w:rsidRPr="00EF6EA4">
        <w:rPr>
          <w:rFonts w:ascii="Times New Roman" w:hAnsi="Times New Roman" w:cs="Times New Roman"/>
        </w:rPr>
        <w:t xml:space="preserve"> and </w:t>
      </w:r>
      <w:proofErr w:type="spellStart"/>
      <w:r w:rsidRPr="00EF6EA4">
        <w:rPr>
          <w:rFonts w:ascii="Times New Roman" w:hAnsi="Times New Roman" w:cs="Times New Roman"/>
        </w:rPr>
        <w:t>Gnetum</w:t>
      </w:r>
      <w:proofErr w:type="spellEnd"/>
      <w:r w:rsidRPr="00EF6EA4">
        <w:rPr>
          <w:rFonts w:ascii="Times New Roman" w:hAnsi="Times New Roman" w:cs="Times New Roman"/>
        </w:rPr>
        <w:t xml:space="preserve"> </w:t>
      </w:r>
      <w:proofErr w:type="spellStart"/>
      <w:r w:rsidRPr="00EF6EA4">
        <w:rPr>
          <w:rFonts w:ascii="Times New Roman" w:hAnsi="Times New Roman" w:cs="Times New Roman"/>
        </w:rPr>
        <w:t>africanum</w:t>
      </w:r>
      <w:proofErr w:type="spellEnd"/>
      <w:r w:rsidRPr="00EF6EA4">
        <w:rPr>
          <w:rFonts w:ascii="Times New Roman" w:hAnsi="Times New Roman" w:cs="Times New Roman"/>
        </w:rPr>
        <w:t xml:space="preserve"> leaves in iron deficient albino rats. International Journal of Biological and Chemical Sciences, 9(4), 1742-1754.</w:t>
      </w:r>
    </w:p>
    <w:p w14:paraId="565744E3" w14:textId="17BE5A82"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Otto, F., Ibanez, A., Caballero, B. and Bogin, E. (1992). Blood profile of Paraguayan cattle in relation to nutrition, metabolic state, management and race. Israel Journal of Veterinary Medicine, 47</w:t>
      </w:r>
      <w:r w:rsidR="000C669B" w:rsidRPr="00EF6EA4">
        <w:rPr>
          <w:rFonts w:ascii="Times New Roman" w:hAnsi="Times New Roman" w:cs="Times New Roman"/>
        </w:rPr>
        <w:t>,</w:t>
      </w:r>
      <w:r w:rsidRPr="00EF6EA4">
        <w:rPr>
          <w:rFonts w:ascii="Times New Roman" w:hAnsi="Times New Roman" w:cs="Times New Roman"/>
        </w:rPr>
        <w:t xml:space="preserve"> 91-99.</w:t>
      </w:r>
    </w:p>
    <w:p w14:paraId="6CFAA961" w14:textId="13561FBE"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Owoeye, O., Onwuka, S. K., &amp; Farombi, E. O. (2011). Vernonia amygdalina leaf extract and alpha-tocopherol alleviated gamma radiation-induced haematological and biochemical changes in rats. International Journal of Biological and Chemical Sciences, 5(5), 1978–1992.</w:t>
      </w:r>
    </w:p>
    <w:p w14:paraId="6740E42C" w14:textId="6A0C6FA6"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Oyewole, O. I., Malamo, S. O., &amp; Arise, R. O. (2009). Haematological evaluation in rats following administration of some </w:t>
      </w:r>
      <w:proofErr w:type="spellStart"/>
      <w:r w:rsidRPr="00EF6EA4">
        <w:rPr>
          <w:rFonts w:ascii="Times New Roman" w:hAnsi="Times New Roman" w:cs="Times New Roman"/>
        </w:rPr>
        <w:t>antisickling</w:t>
      </w:r>
      <w:proofErr w:type="spellEnd"/>
      <w:r w:rsidRPr="00EF6EA4">
        <w:rPr>
          <w:rFonts w:ascii="Times New Roman" w:hAnsi="Times New Roman" w:cs="Times New Roman"/>
        </w:rPr>
        <w:t xml:space="preserve"> agents. International Journal of Biological and Chemical Sciences, 3(2), 410–414. </w:t>
      </w:r>
    </w:p>
    <w:p w14:paraId="3F7E6897" w14:textId="7A2412E9"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Patr, M. K., Begum, S. and Deka, B. C. (2014). Problems and prospects of traditional pig farming for tribal livelihood in Nagaland. Indian Research Journal of Extension Education, 14 (4): 6-11</w:t>
      </w:r>
      <w:r w:rsidR="000C669B" w:rsidRPr="00EF6EA4">
        <w:rPr>
          <w:rFonts w:ascii="Times New Roman" w:hAnsi="Times New Roman" w:cs="Times New Roman"/>
        </w:rPr>
        <w:t>.</w:t>
      </w:r>
    </w:p>
    <w:p w14:paraId="2BE64D4B"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Phengsavanh</w:t>
      </w:r>
      <w:proofErr w:type="spellEnd"/>
      <w:r w:rsidRPr="00EF6EA4">
        <w:rPr>
          <w:rFonts w:ascii="Times New Roman" w:hAnsi="Times New Roman" w:cs="Times New Roman"/>
        </w:rPr>
        <w:t xml:space="preserve">, P., Ogle, B., </w:t>
      </w:r>
      <w:proofErr w:type="spellStart"/>
      <w:r w:rsidRPr="00EF6EA4">
        <w:rPr>
          <w:rFonts w:ascii="Times New Roman" w:hAnsi="Times New Roman" w:cs="Times New Roman"/>
        </w:rPr>
        <w:t>Stür</w:t>
      </w:r>
      <w:proofErr w:type="spellEnd"/>
      <w:r w:rsidRPr="00EF6EA4">
        <w:rPr>
          <w:rFonts w:ascii="Times New Roman" w:hAnsi="Times New Roman" w:cs="Times New Roman"/>
        </w:rPr>
        <w:t>, W., Frankow-Lindberg, B. E., &amp; Lindberg, J. E. (2010). Feeding and performance of pigs in smallholder production systems in Northern Lao PDR. Tropical animal health and production, 42, 1627-1633.</w:t>
      </w:r>
    </w:p>
    <w:p w14:paraId="009313D0" w14:textId="4AD6C23C"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Ray, P. K. (2002). Breeding tropical and subtropical fruits. Springer-Verlag/</w:t>
      </w:r>
      <w:proofErr w:type="spellStart"/>
      <w:r w:rsidRPr="00EF6EA4">
        <w:rPr>
          <w:rFonts w:ascii="Times New Roman" w:hAnsi="Times New Roman" w:cs="Times New Roman"/>
        </w:rPr>
        <w:t>Narosa</w:t>
      </w:r>
      <w:proofErr w:type="spellEnd"/>
      <w:r w:rsidRPr="00EF6EA4">
        <w:rPr>
          <w:rFonts w:ascii="Times New Roman" w:hAnsi="Times New Roman" w:cs="Times New Roman"/>
        </w:rPr>
        <w:t xml:space="preserve"> Publishing House.</w:t>
      </w:r>
    </w:p>
    <w:p w14:paraId="256BCEE2" w14:textId="3D2FF363"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Rojas-Downing, M. M., </w:t>
      </w:r>
      <w:proofErr w:type="spellStart"/>
      <w:r w:rsidRPr="00EF6EA4">
        <w:rPr>
          <w:rFonts w:ascii="Times New Roman" w:hAnsi="Times New Roman" w:cs="Times New Roman"/>
        </w:rPr>
        <w:t>Nejadhashemi</w:t>
      </w:r>
      <w:proofErr w:type="spellEnd"/>
      <w:r w:rsidRPr="00EF6EA4">
        <w:rPr>
          <w:rFonts w:ascii="Times New Roman" w:hAnsi="Times New Roman" w:cs="Times New Roman"/>
        </w:rPr>
        <w:t xml:space="preserve">, A. P., Harrigan, T., &amp; Woznicki, S. A. (2017). Climate change and livestock: Impacts, adaptation, and mitigation. Climate risk management, 16, 145-163. </w:t>
      </w:r>
    </w:p>
    <w:p w14:paraId="61439E5E"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Roy, R., Mondal, T., &amp; Moktan, M. W. (2018). Patterns of pre-weaning piglet mortality and economic losses in field condition. Afr. J. Agri. Res, 13, 1291-1296.</w:t>
      </w:r>
    </w:p>
    <w:p w14:paraId="10934754" w14:textId="766023A0"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Sastry, G. A. (1989). Veterinary Clinical Pathology (3rd ed.). CBS Publishers and Distributors.</w:t>
      </w:r>
    </w:p>
    <w:p w14:paraId="130993C4"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Sejian</w:t>
      </w:r>
      <w:proofErr w:type="spellEnd"/>
      <w:r w:rsidRPr="00EF6EA4">
        <w:rPr>
          <w:rFonts w:ascii="Times New Roman" w:hAnsi="Times New Roman" w:cs="Times New Roman"/>
        </w:rPr>
        <w:t xml:space="preserve">, V., Singh, A. K., Sahoo, A., &amp; Naqvi, S. M. K. (2014). Effect of mineral mixture and antioxidant supplementation on growth, reproductive performance and adaptive capability of m </w:t>
      </w:r>
      <w:proofErr w:type="spellStart"/>
      <w:r w:rsidRPr="00EF6EA4">
        <w:rPr>
          <w:rFonts w:ascii="Times New Roman" w:hAnsi="Times New Roman" w:cs="Times New Roman"/>
        </w:rPr>
        <w:t>alpura</w:t>
      </w:r>
      <w:proofErr w:type="spellEnd"/>
      <w:r w:rsidRPr="00EF6EA4">
        <w:rPr>
          <w:rFonts w:ascii="Times New Roman" w:hAnsi="Times New Roman" w:cs="Times New Roman"/>
        </w:rPr>
        <w:t xml:space="preserve"> ewes subjected to heat stress. Journal of Animal Physiology and Animal Nutrition, 98(1), 72-83.</w:t>
      </w:r>
    </w:p>
    <w:p w14:paraId="220A17D0"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Shaahu, D. T., &amp; </w:t>
      </w:r>
      <w:proofErr w:type="spellStart"/>
      <w:r w:rsidRPr="00EF6EA4">
        <w:rPr>
          <w:rFonts w:ascii="Times New Roman" w:hAnsi="Times New Roman" w:cs="Times New Roman"/>
        </w:rPr>
        <w:t>Tiough</w:t>
      </w:r>
      <w:proofErr w:type="spellEnd"/>
      <w:r w:rsidRPr="00EF6EA4">
        <w:rPr>
          <w:rFonts w:ascii="Times New Roman" w:hAnsi="Times New Roman" w:cs="Times New Roman"/>
        </w:rPr>
        <w:t>, S. M. (2019). Effect of replacing maize with cassava root-forage composite meal in diet on growth performance and production economics of rabbit. Nigerian Journal of Animal Science, 21(1), 172-180.</w:t>
      </w:r>
    </w:p>
    <w:p w14:paraId="65C29275" w14:textId="0B8FADC5"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Shi, H. L., Noguchi, N., &amp; Niki, E. (2001). Introducing natural antioxidants. In J. Pokorny, N. </w:t>
      </w:r>
      <w:proofErr w:type="spellStart"/>
      <w:r w:rsidRPr="00EF6EA4">
        <w:rPr>
          <w:rFonts w:ascii="Times New Roman" w:hAnsi="Times New Roman" w:cs="Times New Roman"/>
        </w:rPr>
        <w:t>Yanishlieva</w:t>
      </w:r>
      <w:proofErr w:type="spellEnd"/>
      <w:r w:rsidRPr="00EF6EA4">
        <w:rPr>
          <w:rFonts w:ascii="Times New Roman" w:hAnsi="Times New Roman" w:cs="Times New Roman"/>
        </w:rPr>
        <w:t>, &amp; M. Gordon (Eds.), Antioxidants in food: Practical applications (pp. 147–155). Woodhead Publishing Ltd.</w:t>
      </w:r>
    </w:p>
    <w:p w14:paraId="6414B830"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Singh, M., Mollier, R. T., &amp; Sharma, R. (2020). Reproductive attributes of Hampshire, </w:t>
      </w:r>
      <w:proofErr w:type="spellStart"/>
      <w:r w:rsidRPr="00EF6EA4">
        <w:rPr>
          <w:rFonts w:ascii="Times New Roman" w:hAnsi="Times New Roman" w:cs="Times New Roman"/>
        </w:rPr>
        <w:t>Gunghroo</w:t>
      </w:r>
      <w:proofErr w:type="spellEnd"/>
      <w:r w:rsidRPr="00EF6EA4">
        <w:rPr>
          <w:rFonts w:ascii="Times New Roman" w:hAnsi="Times New Roman" w:cs="Times New Roman"/>
        </w:rPr>
        <w:t>, Large Black and Tenyi Vo (local Naga Pig) under intensive management system in subtropical condition of Nagaland. Indian Journal of Animal Sciences, 90(6), 934-936.</w:t>
      </w:r>
    </w:p>
    <w:p w14:paraId="74DBD3FF" w14:textId="6F1A6EAC"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Snedecor, G. W., &amp; Cochran, W. G. (1994). Statistical Methods (8th ed.). Oxford and IBH Publishing Company.</w:t>
      </w:r>
    </w:p>
    <w:p w14:paraId="3060C6C3" w14:textId="77777777" w:rsidR="007F448D" w:rsidRPr="00EF6EA4" w:rsidRDefault="007F448D"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lastRenderedPageBreak/>
        <w:t>Sothu</w:t>
      </w:r>
      <w:proofErr w:type="spellEnd"/>
      <w:r w:rsidRPr="00EF6EA4">
        <w:rPr>
          <w:rFonts w:ascii="Times New Roman" w:hAnsi="Times New Roman" w:cs="Times New Roman"/>
        </w:rPr>
        <w:t>, H., Rutsa, M. C., Zuyie, R., Vidyarthi, V. K., Nizamuddin, Savino, N and Singh, R. 2024. Effect of roselle (Hibiscus sabdariffa) calyx on the performance of Tenyi Vo pig. International Journal of Veterinary Sciences and Animal Husbandry. 9(2): 227-233.</w:t>
      </w:r>
    </w:p>
    <w:p w14:paraId="5B0E8779" w14:textId="77777777" w:rsidR="000C669B" w:rsidRPr="00EF6EA4" w:rsidRDefault="000C669B"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Sreeletha</w:t>
      </w:r>
      <w:proofErr w:type="spellEnd"/>
      <w:r w:rsidRPr="00EF6EA4">
        <w:rPr>
          <w:rFonts w:ascii="Times New Roman" w:hAnsi="Times New Roman" w:cs="Times New Roman"/>
        </w:rPr>
        <w:t xml:space="preserve">, A. 1., Lini, J., </w:t>
      </w:r>
      <w:proofErr w:type="spellStart"/>
      <w:r w:rsidRPr="00EF6EA4">
        <w:rPr>
          <w:rFonts w:ascii="Times New Roman" w:hAnsi="Times New Roman" w:cs="Times New Roman"/>
        </w:rPr>
        <w:t>Dhanyalekshmi</w:t>
      </w:r>
      <w:proofErr w:type="spellEnd"/>
      <w:r w:rsidRPr="00EF6EA4">
        <w:rPr>
          <w:rFonts w:ascii="Times New Roman" w:hAnsi="Times New Roman" w:cs="Times New Roman"/>
        </w:rPr>
        <w:t>, C. S., Sabu, K. R., &amp; Pratap, C. R. (2017). Phytochemical, Proximate, Antimicrobial, Antioxidant and FTIR analyses of seeds of Artocarpus heterophyllus lam. Advances in Biotechnology and Microbiology, 5(1), 555-653.</w:t>
      </w:r>
    </w:p>
    <w:p w14:paraId="1A7AC019" w14:textId="77777777" w:rsidR="00E726C8" w:rsidRPr="00EF6EA4" w:rsidRDefault="00E726C8"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Syahida</w:t>
      </w:r>
      <w:proofErr w:type="spellEnd"/>
      <w:r w:rsidRPr="00EF6EA4">
        <w:rPr>
          <w:rFonts w:ascii="Times New Roman" w:hAnsi="Times New Roman" w:cs="Times New Roman"/>
        </w:rPr>
        <w:t xml:space="preserve">, M., </w:t>
      </w:r>
      <w:proofErr w:type="spellStart"/>
      <w:r w:rsidRPr="00EF6EA4">
        <w:rPr>
          <w:rFonts w:ascii="Times New Roman" w:hAnsi="Times New Roman" w:cs="Times New Roman"/>
        </w:rPr>
        <w:t>Maskat</w:t>
      </w:r>
      <w:proofErr w:type="spellEnd"/>
      <w:r w:rsidRPr="00EF6EA4">
        <w:rPr>
          <w:rFonts w:ascii="Times New Roman" w:hAnsi="Times New Roman" w:cs="Times New Roman"/>
        </w:rPr>
        <w:t xml:space="preserve">, M. Y., Suri, R., Mamot, S., &amp; </w:t>
      </w:r>
      <w:proofErr w:type="spellStart"/>
      <w:r w:rsidRPr="00EF6EA4">
        <w:rPr>
          <w:rFonts w:ascii="Times New Roman" w:hAnsi="Times New Roman" w:cs="Times New Roman"/>
        </w:rPr>
        <w:t>Hadijah</w:t>
      </w:r>
      <w:proofErr w:type="spellEnd"/>
      <w:r w:rsidRPr="00EF6EA4">
        <w:rPr>
          <w:rFonts w:ascii="Times New Roman" w:hAnsi="Times New Roman" w:cs="Times New Roman"/>
        </w:rPr>
        <w:t xml:space="preserve">, H. (2012). Soursop (Anona muricata L.): Blood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and serum biochemistry of </w:t>
      </w:r>
      <w:proofErr w:type="spellStart"/>
      <w:r w:rsidRPr="00EF6EA4">
        <w:rPr>
          <w:rFonts w:ascii="Times New Roman" w:hAnsi="Times New Roman" w:cs="Times New Roman"/>
        </w:rPr>
        <w:t>sprague-dawley</w:t>
      </w:r>
      <w:proofErr w:type="spellEnd"/>
      <w:r w:rsidRPr="00EF6EA4">
        <w:rPr>
          <w:rFonts w:ascii="Times New Roman" w:hAnsi="Times New Roman" w:cs="Times New Roman"/>
        </w:rPr>
        <w:t xml:space="preserve"> rats. International Food Research Journal, 19(3), 955.</w:t>
      </w:r>
    </w:p>
    <w:p w14:paraId="5BF87A66" w14:textId="3B19E51F" w:rsidR="00E726C8" w:rsidRPr="00EF6EA4" w:rsidRDefault="00E726C8" w:rsidP="00EF6EA4">
      <w:pPr>
        <w:pStyle w:val="ListParagraph"/>
        <w:numPr>
          <w:ilvl w:val="0"/>
          <w:numId w:val="4"/>
        </w:numPr>
        <w:spacing w:line="240" w:lineRule="auto"/>
        <w:jc w:val="both"/>
        <w:rPr>
          <w:rFonts w:ascii="Times New Roman" w:hAnsi="Times New Roman" w:cs="Times New Roman"/>
        </w:rPr>
      </w:pPr>
      <w:proofErr w:type="spellStart"/>
      <w:r w:rsidRPr="00EF6EA4">
        <w:rPr>
          <w:rFonts w:ascii="Times New Roman" w:hAnsi="Times New Roman" w:cs="Times New Roman"/>
        </w:rPr>
        <w:t>Togun</w:t>
      </w:r>
      <w:proofErr w:type="spellEnd"/>
      <w:r w:rsidRPr="00EF6EA4">
        <w:rPr>
          <w:rFonts w:ascii="Times New Roman" w:hAnsi="Times New Roman" w:cs="Times New Roman"/>
        </w:rPr>
        <w:t xml:space="preserve">, V. A., Oseni, B. S. A., Ogundipe, J. A., Arewa, T. R., Hammed, A. A., </w:t>
      </w:r>
      <w:proofErr w:type="spellStart"/>
      <w:r w:rsidRPr="00EF6EA4">
        <w:rPr>
          <w:rFonts w:ascii="Times New Roman" w:hAnsi="Times New Roman" w:cs="Times New Roman"/>
        </w:rPr>
        <w:t>Ajonijebu</w:t>
      </w:r>
      <w:proofErr w:type="spellEnd"/>
      <w:r w:rsidRPr="00EF6EA4">
        <w:rPr>
          <w:rFonts w:ascii="Times New Roman" w:hAnsi="Times New Roman" w:cs="Times New Roman"/>
        </w:rPr>
        <w:t>, D. C., &amp; Mustapha, F. (2007). Effects of chronic lead administration on the haematological parameters of rabbits–a preliminary study. In Proceedings of the 41st Conferences of the Agricultural Society of Nigeria (Vol. 341).</w:t>
      </w:r>
    </w:p>
    <w:p w14:paraId="70D41EC6" w14:textId="1BD881CE" w:rsidR="007F448D" w:rsidRPr="00EF6EA4"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Williams, I. O., Edet, E. J., </w:t>
      </w:r>
      <w:proofErr w:type="spellStart"/>
      <w:r w:rsidRPr="00EF6EA4">
        <w:rPr>
          <w:rFonts w:ascii="Times New Roman" w:hAnsi="Times New Roman" w:cs="Times New Roman"/>
        </w:rPr>
        <w:t>Agiang</w:t>
      </w:r>
      <w:proofErr w:type="spellEnd"/>
      <w:r w:rsidRPr="00EF6EA4">
        <w:rPr>
          <w:rFonts w:ascii="Times New Roman" w:hAnsi="Times New Roman" w:cs="Times New Roman"/>
        </w:rPr>
        <w:t>, M. A., &amp; Lawal, O. O. (2009). Fruit and vegetable intake pattern and body mass index (BMI) of postgraduate students in the University of Calabar, Nigeria. Nigerian Journal of Nutritional Sciences, 30(2), 43–49.</w:t>
      </w:r>
    </w:p>
    <w:p w14:paraId="6C365436" w14:textId="77777777" w:rsidR="00E726C8" w:rsidRPr="00EF6EA4" w:rsidRDefault="00E726C8"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Zhang, W., He, H., Gong, L., Lai, W., Dong, B., &amp; Zhang, L. (2019). Effects of sweetener sucralose on diet preference, growth performance and </w:t>
      </w:r>
      <w:proofErr w:type="spellStart"/>
      <w:r w:rsidRPr="00EF6EA4">
        <w:rPr>
          <w:rFonts w:ascii="Times New Roman" w:hAnsi="Times New Roman" w:cs="Times New Roman"/>
        </w:rPr>
        <w:t>hematological</w:t>
      </w:r>
      <w:proofErr w:type="spellEnd"/>
      <w:r w:rsidRPr="00EF6EA4">
        <w:rPr>
          <w:rFonts w:ascii="Times New Roman" w:hAnsi="Times New Roman" w:cs="Times New Roman"/>
        </w:rPr>
        <w:t xml:space="preserve"> and biochemical parameters of weaned piglets. Asian-Australasian journal of animal sciences, 33(5), 802.</w:t>
      </w:r>
    </w:p>
    <w:p w14:paraId="02239DE2" w14:textId="4680E15A" w:rsidR="00E27541" w:rsidRDefault="007F448D" w:rsidP="00EF6EA4">
      <w:pPr>
        <w:pStyle w:val="ListParagraph"/>
        <w:numPr>
          <w:ilvl w:val="0"/>
          <w:numId w:val="4"/>
        </w:numPr>
        <w:spacing w:line="240" w:lineRule="auto"/>
        <w:jc w:val="both"/>
        <w:rPr>
          <w:rFonts w:ascii="Times New Roman" w:hAnsi="Times New Roman" w:cs="Times New Roman"/>
        </w:rPr>
      </w:pPr>
      <w:r w:rsidRPr="00EF6EA4">
        <w:rPr>
          <w:rFonts w:ascii="Times New Roman" w:hAnsi="Times New Roman" w:cs="Times New Roman"/>
        </w:rPr>
        <w:t xml:space="preserve">Zimmerman, K.L., D. M. Moore, S. T. Smith, (2010) Haematology of laboratory rabbits. In: Weiss DJ, Wardrop KJ, editors. </w:t>
      </w:r>
      <w:proofErr w:type="spellStart"/>
      <w:r w:rsidRPr="00EF6EA4">
        <w:rPr>
          <w:rFonts w:ascii="Times New Roman" w:hAnsi="Times New Roman" w:cs="Times New Roman"/>
        </w:rPr>
        <w:t>Schalm’s</w:t>
      </w:r>
      <w:proofErr w:type="spellEnd"/>
      <w:r w:rsidRPr="00EF6EA4">
        <w:rPr>
          <w:rFonts w:ascii="Times New Roman" w:hAnsi="Times New Roman" w:cs="Times New Roman"/>
        </w:rPr>
        <w:t xml:space="preserve">, Veterinary </w:t>
      </w:r>
      <w:proofErr w:type="spellStart"/>
      <w:r w:rsidRPr="00EF6EA4">
        <w:rPr>
          <w:rFonts w:ascii="Times New Roman" w:hAnsi="Times New Roman" w:cs="Times New Roman"/>
        </w:rPr>
        <w:t>Hematology</w:t>
      </w:r>
      <w:proofErr w:type="spellEnd"/>
      <w:r w:rsidRPr="00EF6EA4">
        <w:rPr>
          <w:rFonts w:ascii="Times New Roman" w:hAnsi="Times New Roman" w:cs="Times New Roman"/>
        </w:rPr>
        <w:t xml:space="preserve">. Philadelphia: Lippincott Williams and Wilkins. </w:t>
      </w:r>
      <w:r w:rsidR="00F72D10" w:rsidRPr="00EF6EA4">
        <w:rPr>
          <w:rFonts w:ascii="Times New Roman" w:hAnsi="Times New Roman" w:cs="Times New Roman"/>
        </w:rPr>
        <w:t>852-</w:t>
      </w:r>
      <w:r w:rsidRPr="00EF6EA4">
        <w:rPr>
          <w:rFonts w:ascii="Times New Roman" w:hAnsi="Times New Roman" w:cs="Times New Roman"/>
        </w:rPr>
        <w:t>862.</w:t>
      </w:r>
    </w:p>
    <w:p w14:paraId="7237A6B6" w14:textId="77777777" w:rsidR="006967A6" w:rsidRDefault="006967A6" w:rsidP="006967A6">
      <w:pPr>
        <w:spacing w:line="240" w:lineRule="auto"/>
        <w:jc w:val="both"/>
        <w:rPr>
          <w:rFonts w:ascii="Times New Roman" w:hAnsi="Times New Roman" w:cs="Times New Roman"/>
        </w:rPr>
      </w:pPr>
    </w:p>
    <w:p w14:paraId="1ED9D953" w14:textId="2CA6EA57" w:rsidR="006967A6" w:rsidRPr="006967A6" w:rsidRDefault="006967A6" w:rsidP="006967A6">
      <w:pPr>
        <w:spacing w:line="240" w:lineRule="auto"/>
        <w:jc w:val="both"/>
        <w:rPr>
          <w:rFonts w:ascii="Times New Roman" w:hAnsi="Times New Roman" w:cs="Times New Roman"/>
        </w:rPr>
      </w:pPr>
      <w:r>
        <w:rPr>
          <w:noProof/>
        </w:rPr>
        <w:drawing>
          <wp:inline distT="0" distB="0" distL="0" distR="0" wp14:anchorId="1FCC88ED" wp14:editId="6FACB9D9">
            <wp:extent cx="5943600" cy="3342005"/>
            <wp:effectExtent l="0" t="0" r="0" b="0"/>
            <wp:docPr id="628105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p>
    <w:p w14:paraId="5595675E" w14:textId="77777777" w:rsidR="006967A6" w:rsidRPr="00D94D07" w:rsidRDefault="006967A6" w:rsidP="006967A6">
      <w:pPr>
        <w:spacing w:after="0" w:line="276" w:lineRule="auto"/>
        <w:ind w:left="1276" w:hanging="1276"/>
        <w:jc w:val="both"/>
        <w:rPr>
          <w:rFonts w:ascii="Times New Roman" w:hAnsi="Times New Roman" w:cs="Times New Roman"/>
          <w:b/>
        </w:rPr>
      </w:pPr>
      <w:r w:rsidRPr="00D94D07">
        <w:rPr>
          <w:rStyle w:val="BookTitle"/>
          <w:rFonts w:ascii="Times New Roman" w:hAnsi="Times New Roman" w:cs="Times New Roman"/>
        </w:rPr>
        <w:t>Fig</w:t>
      </w:r>
      <w:r>
        <w:rPr>
          <w:rStyle w:val="BookTitle"/>
          <w:rFonts w:ascii="Times New Roman" w:hAnsi="Times New Roman" w:cs="Times New Roman"/>
        </w:rPr>
        <w:t xml:space="preserve"> </w:t>
      </w:r>
      <w:r w:rsidRPr="00D94D07">
        <w:rPr>
          <w:rStyle w:val="BookTitle"/>
          <w:rFonts w:ascii="Times New Roman" w:hAnsi="Times New Roman" w:cs="Times New Roman"/>
        </w:rPr>
        <w:t>1</w:t>
      </w:r>
      <w:r>
        <w:rPr>
          <w:rStyle w:val="BookTitle"/>
          <w:rFonts w:ascii="Times New Roman" w:hAnsi="Times New Roman" w:cs="Times New Roman"/>
        </w:rPr>
        <w:t xml:space="preserve">:    </w:t>
      </w:r>
      <w:r w:rsidRPr="00D94D07">
        <w:rPr>
          <w:rStyle w:val="BookTitle"/>
          <w:rFonts w:ascii="Times New Roman" w:hAnsi="Times New Roman" w:cs="Times New Roman"/>
        </w:rPr>
        <w:t xml:space="preserve"> Haematological parameters of </w:t>
      </w:r>
      <w:proofErr w:type="spellStart"/>
      <w:r w:rsidRPr="00E943C6">
        <w:rPr>
          <w:rStyle w:val="BookTitle"/>
          <w:rFonts w:ascii="Times New Roman" w:hAnsi="Times New Roman" w:cs="Times New Roman"/>
        </w:rPr>
        <w:t>Tenyi</w:t>
      </w:r>
      <w:proofErr w:type="spellEnd"/>
      <w:r w:rsidRPr="00E943C6">
        <w:rPr>
          <w:rStyle w:val="BookTitle"/>
          <w:rFonts w:ascii="Times New Roman" w:hAnsi="Times New Roman" w:cs="Times New Roman"/>
        </w:rPr>
        <w:t xml:space="preserve"> Vo</w:t>
      </w:r>
      <w:r w:rsidRPr="00D94D07">
        <w:rPr>
          <w:rStyle w:val="BookTitle"/>
          <w:rFonts w:ascii="Times New Roman" w:hAnsi="Times New Roman" w:cs="Times New Roman"/>
        </w:rPr>
        <w:t xml:space="preserve"> pigs in different groups.</w:t>
      </w:r>
    </w:p>
    <w:p w14:paraId="25463DE9" w14:textId="77777777" w:rsidR="00EF6EA4" w:rsidRDefault="00EF6EA4" w:rsidP="00EF6EA4">
      <w:pPr>
        <w:pStyle w:val="ListParagraph"/>
        <w:jc w:val="both"/>
        <w:rPr>
          <w:rFonts w:ascii="Times New Roman" w:hAnsi="Times New Roman" w:cs="Times New Roman"/>
        </w:rPr>
      </w:pPr>
    </w:p>
    <w:p w14:paraId="44BB9069" w14:textId="77777777" w:rsidR="006967A6" w:rsidRDefault="006967A6" w:rsidP="00EF6EA4">
      <w:pPr>
        <w:pStyle w:val="ListParagraph"/>
        <w:jc w:val="both"/>
        <w:rPr>
          <w:rFonts w:ascii="Times New Roman" w:hAnsi="Times New Roman" w:cs="Times New Roman"/>
        </w:rPr>
      </w:pPr>
    </w:p>
    <w:p w14:paraId="323065F8" w14:textId="77777777" w:rsidR="006967A6" w:rsidRDefault="006967A6" w:rsidP="006967A6">
      <w:pPr>
        <w:pStyle w:val="ListParagraph"/>
        <w:jc w:val="both"/>
        <w:rPr>
          <w:rFonts w:ascii="Times New Roman" w:hAnsi="Times New Roman" w:cs="Times New Roman"/>
        </w:rPr>
      </w:pPr>
    </w:p>
    <w:p w14:paraId="05C49B9C" w14:textId="77777777" w:rsidR="006967A6" w:rsidRPr="00D94D07" w:rsidRDefault="006967A6" w:rsidP="006967A6">
      <w:pPr>
        <w:spacing w:line="276" w:lineRule="auto"/>
        <w:jc w:val="both"/>
        <w:rPr>
          <w:rFonts w:ascii="Times New Roman" w:hAnsi="Times New Roman" w:cs="Times New Roman"/>
          <w:b/>
          <w:bCs/>
        </w:rPr>
      </w:pPr>
      <w:r w:rsidRPr="00D94D07">
        <w:rPr>
          <w:rFonts w:ascii="Times New Roman" w:hAnsi="Times New Roman" w:cs="Times New Roman"/>
          <w:b/>
          <w:bCs/>
        </w:rPr>
        <w:t>Table 1: Composition of Concentrated Ration with 15% Crude Protein</w:t>
      </w:r>
    </w:p>
    <w:tbl>
      <w:tblPr>
        <w:tblStyle w:val="TableGrid"/>
        <w:tblW w:w="8858" w:type="dxa"/>
        <w:tblLook w:val="04A0" w:firstRow="1" w:lastRow="0" w:firstColumn="1" w:lastColumn="0" w:noHBand="0" w:noVBand="1"/>
      </w:tblPr>
      <w:tblGrid>
        <w:gridCol w:w="1641"/>
        <w:gridCol w:w="4006"/>
        <w:gridCol w:w="3211"/>
      </w:tblGrid>
      <w:tr w:rsidR="006967A6" w:rsidRPr="00D32152" w14:paraId="37BBD419" w14:textId="77777777" w:rsidTr="00A36834">
        <w:trPr>
          <w:trHeight w:val="20"/>
        </w:trPr>
        <w:tc>
          <w:tcPr>
            <w:tcW w:w="0" w:type="auto"/>
            <w:vAlign w:val="center"/>
            <w:hideMark/>
          </w:tcPr>
          <w:p w14:paraId="62927235"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S. No.</w:t>
            </w:r>
          </w:p>
        </w:tc>
        <w:tc>
          <w:tcPr>
            <w:tcW w:w="0" w:type="auto"/>
            <w:vAlign w:val="center"/>
            <w:hideMark/>
          </w:tcPr>
          <w:p w14:paraId="2734407C"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Ingredient</w:t>
            </w:r>
          </w:p>
        </w:tc>
        <w:tc>
          <w:tcPr>
            <w:tcW w:w="0" w:type="auto"/>
            <w:vAlign w:val="center"/>
            <w:hideMark/>
          </w:tcPr>
          <w:p w14:paraId="1A9A97BC"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Quantity (kg)</w:t>
            </w:r>
          </w:p>
        </w:tc>
      </w:tr>
      <w:tr w:rsidR="006967A6" w:rsidRPr="00D32152" w14:paraId="34D9CF12" w14:textId="77777777" w:rsidTr="00A36834">
        <w:trPr>
          <w:trHeight w:val="20"/>
        </w:trPr>
        <w:tc>
          <w:tcPr>
            <w:tcW w:w="0" w:type="auto"/>
            <w:vAlign w:val="center"/>
            <w:hideMark/>
          </w:tcPr>
          <w:p w14:paraId="3BC4A3E4"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1</w:t>
            </w:r>
          </w:p>
        </w:tc>
        <w:tc>
          <w:tcPr>
            <w:tcW w:w="0" w:type="auto"/>
            <w:vAlign w:val="center"/>
            <w:hideMark/>
          </w:tcPr>
          <w:p w14:paraId="01D02F62"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Maize bran</w:t>
            </w:r>
          </w:p>
        </w:tc>
        <w:tc>
          <w:tcPr>
            <w:tcW w:w="0" w:type="auto"/>
            <w:vAlign w:val="center"/>
            <w:hideMark/>
          </w:tcPr>
          <w:p w14:paraId="2AB67601"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45.44</w:t>
            </w:r>
          </w:p>
        </w:tc>
      </w:tr>
      <w:tr w:rsidR="006967A6" w:rsidRPr="00D32152" w14:paraId="68B3E0F0" w14:textId="77777777" w:rsidTr="00A36834">
        <w:trPr>
          <w:trHeight w:val="20"/>
        </w:trPr>
        <w:tc>
          <w:tcPr>
            <w:tcW w:w="0" w:type="auto"/>
            <w:vAlign w:val="center"/>
            <w:hideMark/>
          </w:tcPr>
          <w:p w14:paraId="22E9B3B1"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2</w:t>
            </w:r>
          </w:p>
        </w:tc>
        <w:tc>
          <w:tcPr>
            <w:tcW w:w="0" w:type="auto"/>
            <w:vAlign w:val="center"/>
            <w:hideMark/>
          </w:tcPr>
          <w:p w14:paraId="7A9F5215"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Groundnut oilcake</w:t>
            </w:r>
          </w:p>
        </w:tc>
        <w:tc>
          <w:tcPr>
            <w:tcW w:w="0" w:type="auto"/>
            <w:vAlign w:val="center"/>
            <w:hideMark/>
          </w:tcPr>
          <w:p w14:paraId="4D1CE617"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11.05</w:t>
            </w:r>
          </w:p>
        </w:tc>
      </w:tr>
      <w:tr w:rsidR="006967A6" w:rsidRPr="00D32152" w14:paraId="5BBF46BA" w14:textId="77777777" w:rsidTr="00A36834">
        <w:trPr>
          <w:trHeight w:val="20"/>
        </w:trPr>
        <w:tc>
          <w:tcPr>
            <w:tcW w:w="0" w:type="auto"/>
            <w:vAlign w:val="center"/>
            <w:hideMark/>
          </w:tcPr>
          <w:p w14:paraId="57C93632"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3</w:t>
            </w:r>
          </w:p>
        </w:tc>
        <w:tc>
          <w:tcPr>
            <w:tcW w:w="0" w:type="auto"/>
            <w:vAlign w:val="center"/>
            <w:hideMark/>
          </w:tcPr>
          <w:p w14:paraId="5D31024A"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Wheat bran</w:t>
            </w:r>
          </w:p>
        </w:tc>
        <w:tc>
          <w:tcPr>
            <w:tcW w:w="0" w:type="auto"/>
            <w:vAlign w:val="center"/>
            <w:hideMark/>
          </w:tcPr>
          <w:p w14:paraId="3C31C0D4"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35.00</w:t>
            </w:r>
          </w:p>
        </w:tc>
      </w:tr>
      <w:tr w:rsidR="006967A6" w:rsidRPr="00D32152" w14:paraId="014BF7D4" w14:textId="77777777" w:rsidTr="00A36834">
        <w:trPr>
          <w:trHeight w:val="20"/>
        </w:trPr>
        <w:tc>
          <w:tcPr>
            <w:tcW w:w="0" w:type="auto"/>
            <w:vAlign w:val="center"/>
            <w:hideMark/>
          </w:tcPr>
          <w:p w14:paraId="540932DF"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4</w:t>
            </w:r>
          </w:p>
        </w:tc>
        <w:tc>
          <w:tcPr>
            <w:tcW w:w="0" w:type="auto"/>
            <w:vAlign w:val="center"/>
            <w:hideMark/>
          </w:tcPr>
          <w:p w14:paraId="7FF18507"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Fish meal</w:t>
            </w:r>
          </w:p>
        </w:tc>
        <w:tc>
          <w:tcPr>
            <w:tcW w:w="0" w:type="auto"/>
            <w:vAlign w:val="center"/>
            <w:hideMark/>
          </w:tcPr>
          <w:p w14:paraId="6F894C96"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6.00</w:t>
            </w:r>
          </w:p>
        </w:tc>
      </w:tr>
      <w:tr w:rsidR="006967A6" w:rsidRPr="00D32152" w14:paraId="05FDF490" w14:textId="77777777" w:rsidTr="00A36834">
        <w:trPr>
          <w:trHeight w:val="20"/>
        </w:trPr>
        <w:tc>
          <w:tcPr>
            <w:tcW w:w="0" w:type="auto"/>
            <w:vAlign w:val="center"/>
            <w:hideMark/>
          </w:tcPr>
          <w:p w14:paraId="5A6F31B1"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5</w:t>
            </w:r>
          </w:p>
        </w:tc>
        <w:tc>
          <w:tcPr>
            <w:tcW w:w="0" w:type="auto"/>
            <w:vAlign w:val="center"/>
            <w:hideMark/>
          </w:tcPr>
          <w:p w14:paraId="76D23D8C"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Mineral mixture</w:t>
            </w:r>
          </w:p>
        </w:tc>
        <w:tc>
          <w:tcPr>
            <w:tcW w:w="0" w:type="auto"/>
            <w:vAlign w:val="center"/>
            <w:hideMark/>
          </w:tcPr>
          <w:p w14:paraId="7A901EE3"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2.00</w:t>
            </w:r>
          </w:p>
        </w:tc>
      </w:tr>
      <w:tr w:rsidR="006967A6" w:rsidRPr="00D32152" w14:paraId="4F2CCDF4" w14:textId="77777777" w:rsidTr="00A36834">
        <w:trPr>
          <w:trHeight w:val="20"/>
        </w:trPr>
        <w:tc>
          <w:tcPr>
            <w:tcW w:w="0" w:type="auto"/>
            <w:vAlign w:val="center"/>
            <w:hideMark/>
          </w:tcPr>
          <w:p w14:paraId="7A9BE2CB"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6</w:t>
            </w:r>
          </w:p>
        </w:tc>
        <w:tc>
          <w:tcPr>
            <w:tcW w:w="0" w:type="auto"/>
            <w:vAlign w:val="center"/>
            <w:hideMark/>
          </w:tcPr>
          <w:p w14:paraId="49588593"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Common salt</w:t>
            </w:r>
          </w:p>
        </w:tc>
        <w:tc>
          <w:tcPr>
            <w:tcW w:w="0" w:type="auto"/>
            <w:vAlign w:val="center"/>
            <w:hideMark/>
          </w:tcPr>
          <w:p w14:paraId="64092DBE"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0.50</w:t>
            </w:r>
          </w:p>
        </w:tc>
      </w:tr>
      <w:tr w:rsidR="006967A6" w:rsidRPr="00D32152" w14:paraId="26F15205" w14:textId="77777777" w:rsidTr="00A36834">
        <w:trPr>
          <w:trHeight w:val="20"/>
        </w:trPr>
        <w:tc>
          <w:tcPr>
            <w:tcW w:w="0" w:type="auto"/>
            <w:vAlign w:val="center"/>
            <w:hideMark/>
          </w:tcPr>
          <w:p w14:paraId="04E5F41E"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Total</w:t>
            </w:r>
          </w:p>
        </w:tc>
        <w:tc>
          <w:tcPr>
            <w:tcW w:w="0" w:type="auto"/>
            <w:vAlign w:val="center"/>
            <w:hideMark/>
          </w:tcPr>
          <w:p w14:paraId="04D2DAA6" w14:textId="77777777" w:rsidR="006967A6" w:rsidRPr="00D32152" w:rsidRDefault="006967A6" w:rsidP="00A36834">
            <w:pPr>
              <w:spacing w:after="160" w:line="276" w:lineRule="auto"/>
              <w:jc w:val="center"/>
              <w:rPr>
                <w:rFonts w:ascii="Times New Roman" w:hAnsi="Times New Roman" w:cs="Times New Roman"/>
                <w:b/>
                <w:bCs/>
              </w:rPr>
            </w:pPr>
          </w:p>
        </w:tc>
        <w:tc>
          <w:tcPr>
            <w:tcW w:w="0" w:type="auto"/>
            <w:vAlign w:val="center"/>
            <w:hideMark/>
          </w:tcPr>
          <w:p w14:paraId="281ACB2D"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100 kg</w:t>
            </w:r>
          </w:p>
        </w:tc>
      </w:tr>
    </w:tbl>
    <w:p w14:paraId="12E44709" w14:textId="77777777" w:rsidR="006967A6" w:rsidRPr="00D32152" w:rsidRDefault="006967A6" w:rsidP="006967A6">
      <w:pPr>
        <w:spacing w:line="276" w:lineRule="auto"/>
        <w:jc w:val="both"/>
        <w:rPr>
          <w:rFonts w:ascii="Times New Roman" w:hAnsi="Times New Roman" w:cs="Times New Roman"/>
          <w:b/>
          <w:bCs/>
        </w:rPr>
      </w:pPr>
      <w:r w:rsidRPr="00D32152">
        <w:rPr>
          <w:rFonts w:ascii="Times New Roman" w:hAnsi="Times New Roman" w:cs="Times New Roman"/>
          <w:b/>
          <w:bCs/>
        </w:rPr>
        <w:tab/>
        <w:t>Source: Bhat et al. (2010)</w:t>
      </w:r>
    </w:p>
    <w:p w14:paraId="5A85E71B" w14:textId="77777777" w:rsidR="006967A6" w:rsidRPr="00D94D07" w:rsidRDefault="006967A6" w:rsidP="006967A6">
      <w:pPr>
        <w:spacing w:line="276" w:lineRule="auto"/>
        <w:jc w:val="both"/>
        <w:rPr>
          <w:rFonts w:ascii="Times New Roman" w:hAnsi="Times New Roman" w:cs="Times New Roman"/>
          <w:b/>
          <w:bCs/>
        </w:rPr>
      </w:pPr>
      <w:r w:rsidRPr="00D94D07">
        <w:rPr>
          <w:rFonts w:ascii="Times New Roman" w:hAnsi="Times New Roman" w:cs="Times New Roman"/>
          <w:b/>
          <w:bCs/>
        </w:rPr>
        <w:t>Table 2: Experimental Diet in Different Treatment Groups</w:t>
      </w:r>
    </w:p>
    <w:tbl>
      <w:tblPr>
        <w:tblStyle w:val="TableGrid"/>
        <w:tblW w:w="8842" w:type="dxa"/>
        <w:tblLook w:val="04A0" w:firstRow="1" w:lastRow="0" w:firstColumn="1" w:lastColumn="0" w:noHBand="0" w:noVBand="1"/>
      </w:tblPr>
      <w:tblGrid>
        <w:gridCol w:w="1622"/>
        <w:gridCol w:w="2057"/>
        <w:gridCol w:w="5163"/>
      </w:tblGrid>
      <w:tr w:rsidR="006967A6" w:rsidRPr="00D32152" w14:paraId="6F93C146" w14:textId="77777777" w:rsidTr="00A36834">
        <w:trPr>
          <w:trHeight w:val="533"/>
        </w:trPr>
        <w:tc>
          <w:tcPr>
            <w:tcW w:w="0" w:type="auto"/>
            <w:vAlign w:val="center"/>
            <w:hideMark/>
          </w:tcPr>
          <w:p w14:paraId="5DFFD18C"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Group</w:t>
            </w:r>
          </w:p>
        </w:tc>
        <w:tc>
          <w:tcPr>
            <w:tcW w:w="0" w:type="auto"/>
            <w:vAlign w:val="center"/>
            <w:hideMark/>
          </w:tcPr>
          <w:p w14:paraId="3A16C06D"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Total No. of Pigs</w:t>
            </w:r>
          </w:p>
        </w:tc>
        <w:tc>
          <w:tcPr>
            <w:tcW w:w="0" w:type="auto"/>
            <w:vAlign w:val="center"/>
            <w:hideMark/>
          </w:tcPr>
          <w:p w14:paraId="15E0E3E7"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Quantity of Jackfruit Powder Supplemented</w:t>
            </w:r>
          </w:p>
        </w:tc>
      </w:tr>
      <w:tr w:rsidR="006967A6" w:rsidRPr="00D32152" w14:paraId="5D5209FD" w14:textId="77777777" w:rsidTr="00A36834">
        <w:trPr>
          <w:trHeight w:val="533"/>
        </w:trPr>
        <w:tc>
          <w:tcPr>
            <w:tcW w:w="0" w:type="auto"/>
            <w:vAlign w:val="center"/>
            <w:hideMark/>
          </w:tcPr>
          <w:p w14:paraId="126A88A7"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1</w:t>
            </w:r>
            <w:r w:rsidRPr="00D32152">
              <w:rPr>
                <w:rFonts w:ascii="Times New Roman" w:hAnsi="Times New Roman" w:cs="Times New Roman"/>
                <w:b/>
                <w:bCs/>
              </w:rPr>
              <w:t xml:space="preserve"> (Control)</w:t>
            </w:r>
          </w:p>
        </w:tc>
        <w:tc>
          <w:tcPr>
            <w:tcW w:w="0" w:type="auto"/>
            <w:vAlign w:val="center"/>
            <w:hideMark/>
          </w:tcPr>
          <w:p w14:paraId="1C0929A4"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w:t>
            </w:r>
          </w:p>
        </w:tc>
        <w:tc>
          <w:tcPr>
            <w:tcW w:w="0" w:type="auto"/>
            <w:vAlign w:val="center"/>
            <w:hideMark/>
          </w:tcPr>
          <w:p w14:paraId="268F2A2F"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Only Concentrate Feed</w:t>
            </w:r>
          </w:p>
        </w:tc>
      </w:tr>
      <w:tr w:rsidR="006967A6" w:rsidRPr="00D32152" w14:paraId="21C97D4F" w14:textId="77777777" w:rsidTr="00A36834">
        <w:trPr>
          <w:trHeight w:val="519"/>
        </w:trPr>
        <w:tc>
          <w:tcPr>
            <w:tcW w:w="0" w:type="auto"/>
            <w:vAlign w:val="center"/>
            <w:hideMark/>
          </w:tcPr>
          <w:p w14:paraId="2F56229A"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2</w:t>
            </w:r>
          </w:p>
        </w:tc>
        <w:tc>
          <w:tcPr>
            <w:tcW w:w="0" w:type="auto"/>
            <w:vAlign w:val="center"/>
            <w:hideMark/>
          </w:tcPr>
          <w:p w14:paraId="167A32CF"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w:t>
            </w:r>
          </w:p>
        </w:tc>
        <w:tc>
          <w:tcPr>
            <w:tcW w:w="0" w:type="auto"/>
            <w:vAlign w:val="center"/>
            <w:hideMark/>
          </w:tcPr>
          <w:p w14:paraId="68FBDFE7"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25 g Jackfruit Powder / kg Concentrate Feed</w:t>
            </w:r>
          </w:p>
        </w:tc>
      </w:tr>
      <w:tr w:rsidR="006967A6" w:rsidRPr="00D32152" w14:paraId="10D22FA1" w14:textId="77777777" w:rsidTr="00A36834">
        <w:trPr>
          <w:trHeight w:val="533"/>
        </w:trPr>
        <w:tc>
          <w:tcPr>
            <w:tcW w:w="0" w:type="auto"/>
            <w:vAlign w:val="center"/>
            <w:hideMark/>
          </w:tcPr>
          <w:p w14:paraId="49D8F1C0"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3</w:t>
            </w:r>
          </w:p>
        </w:tc>
        <w:tc>
          <w:tcPr>
            <w:tcW w:w="0" w:type="auto"/>
            <w:vAlign w:val="center"/>
            <w:hideMark/>
          </w:tcPr>
          <w:p w14:paraId="22BF397B"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w:t>
            </w:r>
          </w:p>
        </w:tc>
        <w:tc>
          <w:tcPr>
            <w:tcW w:w="0" w:type="auto"/>
            <w:vAlign w:val="center"/>
            <w:hideMark/>
          </w:tcPr>
          <w:p w14:paraId="1D0CD849"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50 g Jackfruit Powder / kg Concentrate Feed</w:t>
            </w:r>
          </w:p>
        </w:tc>
      </w:tr>
      <w:tr w:rsidR="006967A6" w:rsidRPr="00D32152" w14:paraId="151D2D90" w14:textId="77777777" w:rsidTr="00A36834">
        <w:trPr>
          <w:trHeight w:val="533"/>
        </w:trPr>
        <w:tc>
          <w:tcPr>
            <w:tcW w:w="0" w:type="auto"/>
            <w:vAlign w:val="center"/>
            <w:hideMark/>
          </w:tcPr>
          <w:p w14:paraId="6A79F56C" w14:textId="77777777" w:rsidR="006967A6" w:rsidRPr="00D32152" w:rsidRDefault="006967A6" w:rsidP="00A36834">
            <w:pPr>
              <w:spacing w:after="160"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4</w:t>
            </w:r>
          </w:p>
        </w:tc>
        <w:tc>
          <w:tcPr>
            <w:tcW w:w="0" w:type="auto"/>
            <w:vAlign w:val="center"/>
            <w:hideMark/>
          </w:tcPr>
          <w:p w14:paraId="63C92A71"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5</w:t>
            </w:r>
          </w:p>
        </w:tc>
        <w:tc>
          <w:tcPr>
            <w:tcW w:w="0" w:type="auto"/>
            <w:vAlign w:val="center"/>
            <w:hideMark/>
          </w:tcPr>
          <w:p w14:paraId="376E14B5" w14:textId="77777777" w:rsidR="006967A6" w:rsidRPr="00D32152" w:rsidRDefault="006967A6" w:rsidP="00A36834">
            <w:pPr>
              <w:spacing w:after="160" w:line="276" w:lineRule="auto"/>
              <w:jc w:val="center"/>
              <w:rPr>
                <w:rFonts w:ascii="Times New Roman" w:hAnsi="Times New Roman" w:cs="Times New Roman"/>
              </w:rPr>
            </w:pPr>
            <w:r w:rsidRPr="00D32152">
              <w:rPr>
                <w:rFonts w:ascii="Times New Roman" w:hAnsi="Times New Roman" w:cs="Times New Roman"/>
              </w:rPr>
              <w:t>75 g Jackfruit Powder / kg Concentrate Feed</w:t>
            </w:r>
          </w:p>
        </w:tc>
      </w:tr>
    </w:tbl>
    <w:p w14:paraId="1B699D92" w14:textId="77777777" w:rsidR="006967A6" w:rsidRPr="00D94D07" w:rsidRDefault="006967A6" w:rsidP="006967A6">
      <w:pPr>
        <w:spacing w:line="276" w:lineRule="auto"/>
        <w:jc w:val="both"/>
        <w:rPr>
          <w:rFonts w:ascii="Times New Roman" w:hAnsi="Times New Roman" w:cs="Times New Roman"/>
          <w:b/>
          <w:bCs/>
        </w:rPr>
      </w:pPr>
      <w:r w:rsidRPr="00D94D07">
        <w:rPr>
          <w:rFonts w:ascii="Times New Roman" w:hAnsi="Times New Roman" w:cs="Times New Roman"/>
          <w:b/>
          <w:bCs/>
        </w:rPr>
        <w:t xml:space="preserve">Table 3: Haematological Parameters of </w:t>
      </w:r>
      <w:proofErr w:type="spellStart"/>
      <w:r w:rsidRPr="00D94D07">
        <w:rPr>
          <w:rFonts w:ascii="Times New Roman" w:hAnsi="Times New Roman" w:cs="Times New Roman"/>
          <w:b/>
          <w:bCs/>
          <w:i/>
          <w:iCs/>
        </w:rPr>
        <w:t>Tenyi</w:t>
      </w:r>
      <w:proofErr w:type="spellEnd"/>
      <w:r w:rsidRPr="00D94D07">
        <w:rPr>
          <w:rFonts w:ascii="Times New Roman" w:hAnsi="Times New Roman" w:cs="Times New Roman"/>
          <w:b/>
          <w:bCs/>
          <w:i/>
          <w:iCs/>
        </w:rPr>
        <w:t xml:space="preserve"> Vo</w:t>
      </w:r>
      <w:r w:rsidRPr="00D94D07">
        <w:rPr>
          <w:rFonts w:ascii="Times New Roman" w:hAnsi="Times New Roman" w:cs="Times New Roman"/>
          <w:b/>
          <w:bCs/>
        </w:rPr>
        <w:t xml:space="preserve"> Pigs Fed Jackfruit Powder</w:t>
      </w:r>
    </w:p>
    <w:tbl>
      <w:tblPr>
        <w:tblStyle w:val="TableGrid"/>
        <w:tblW w:w="8838" w:type="dxa"/>
        <w:tblLook w:val="04A0" w:firstRow="1" w:lastRow="0" w:firstColumn="1" w:lastColumn="0" w:noHBand="0" w:noVBand="1"/>
      </w:tblPr>
      <w:tblGrid>
        <w:gridCol w:w="853"/>
        <w:gridCol w:w="2797"/>
        <w:gridCol w:w="1297"/>
        <w:gridCol w:w="1297"/>
        <w:gridCol w:w="1297"/>
        <w:gridCol w:w="1297"/>
      </w:tblGrid>
      <w:tr w:rsidR="006967A6" w:rsidRPr="00D32152" w14:paraId="527DACBF" w14:textId="77777777" w:rsidTr="00A36834">
        <w:trPr>
          <w:trHeight w:val="304"/>
        </w:trPr>
        <w:tc>
          <w:tcPr>
            <w:tcW w:w="852" w:type="dxa"/>
            <w:vMerge w:val="restart"/>
            <w:vAlign w:val="center"/>
          </w:tcPr>
          <w:p w14:paraId="3DCE9C9E"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S. No.</w:t>
            </w:r>
          </w:p>
        </w:tc>
        <w:tc>
          <w:tcPr>
            <w:tcW w:w="2797" w:type="dxa"/>
            <w:vMerge w:val="restart"/>
            <w:vAlign w:val="center"/>
          </w:tcPr>
          <w:p w14:paraId="3A5B242D"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Parameter</w:t>
            </w:r>
          </w:p>
        </w:tc>
        <w:tc>
          <w:tcPr>
            <w:tcW w:w="0" w:type="auto"/>
            <w:gridSpan w:val="4"/>
            <w:vAlign w:val="center"/>
          </w:tcPr>
          <w:p w14:paraId="5587B6D3"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Treatment Groups</w:t>
            </w:r>
          </w:p>
        </w:tc>
      </w:tr>
      <w:tr w:rsidR="006967A6" w:rsidRPr="00D32152" w14:paraId="16AD70EA" w14:textId="77777777" w:rsidTr="00A36834">
        <w:trPr>
          <w:trHeight w:val="158"/>
        </w:trPr>
        <w:tc>
          <w:tcPr>
            <w:tcW w:w="852" w:type="dxa"/>
            <w:vMerge/>
            <w:vAlign w:val="center"/>
            <w:hideMark/>
          </w:tcPr>
          <w:p w14:paraId="3A58EB09" w14:textId="77777777" w:rsidR="006967A6" w:rsidRPr="00D32152" w:rsidRDefault="006967A6" w:rsidP="00A36834">
            <w:pPr>
              <w:spacing w:line="276" w:lineRule="auto"/>
              <w:jc w:val="center"/>
              <w:rPr>
                <w:rFonts w:ascii="Times New Roman" w:hAnsi="Times New Roman" w:cs="Times New Roman"/>
                <w:b/>
                <w:bCs/>
              </w:rPr>
            </w:pPr>
          </w:p>
        </w:tc>
        <w:tc>
          <w:tcPr>
            <w:tcW w:w="2797" w:type="dxa"/>
            <w:vMerge/>
            <w:vAlign w:val="center"/>
          </w:tcPr>
          <w:p w14:paraId="003D9556" w14:textId="77777777" w:rsidR="006967A6" w:rsidRPr="00D32152" w:rsidRDefault="006967A6" w:rsidP="00A36834">
            <w:pPr>
              <w:spacing w:line="276" w:lineRule="auto"/>
              <w:jc w:val="center"/>
              <w:rPr>
                <w:rFonts w:ascii="Times New Roman" w:hAnsi="Times New Roman" w:cs="Times New Roman"/>
                <w:b/>
                <w:bCs/>
              </w:rPr>
            </w:pPr>
          </w:p>
        </w:tc>
        <w:tc>
          <w:tcPr>
            <w:tcW w:w="0" w:type="auto"/>
            <w:vAlign w:val="center"/>
            <w:hideMark/>
          </w:tcPr>
          <w:p w14:paraId="5596A848"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1</w:t>
            </w:r>
          </w:p>
        </w:tc>
        <w:tc>
          <w:tcPr>
            <w:tcW w:w="0" w:type="auto"/>
            <w:vAlign w:val="center"/>
            <w:hideMark/>
          </w:tcPr>
          <w:p w14:paraId="0FC2BA29"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2</w:t>
            </w:r>
          </w:p>
        </w:tc>
        <w:tc>
          <w:tcPr>
            <w:tcW w:w="0" w:type="auto"/>
            <w:vAlign w:val="center"/>
            <w:hideMark/>
          </w:tcPr>
          <w:p w14:paraId="3C6C7D41"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3</w:t>
            </w:r>
          </w:p>
        </w:tc>
        <w:tc>
          <w:tcPr>
            <w:tcW w:w="0" w:type="auto"/>
            <w:vAlign w:val="center"/>
            <w:hideMark/>
          </w:tcPr>
          <w:p w14:paraId="290DEF98" w14:textId="77777777" w:rsidR="006967A6" w:rsidRPr="00D32152" w:rsidRDefault="006967A6" w:rsidP="00A36834">
            <w:pPr>
              <w:spacing w:line="276" w:lineRule="auto"/>
              <w:jc w:val="center"/>
              <w:rPr>
                <w:rFonts w:ascii="Times New Roman" w:hAnsi="Times New Roman" w:cs="Times New Roman"/>
                <w:b/>
                <w:bCs/>
              </w:rPr>
            </w:pPr>
            <w:r w:rsidRPr="00D32152">
              <w:rPr>
                <w:rFonts w:ascii="Times New Roman" w:hAnsi="Times New Roman" w:cs="Times New Roman"/>
                <w:b/>
                <w:bCs/>
              </w:rPr>
              <w:t>G</w:t>
            </w:r>
            <w:r w:rsidRPr="00D32152">
              <w:rPr>
                <w:rFonts w:ascii="Times New Roman" w:hAnsi="Times New Roman" w:cs="Times New Roman"/>
                <w:b/>
                <w:bCs/>
                <w:vertAlign w:val="subscript"/>
              </w:rPr>
              <w:t>4</w:t>
            </w:r>
          </w:p>
        </w:tc>
      </w:tr>
      <w:tr w:rsidR="006967A6" w:rsidRPr="00D32152" w14:paraId="61819545" w14:textId="77777777" w:rsidTr="00A36834">
        <w:trPr>
          <w:trHeight w:val="291"/>
        </w:trPr>
        <w:tc>
          <w:tcPr>
            <w:tcW w:w="852" w:type="dxa"/>
            <w:vAlign w:val="center"/>
            <w:hideMark/>
          </w:tcPr>
          <w:p w14:paraId="16D17A8E"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w:t>
            </w:r>
          </w:p>
        </w:tc>
        <w:tc>
          <w:tcPr>
            <w:tcW w:w="2797" w:type="dxa"/>
            <w:vAlign w:val="center"/>
          </w:tcPr>
          <w:p w14:paraId="7D57603D"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RBC (10</w:t>
            </w:r>
            <w:r w:rsidRPr="00D32152">
              <w:rPr>
                <w:rFonts w:ascii="Times New Roman" w:hAnsi="Times New Roman" w:cs="Times New Roman"/>
                <w:vertAlign w:val="superscript"/>
              </w:rPr>
              <w:t>6</w:t>
            </w:r>
            <w:r w:rsidRPr="00D32152">
              <w:rPr>
                <w:rFonts w:ascii="Times New Roman" w:hAnsi="Times New Roman" w:cs="Times New Roman"/>
              </w:rPr>
              <w:t>/mm</w:t>
            </w:r>
            <w:r w:rsidRPr="00D32152">
              <w:rPr>
                <w:rFonts w:ascii="Times New Roman" w:hAnsi="Times New Roman" w:cs="Times New Roman"/>
                <w:vertAlign w:val="superscript"/>
              </w:rPr>
              <w:t>3</w:t>
            </w:r>
            <w:r w:rsidRPr="00D32152">
              <w:rPr>
                <w:rFonts w:ascii="Times New Roman" w:hAnsi="Times New Roman" w:cs="Times New Roman"/>
              </w:rPr>
              <w:t>)</w:t>
            </w:r>
          </w:p>
        </w:tc>
        <w:tc>
          <w:tcPr>
            <w:tcW w:w="0" w:type="auto"/>
            <w:vAlign w:val="center"/>
            <w:hideMark/>
          </w:tcPr>
          <w:p w14:paraId="1C140F6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6.08</w:t>
            </w:r>
          </w:p>
        </w:tc>
        <w:tc>
          <w:tcPr>
            <w:tcW w:w="0" w:type="auto"/>
            <w:vAlign w:val="center"/>
            <w:hideMark/>
          </w:tcPr>
          <w:p w14:paraId="489EC299"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6.11</w:t>
            </w:r>
          </w:p>
        </w:tc>
        <w:tc>
          <w:tcPr>
            <w:tcW w:w="0" w:type="auto"/>
            <w:vAlign w:val="center"/>
            <w:hideMark/>
          </w:tcPr>
          <w:p w14:paraId="0D9C309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6.61</w:t>
            </w:r>
          </w:p>
        </w:tc>
        <w:tc>
          <w:tcPr>
            <w:tcW w:w="0" w:type="auto"/>
            <w:vAlign w:val="center"/>
            <w:hideMark/>
          </w:tcPr>
          <w:p w14:paraId="3BFFDB0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6.86</w:t>
            </w:r>
          </w:p>
        </w:tc>
      </w:tr>
      <w:tr w:rsidR="006967A6" w:rsidRPr="00D32152" w14:paraId="02B7AF72" w14:textId="77777777" w:rsidTr="00A36834">
        <w:trPr>
          <w:trHeight w:val="304"/>
        </w:trPr>
        <w:tc>
          <w:tcPr>
            <w:tcW w:w="852" w:type="dxa"/>
            <w:vAlign w:val="center"/>
            <w:hideMark/>
          </w:tcPr>
          <w:p w14:paraId="43486516"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2</w:t>
            </w:r>
          </w:p>
        </w:tc>
        <w:tc>
          <w:tcPr>
            <w:tcW w:w="2797" w:type="dxa"/>
            <w:vAlign w:val="center"/>
          </w:tcPr>
          <w:p w14:paraId="4B5AE1D8"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WBC (10</w:t>
            </w:r>
            <w:r w:rsidRPr="00D32152">
              <w:rPr>
                <w:rFonts w:ascii="Times New Roman" w:hAnsi="Times New Roman" w:cs="Times New Roman"/>
                <w:vertAlign w:val="superscript"/>
              </w:rPr>
              <w:t>3</w:t>
            </w:r>
            <w:r w:rsidRPr="00D32152">
              <w:rPr>
                <w:rFonts w:ascii="Times New Roman" w:hAnsi="Times New Roman" w:cs="Times New Roman"/>
              </w:rPr>
              <w:t>/mm</w:t>
            </w:r>
            <w:r w:rsidRPr="00D32152">
              <w:rPr>
                <w:rFonts w:ascii="Times New Roman" w:hAnsi="Times New Roman" w:cs="Times New Roman"/>
                <w:vertAlign w:val="superscript"/>
              </w:rPr>
              <w:t>3</w:t>
            </w:r>
            <w:r w:rsidRPr="00D32152">
              <w:rPr>
                <w:rFonts w:ascii="Times New Roman" w:hAnsi="Times New Roman" w:cs="Times New Roman"/>
              </w:rPr>
              <w:t>)</w:t>
            </w:r>
          </w:p>
        </w:tc>
        <w:tc>
          <w:tcPr>
            <w:tcW w:w="0" w:type="auto"/>
            <w:vAlign w:val="center"/>
            <w:hideMark/>
          </w:tcPr>
          <w:p w14:paraId="78970809"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15.18</w:t>
            </w:r>
          </w:p>
        </w:tc>
        <w:tc>
          <w:tcPr>
            <w:tcW w:w="0" w:type="auto"/>
            <w:vAlign w:val="center"/>
            <w:hideMark/>
          </w:tcPr>
          <w:p w14:paraId="551C490A"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19.08</w:t>
            </w:r>
          </w:p>
        </w:tc>
        <w:tc>
          <w:tcPr>
            <w:tcW w:w="0" w:type="auto"/>
            <w:vAlign w:val="center"/>
            <w:hideMark/>
          </w:tcPr>
          <w:p w14:paraId="392AE39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22.80</w:t>
            </w:r>
          </w:p>
        </w:tc>
        <w:tc>
          <w:tcPr>
            <w:tcW w:w="0" w:type="auto"/>
            <w:vAlign w:val="center"/>
            <w:hideMark/>
          </w:tcPr>
          <w:p w14:paraId="3D6910D6"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22.95</w:t>
            </w:r>
          </w:p>
        </w:tc>
      </w:tr>
      <w:tr w:rsidR="006967A6" w:rsidRPr="00D32152" w14:paraId="605C645E" w14:textId="77777777" w:rsidTr="00A36834">
        <w:trPr>
          <w:trHeight w:val="304"/>
        </w:trPr>
        <w:tc>
          <w:tcPr>
            <w:tcW w:w="852" w:type="dxa"/>
            <w:vAlign w:val="center"/>
            <w:hideMark/>
          </w:tcPr>
          <w:p w14:paraId="5BD269C0"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w:t>
            </w:r>
          </w:p>
        </w:tc>
        <w:tc>
          <w:tcPr>
            <w:tcW w:w="2797" w:type="dxa"/>
            <w:vAlign w:val="center"/>
          </w:tcPr>
          <w:p w14:paraId="322FD394"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Hb (g/dl)</w:t>
            </w:r>
          </w:p>
        </w:tc>
        <w:tc>
          <w:tcPr>
            <w:tcW w:w="0" w:type="auto"/>
            <w:vAlign w:val="center"/>
            <w:hideMark/>
          </w:tcPr>
          <w:p w14:paraId="6FD4A3AA"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11.28</w:t>
            </w:r>
          </w:p>
        </w:tc>
        <w:tc>
          <w:tcPr>
            <w:tcW w:w="0" w:type="auto"/>
            <w:vAlign w:val="center"/>
            <w:hideMark/>
          </w:tcPr>
          <w:p w14:paraId="4B9794DD"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11.30</w:t>
            </w:r>
          </w:p>
        </w:tc>
        <w:tc>
          <w:tcPr>
            <w:tcW w:w="0" w:type="auto"/>
            <w:vAlign w:val="center"/>
            <w:hideMark/>
          </w:tcPr>
          <w:p w14:paraId="1136AF8A"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12.60</w:t>
            </w:r>
          </w:p>
        </w:tc>
        <w:tc>
          <w:tcPr>
            <w:tcW w:w="0" w:type="auto"/>
            <w:vAlign w:val="center"/>
            <w:hideMark/>
          </w:tcPr>
          <w:p w14:paraId="79F8FF05"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13.13</w:t>
            </w:r>
          </w:p>
        </w:tc>
      </w:tr>
      <w:tr w:rsidR="006967A6" w:rsidRPr="00D32152" w14:paraId="590E10CA" w14:textId="77777777" w:rsidTr="00A36834">
        <w:trPr>
          <w:trHeight w:val="304"/>
        </w:trPr>
        <w:tc>
          <w:tcPr>
            <w:tcW w:w="852" w:type="dxa"/>
            <w:vAlign w:val="center"/>
            <w:hideMark/>
          </w:tcPr>
          <w:p w14:paraId="5383463C"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4</w:t>
            </w:r>
          </w:p>
        </w:tc>
        <w:tc>
          <w:tcPr>
            <w:tcW w:w="2797" w:type="dxa"/>
            <w:vAlign w:val="center"/>
          </w:tcPr>
          <w:p w14:paraId="6E2A4EB3"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PCV (%)</w:t>
            </w:r>
          </w:p>
        </w:tc>
        <w:tc>
          <w:tcPr>
            <w:tcW w:w="0" w:type="auto"/>
            <w:vAlign w:val="center"/>
            <w:hideMark/>
          </w:tcPr>
          <w:p w14:paraId="681A203C"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34.93</w:t>
            </w:r>
          </w:p>
        </w:tc>
        <w:tc>
          <w:tcPr>
            <w:tcW w:w="0" w:type="auto"/>
            <w:vAlign w:val="center"/>
            <w:hideMark/>
          </w:tcPr>
          <w:p w14:paraId="4D539DB3"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35.85</w:t>
            </w:r>
          </w:p>
        </w:tc>
        <w:tc>
          <w:tcPr>
            <w:tcW w:w="0" w:type="auto"/>
            <w:vAlign w:val="center"/>
            <w:hideMark/>
          </w:tcPr>
          <w:p w14:paraId="1BD5B831"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36.40</w:t>
            </w:r>
          </w:p>
        </w:tc>
        <w:tc>
          <w:tcPr>
            <w:tcW w:w="0" w:type="auto"/>
            <w:vAlign w:val="center"/>
            <w:hideMark/>
          </w:tcPr>
          <w:p w14:paraId="7107F34F"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37.15</w:t>
            </w:r>
          </w:p>
        </w:tc>
      </w:tr>
      <w:tr w:rsidR="006967A6" w:rsidRPr="00D32152" w14:paraId="261BB4D0" w14:textId="77777777" w:rsidTr="00A36834">
        <w:trPr>
          <w:trHeight w:val="304"/>
        </w:trPr>
        <w:tc>
          <w:tcPr>
            <w:tcW w:w="852" w:type="dxa"/>
            <w:vAlign w:val="center"/>
            <w:hideMark/>
          </w:tcPr>
          <w:p w14:paraId="0BA6EF3A"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w:t>
            </w:r>
          </w:p>
        </w:tc>
        <w:tc>
          <w:tcPr>
            <w:tcW w:w="2797" w:type="dxa"/>
            <w:vAlign w:val="center"/>
          </w:tcPr>
          <w:p w14:paraId="1E342F62"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MCV (</w:t>
            </w:r>
            <w:proofErr w:type="spellStart"/>
            <w:r w:rsidRPr="00D32152">
              <w:rPr>
                <w:rFonts w:ascii="Times New Roman" w:hAnsi="Times New Roman" w:cs="Times New Roman"/>
              </w:rPr>
              <w:t>fl</w:t>
            </w:r>
            <w:proofErr w:type="spellEnd"/>
            <w:r w:rsidRPr="00D32152">
              <w:rPr>
                <w:rFonts w:ascii="Times New Roman" w:hAnsi="Times New Roman" w:cs="Times New Roman"/>
              </w:rPr>
              <w:t>)</w:t>
            </w:r>
          </w:p>
        </w:tc>
        <w:tc>
          <w:tcPr>
            <w:tcW w:w="0" w:type="auto"/>
            <w:vAlign w:val="center"/>
            <w:hideMark/>
          </w:tcPr>
          <w:p w14:paraId="530A75A0"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53.50</w:t>
            </w:r>
          </w:p>
        </w:tc>
        <w:tc>
          <w:tcPr>
            <w:tcW w:w="0" w:type="auto"/>
            <w:vAlign w:val="center"/>
            <w:hideMark/>
          </w:tcPr>
          <w:p w14:paraId="534F6FB6"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53.93</w:t>
            </w:r>
          </w:p>
        </w:tc>
        <w:tc>
          <w:tcPr>
            <w:tcW w:w="0" w:type="auto"/>
            <w:vAlign w:val="center"/>
            <w:hideMark/>
          </w:tcPr>
          <w:p w14:paraId="297D8B3C"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55.03</w:t>
            </w:r>
          </w:p>
        </w:tc>
        <w:tc>
          <w:tcPr>
            <w:tcW w:w="0" w:type="auto"/>
            <w:vAlign w:val="center"/>
            <w:hideMark/>
          </w:tcPr>
          <w:p w14:paraId="505348C6" w14:textId="77777777" w:rsidR="006967A6" w:rsidRPr="00D32152" w:rsidRDefault="006967A6" w:rsidP="00A36834">
            <w:pPr>
              <w:spacing w:line="276" w:lineRule="auto"/>
              <w:jc w:val="center"/>
              <w:rPr>
                <w:rFonts w:ascii="Times New Roman" w:hAnsi="Times New Roman" w:cs="Times New Roman"/>
              </w:rPr>
            </w:pPr>
            <w:r w:rsidRPr="00D32152">
              <w:rPr>
                <w:rFonts w:ascii="Times New Roman" w:hAnsi="Times New Roman" w:cs="Times New Roman"/>
              </w:rPr>
              <w:t>56.23</w:t>
            </w:r>
          </w:p>
        </w:tc>
      </w:tr>
    </w:tbl>
    <w:p w14:paraId="0FF46416" w14:textId="77777777" w:rsidR="006967A6" w:rsidRDefault="006967A6" w:rsidP="006967A6">
      <w:pPr>
        <w:spacing w:after="0" w:line="276" w:lineRule="auto"/>
        <w:ind w:left="1276" w:hanging="1276"/>
        <w:jc w:val="both"/>
        <w:rPr>
          <w:rFonts w:ascii="Times New Roman" w:hAnsi="Times New Roman" w:cs="Times New Roman"/>
        </w:rPr>
      </w:pPr>
    </w:p>
    <w:p w14:paraId="2DB04F46" w14:textId="77777777" w:rsidR="006967A6" w:rsidRDefault="006967A6" w:rsidP="006967A6">
      <w:pPr>
        <w:spacing w:after="0" w:line="276" w:lineRule="auto"/>
        <w:ind w:left="1276" w:hanging="1276"/>
        <w:jc w:val="both"/>
        <w:rPr>
          <w:rFonts w:ascii="Times New Roman" w:hAnsi="Times New Roman" w:cs="Times New Roman"/>
          <w:b/>
        </w:rPr>
      </w:pPr>
    </w:p>
    <w:p w14:paraId="5FDDFB82" w14:textId="77777777" w:rsidR="006967A6" w:rsidRDefault="006967A6" w:rsidP="006967A6">
      <w:pPr>
        <w:spacing w:after="0" w:line="276" w:lineRule="auto"/>
        <w:ind w:left="1276" w:hanging="1276"/>
        <w:jc w:val="both"/>
        <w:rPr>
          <w:rFonts w:ascii="Times New Roman" w:hAnsi="Times New Roman" w:cs="Times New Roman"/>
          <w:b/>
        </w:rPr>
      </w:pPr>
    </w:p>
    <w:p w14:paraId="62068437" w14:textId="77777777" w:rsidR="006967A6" w:rsidRDefault="006967A6" w:rsidP="006967A6">
      <w:pPr>
        <w:spacing w:after="0" w:line="276" w:lineRule="auto"/>
        <w:ind w:left="1276" w:hanging="1276"/>
        <w:jc w:val="both"/>
        <w:rPr>
          <w:rFonts w:ascii="Times New Roman" w:hAnsi="Times New Roman" w:cs="Times New Roman"/>
          <w:b/>
        </w:rPr>
      </w:pPr>
    </w:p>
    <w:p w14:paraId="2F0B1197" w14:textId="77777777" w:rsidR="006967A6" w:rsidRDefault="006967A6" w:rsidP="006967A6">
      <w:pPr>
        <w:spacing w:after="0" w:line="276" w:lineRule="auto"/>
        <w:ind w:left="1276" w:hanging="1276"/>
        <w:jc w:val="both"/>
        <w:rPr>
          <w:rFonts w:ascii="Times New Roman" w:hAnsi="Times New Roman" w:cs="Times New Roman"/>
          <w:b/>
        </w:rPr>
      </w:pPr>
    </w:p>
    <w:p w14:paraId="56AE9F00" w14:textId="77777777" w:rsidR="006967A6" w:rsidRDefault="006967A6" w:rsidP="006967A6">
      <w:pPr>
        <w:spacing w:after="0" w:line="276" w:lineRule="auto"/>
        <w:ind w:left="1276" w:hanging="1276"/>
        <w:jc w:val="both"/>
        <w:rPr>
          <w:rFonts w:ascii="Times New Roman" w:hAnsi="Times New Roman" w:cs="Times New Roman"/>
          <w:b/>
        </w:rPr>
      </w:pPr>
    </w:p>
    <w:p w14:paraId="0416B857" w14:textId="77777777" w:rsidR="006967A6" w:rsidRDefault="006967A6" w:rsidP="006967A6">
      <w:pPr>
        <w:spacing w:after="0" w:line="276" w:lineRule="auto"/>
        <w:ind w:left="1276" w:hanging="1276"/>
        <w:jc w:val="both"/>
        <w:rPr>
          <w:rFonts w:ascii="Times New Roman" w:hAnsi="Times New Roman" w:cs="Times New Roman"/>
          <w:b/>
        </w:rPr>
      </w:pPr>
      <w:r w:rsidRPr="00D94D07">
        <w:rPr>
          <w:rFonts w:ascii="Times New Roman" w:hAnsi="Times New Roman" w:cs="Times New Roman"/>
          <w:b/>
        </w:rPr>
        <w:t xml:space="preserve">Table </w:t>
      </w:r>
      <w:r>
        <w:rPr>
          <w:rFonts w:ascii="Times New Roman" w:hAnsi="Times New Roman" w:cs="Times New Roman"/>
          <w:b/>
        </w:rPr>
        <w:t>4</w:t>
      </w:r>
      <w:r w:rsidRPr="00D94D07">
        <w:rPr>
          <w:rFonts w:ascii="Times New Roman" w:hAnsi="Times New Roman" w:cs="Times New Roman"/>
          <w:b/>
        </w:rPr>
        <w:t>: Morbidity and mortality per centage for different treatments groups.</w:t>
      </w:r>
    </w:p>
    <w:tbl>
      <w:tblPr>
        <w:tblStyle w:val="TableGrid"/>
        <w:tblW w:w="0" w:type="auto"/>
        <w:tblInd w:w="108" w:type="dxa"/>
        <w:tblLook w:val="04A0" w:firstRow="1" w:lastRow="0" w:firstColumn="1" w:lastColumn="0" w:noHBand="0" w:noVBand="1"/>
      </w:tblPr>
      <w:tblGrid>
        <w:gridCol w:w="2898"/>
        <w:gridCol w:w="2898"/>
        <w:gridCol w:w="2898"/>
      </w:tblGrid>
      <w:tr w:rsidR="006967A6" w:rsidRPr="00D32152" w14:paraId="3ED99BA6" w14:textId="77777777" w:rsidTr="00A36834">
        <w:trPr>
          <w:trHeight w:val="358"/>
        </w:trPr>
        <w:tc>
          <w:tcPr>
            <w:tcW w:w="2898" w:type="dxa"/>
            <w:vAlign w:val="center"/>
          </w:tcPr>
          <w:p w14:paraId="76AAA650" w14:textId="77777777" w:rsidR="006967A6" w:rsidRPr="00D32152" w:rsidRDefault="006967A6" w:rsidP="00A36834">
            <w:pPr>
              <w:spacing w:line="276" w:lineRule="auto"/>
              <w:jc w:val="center"/>
              <w:rPr>
                <w:rFonts w:ascii="Times New Roman" w:hAnsi="Times New Roman" w:cs="Times New Roman"/>
                <w:b/>
              </w:rPr>
            </w:pPr>
            <w:r w:rsidRPr="00D32152">
              <w:rPr>
                <w:rFonts w:ascii="Times New Roman" w:hAnsi="Times New Roman" w:cs="Times New Roman"/>
                <w:b/>
              </w:rPr>
              <w:t>Treatments</w:t>
            </w:r>
          </w:p>
        </w:tc>
        <w:tc>
          <w:tcPr>
            <w:tcW w:w="2898" w:type="dxa"/>
            <w:vAlign w:val="center"/>
          </w:tcPr>
          <w:p w14:paraId="0BBB3A8F" w14:textId="77777777" w:rsidR="006967A6" w:rsidRPr="00D32152" w:rsidRDefault="006967A6" w:rsidP="00A36834">
            <w:pPr>
              <w:spacing w:line="276" w:lineRule="auto"/>
              <w:jc w:val="center"/>
              <w:rPr>
                <w:rFonts w:ascii="Times New Roman" w:hAnsi="Times New Roman" w:cs="Times New Roman"/>
                <w:b/>
              </w:rPr>
            </w:pPr>
            <w:r w:rsidRPr="00D32152">
              <w:rPr>
                <w:rFonts w:ascii="Times New Roman" w:hAnsi="Times New Roman" w:cs="Times New Roman"/>
                <w:b/>
              </w:rPr>
              <w:t>Morbidity (%)</w:t>
            </w:r>
          </w:p>
        </w:tc>
        <w:tc>
          <w:tcPr>
            <w:tcW w:w="2898" w:type="dxa"/>
            <w:vAlign w:val="center"/>
          </w:tcPr>
          <w:p w14:paraId="28C23E37" w14:textId="77777777" w:rsidR="006967A6" w:rsidRPr="00D32152" w:rsidRDefault="006967A6" w:rsidP="00A36834">
            <w:pPr>
              <w:spacing w:line="276" w:lineRule="auto"/>
              <w:jc w:val="center"/>
              <w:rPr>
                <w:rFonts w:ascii="Times New Roman" w:hAnsi="Times New Roman" w:cs="Times New Roman"/>
                <w:b/>
              </w:rPr>
            </w:pPr>
            <w:r w:rsidRPr="00D32152">
              <w:rPr>
                <w:rFonts w:ascii="Times New Roman" w:hAnsi="Times New Roman" w:cs="Times New Roman"/>
                <w:b/>
              </w:rPr>
              <w:t>Mortality (%)</w:t>
            </w:r>
          </w:p>
        </w:tc>
      </w:tr>
      <w:tr w:rsidR="006967A6" w:rsidRPr="00D32152" w14:paraId="11853F72" w14:textId="77777777" w:rsidTr="00A36834">
        <w:trPr>
          <w:trHeight w:val="364"/>
        </w:trPr>
        <w:tc>
          <w:tcPr>
            <w:tcW w:w="2898" w:type="dxa"/>
            <w:vAlign w:val="center"/>
          </w:tcPr>
          <w:p w14:paraId="3D34F6B6" w14:textId="77777777" w:rsidR="006967A6" w:rsidRPr="00D32152" w:rsidRDefault="006967A6" w:rsidP="00A36834">
            <w:pPr>
              <w:spacing w:line="276" w:lineRule="auto"/>
              <w:jc w:val="center"/>
              <w:rPr>
                <w:rFonts w:ascii="Times New Roman" w:hAnsi="Times New Roman" w:cs="Times New Roman"/>
                <w:b/>
                <w:vertAlign w:val="subscript"/>
              </w:rPr>
            </w:pPr>
            <w:r w:rsidRPr="00D32152">
              <w:rPr>
                <w:rFonts w:ascii="Times New Roman" w:hAnsi="Times New Roman" w:cs="Times New Roman"/>
                <w:b/>
              </w:rPr>
              <w:t>G</w:t>
            </w:r>
            <w:r w:rsidRPr="00D32152">
              <w:rPr>
                <w:rFonts w:ascii="Times New Roman" w:hAnsi="Times New Roman" w:cs="Times New Roman"/>
                <w:b/>
                <w:vertAlign w:val="subscript"/>
              </w:rPr>
              <w:t>1</w:t>
            </w:r>
          </w:p>
        </w:tc>
        <w:tc>
          <w:tcPr>
            <w:tcW w:w="2898" w:type="dxa"/>
            <w:vAlign w:val="center"/>
          </w:tcPr>
          <w:p w14:paraId="33E981EE"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40.00</w:t>
            </w:r>
          </w:p>
        </w:tc>
        <w:tc>
          <w:tcPr>
            <w:tcW w:w="2898" w:type="dxa"/>
            <w:vAlign w:val="center"/>
          </w:tcPr>
          <w:p w14:paraId="202A4AD3"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r>
      <w:tr w:rsidR="006967A6" w:rsidRPr="00D32152" w14:paraId="1B8C2D5C" w14:textId="77777777" w:rsidTr="00A36834">
        <w:trPr>
          <w:trHeight w:val="356"/>
        </w:trPr>
        <w:tc>
          <w:tcPr>
            <w:tcW w:w="2898" w:type="dxa"/>
            <w:vAlign w:val="center"/>
          </w:tcPr>
          <w:p w14:paraId="3FDFB422" w14:textId="77777777" w:rsidR="006967A6" w:rsidRPr="00D32152" w:rsidRDefault="006967A6" w:rsidP="00A36834">
            <w:pPr>
              <w:spacing w:line="276" w:lineRule="auto"/>
              <w:jc w:val="center"/>
              <w:rPr>
                <w:rFonts w:ascii="Times New Roman" w:hAnsi="Times New Roman" w:cs="Times New Roman"/>
                <w:b/>
                <w:vertAlign w:val="subscript"/>
              </w:rPr>
            </w:pPr>
            <w:r w:rsidRPr="00D32152">
              <w:rPr>
                <w:rFonts w:ascii="Times New Roman" w:hAnsi="Times New Roman" w:cs="Times New Roman"/>
                <w:b/>
              </w:rPr>
              <w:t>G</w:t>
            </w:r>
            <w:r w:rsidRPr="00D32152">
              <w:rPr>
                <w:rFonts w:ascii="Times New Roman" w:hAnsi="Times New Roman" w:cs="Times New Roman"/>
                <w:b/>
                <w:vertAlign w:val="subscript"/>
              </w:rPr>
              <w:t>2</w:t>
            </w:r>
          </w:p>
        </w:tc>
        <w:tc>
          <w:tcPr>
            <w:tcW w:w="2898" w:type="dxa"/>
            <w:vAlign w:val="center"/>
          </w:tcPr>
          <w:p w14:paraId="040E4D47"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20.00</w:t>
            </w:r>
          </w:p>
        </w:tc>
        <w:tc>
          <w:tcPr>
            <w:tcW w:w="2898" w:type="dxa"/>
            <w:vAlign w:val="center"/>
          </w:tcPr>
          <w:p w14:paraId="33B756DD"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20.00</w:t>
            </w:r>
          </w:p>
        </w:tc>
      </w:tr>
      <w:tr w:rsidR="006967A6" w:rsidRPr="00D32152" w14:paraId="5410F0A6" w14:textId="77777777" w:rsidTr="00A36834">
        <w:trPr>
          <w:trHeight w:val="362"/>
        </w:trPr>
        <w:tc>
          <w:tcPr>
            <w:tcW w:w="2898" w:type="dxa"/>
            <w:vAlign w:val="center"/>
          </w:tcPr>
          <w:p w14:paraId="6BB4EA6D" w14:textId="77777777" w:rsidR="006967A6" w:rsidRPr="00D32152" w:rsidRDefault="006967A6" w:rsidP="00A36834">
            <w:pPr>
              <w:spacing w:line="276" w:lineRule="auto"/>
              <w:jc w:val="center"/>
              <w:rPr>
                <w:rFonts w:ascii="Times New Roman" w:hAnsi="Times New Roman" w:cs="Times New Roman"/>
                <w:b/>
                <w:vertAlign w:val="subscript"/>
              </w:rPr>
            </w:pPr>
            <w:r w:rsidRPr="00D32152">
              <w:rPr>
                <w:rFonts w:ascii="Times New Roman" w:hAnsi="Times New Roman" w:cs="Times New Roman"/>
                <w:b/>
              </w:rPr>
              <w:t>G</w:t>
            </w:r>
            <w:r w:rsidRPr="00D32152">
              <w:rPr>
                <w:rFonts w:ascii="Times New Roman" w:hAnsi="Times New Roman" w:cs="Times New Roman"/>
                <w:b/>
                <w:vertAlign w:val="subscript"/>
              </w:rPr>
              <w:t>3</w:t>
            </w:r>
          </w:p>
        </w:tc>
        <w:tc>
          <w:tcPr>
            <w:tcW w:w="2898" w:type="dxa"/>
            <w:vAlign w:val="center"/>
          </w:tcPr>
          <w:p w14:paraId="169246CB"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c>
          <w:tcPr>
            <w:tcW w:w="2898" w:type="dxa"/>
            <w:vAlign w:val="center"/>
          </w:tcPr>
          <w:p w14:paraId="04B2A281"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r>
      <w:tr w:rsidR="006967A6" w:rsidRPr="00D32152" w14:paraId="1D8EC835" w14:textId="77777777" w:rsidTr="00A36834">
        <w:trPr>
          <w:trHeight w:val="73"/>
        </w:trPr>
        <w:tc>
          <w:tcPr>
            <w:tcW w:w="2898" w:type="dxa"/>
            <w:vAlign w:val="center"/>
          </w:tcPr>
          <w:p w14:paraId="28ECFC94" w14:textId="77777777" w:rsidR="006967A6" w:rsidRPr="00D32152" w:rsidRDefault="006967A6" w:rsidP="00A36834">
            <w:pPr>
              <w:spacing w:line="276" w:lineRule="auto"/>
              <w:jc w:val="center"/>
              <w:rPr>
                <w:rFonts w:ascii="Times New Roman" w:hAnsi="Times New Roman" w:cs="Times New Roman"/>
                <w:b/>
                <w:vertAlign w:val="subscript"/>
              </w:rPr>
            </w:pPr>
            <w:r w:rsidRPr="00D32152">
              <w:rPr>
                <w:rFonts w:ascii="Times New Roman" w:hAnsi="Times New Roman" w:cs="Times New Roman"/>
                <w:b/>
              </w:rPr>
              <w:t>G</w:t>
            </w:r>
            <w:r w:rsidRPr="00D32152">
              <w:rPr>
                <w:rFonts w:ascii="Times New Roman" w:hAnsi="Times New Roman" w:cs="Times New Roman"/>
                <w:b/>
                <w:vertAlign w:val="subscript"/>
              </w:rPr>
              <w:t>4</w:t>
            </w:r>
          </w:p>
        </w:tc>
        <w:tc>
          <w:tcPr>
            <w:tcW w:w="2898" w:type="dxa"/>
            <w:vAlign w:val="center"/>
          </w:tcPr>
          <w:p w14:paraId="26A27F4D"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c>
          <w:tcPr>
            <w:tcW w:w="2898" w:type="dxa"/>
            <w:vAlign w:val="center"/>
          </w:tcPr>
          <w:p w14:paraId="42FA7607" w14:textId="77777777" w:rsidR="006967A6" w:rsidRPr="00D32152" w:rsidRDefault="006967A6" w:rsidP="00A36834">
            <w:pPr>
              <w:spacing w:line="276" w:lineRule="auto"/>
              <w:jc w:val="center"/>
              <w:rPr>
                <w:rFonts w:ascii="Times New Roman" w:hAnsi="Times New Roman" w:cs="Times New Roman"/>
                <w:bCs/>
              </w:rPr>
            </w:pPr>
            <w:r w:rsidRPr="00D32152">
              <w:rPr>
                <w:rFonts w:ascii="Times New Roman" w:hAnsi="Times New Roman" w:cs="Times New Roman"/>
                <w:bCs/>
              </w:rPr>
              <w:t>0.00</w:t>
            </w:r>
          </w:p>
        </w:tc>
      </w:tr>
    </w:tbl>
    <w:p w14:paraId="09A34EAE" w14:textId="77777777" w:rsidR="006967A6" w:rsidRPr="00D32152" w:rsidRDefault="006967A6" w:rsidP="006967A6">
      <w:pPr>
        <w:spacing w:line="276" w:lineRule="auto"/>
        <w:rPr>
          <w:rFonts w:ascii="Times New Roman" w:hAnsi="Times New Roman" w:cs="Times New Roman"/>
        </w:rPr>
      </w:pPr>
    </w:p>
    <w:p w14:paraId="590E303E" w14:textId="77777777" w:rsidR="006967A6" w:rsidRPr="00A355EF" w:rsidRDefault="006967A6" w:rsidP="006967A6">
      <w:pPr>
        <w:pStyle w:val="ListParagraph"/>
        <w:jc w:val="both"/>
        <w:rPr>
          <w:rFonts w:ascii="Times New Roman" w:hAnsi="Times New Roman" w:cs="Times New Roman"/>
        </w:rPr>
      </w:pPr>
    </w:p>
    <w:p w14:paraId="105D9BDC" w14:textId="77777777" w:rsidR="006967A6" w:rsidRDefault="006967A6" w:rsidP="006967A6"/>
    <w:p w14:paraId="3C7A12CF" w14:textId="77777777" w:rsidR="006967A6" w:rsidRDefault="006967A6" w:rsidP="00EF6EA4">
      <w:pPr>
        <w:pStyle w:val="ListParagraph"/>
        <w:jc w:val="both"/>
        <w:rPr>
          <w:rFonts w:ascii="Times New Roman" w:hAnsi="Times New Roman" w:cs="Times New Roman"/>
        </w:rPr>
      </w:pPr>
    </w:p>
    <w:sectPr w:rsidR="006967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7159D" w14:textId="77777777" w:rsidR="00BE390D" w:rsidRDefault="00BE390D" w:rsidP="00FD0784">
      <w:pPr>
        <w:spacing w:after="0" w:line="240" w:lineRule="auto"/>
      </w:pPr>
      <w:r>
        <w:separator/>
      </w:r>
    </w:p>
  </w:endnote>
  <w:endnote w:type="continuationSeparator" w:id="0">
    <w:p w14:paraId="17F564C7" w14:textId="77777777" w:rsidR="00BE390D" w:rsidRDefault="00BE390D" w:rsidP="00FD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2D9E" w14:textId="77777777" w:rsidR="00FD0784" w:rsidRDefault="00FD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68FD4" w14:textId="77777777" w:rsidR="00FD0784" w:rsidRDefault="00FD0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D16F" w14:textId="77777777" w:rsidR="00FD0784" w:rsidRDefault="00FD0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89826" w14:textId="77777777" w:rsidR="00BE390D" w:rsidRDefault="00BE390D" w:rsidP="00FD0784">
      <w:pPr>
        <w:spacing w:after="0" w:line="240" w:lineRule="auto"/>
      </w:pPr>
      <w:r>
        <w:separator/>
      </w:r>
    </w:p>
  </w:footnote>
  <w:footnote w:type="continuationSeparator" w:id="0">
    <w:p w14:paraId="181CA62B" w14:textId="77777777" w:rsidR="00BE390D" w:rsidRDefault="00BE390D" w:rsidP="00FD0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BFA81" w14:textId="5D33AA3F" w:rsidR="00FD0784" w:rsidRDefault="00FD0784">
    <w:pPr>
      <w:pStyle w:val="Header"/>
    </w:pPr>
    <w:r>
      <w:rPr>
        <w:noProof/>
      </w:rPr>
      <w:pict w14:anchorId="0B267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39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B68E" w14:textId="53BC1C32" w:rsidR="00FD0784" w:rsidRDefault="00FD0784">
    <w:pPr>
      <w:pStyle w:val="Header"/>
    </w:pPr>
    <w:r>
      <w:rPr>
        <w:noProof/>
      </w:rPr>
      <w:pict w14:anchorId="1DE77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39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4C08" w14:textId="7E250D2A" w:rsidR="00FD0784" w:rsidRDefault="00FD0784">
    <w:pPr>
      <w:pStyle w:val="Header"/>
    </w:pPr>
    <w:r>
      <w:rPr>
        <w:noProof/>
      </w:rPr>
      <w:pict w14:anchorId="18E75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39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910E2"/>
    <w:multiLevelType w:val="multilevel"/>
    <w:tmpl w:val="DC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0072B"/>
    <w:multiLevelType w:val="multilevel"/>
    <w:tmpl w:val="77D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35F46"/>
    <w:multiLevelType w:val="multilevel"/>
    <w:tmpl w:val="91F4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82A91"/>
    <w:multiLevelType w:val="hybridMultilevel"/>
    <w:tmpl w:val="6E727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3E"/>
    <w:rsid w:val="00073FB8"/>
    <w:rsid w:val="000B695B"/>
    <w:rsid w:val="000C669B"/>
    <w:rsid w:val="000F1658"/>
    <w:rsid w:val="00151184"/>
    <w:rsid w:val="001652BE"/>
    <w:rsid w:val="00193321"/>
    <w:rsid w:val="001A3B41"/>
    <w:rsid w:val="001F4799"/>
    <w:rsid w:val="00201156"/>
    <w:rsid w:val="002455AA"/>
    <w:rsid w:val="002B6C8D"/>
    <w:rsid w:val="002D527D"/>
    <w:rsid w:val="002E252A"/>
    <w:rsid w:val="002E6E91"/>
    <w:rsid w:val="00331E41"/>
    <w:rsid w:val="00334EA3"/>
    <w:rsid w:val="00371835"/>
    <w:rsid w:val="003A2679"/>
    <w:rsid w:val="003B32EF"/>
    <w:rsid w:val="003C3B68"/>
    <w:rsid w:val="003D4BCE"/>
    <w:rsid w:val="003F7D6A"/>
    <w:rsid w:val="004139BE"/>
    <w:rsid w:val="004409C8"/>
    <w:rsid w:val="00451053"/>
    <w:rsid w:val="0046083E"/>
    <w:rsid w:val="004A5090"/>
    <w:rsid w:val="004B1DDA"/>
    <w:rsid w:val="004C4EB4"/>
    <w:rsid w:val="004F1BEA"/>
    <w:rsid w:val="005145AF"/>
    <w:rsid w:val="00521E86"/>
    <w:rsid w:val="005A73B5"/>
    <w:rsid w:val="006063EF"/>
    <w:rsid w:val="00622FFD"/>
    <w:rsid w:val="00626111"/>
    <w:rsid w:val="00643B35"/>
    <w:rsid w:val="00647AB7"/>
    <w:rsid w:val="006675F6"/>
    <w:rsid w:val="006861D7"/>
    <w:rsid w:val="006967A6"/>
    <w:rsid w:val="006B03E0"/>
    <w:rsid w:val="006C44CB"/>
    <w:rsid w:val="006E6A85"/>
    <w:rsid w:val="0071156E"/>
    <w:rsid w:val="00714D28"/>
    <w:rsid w:val="0071766C"/>
    <w:rsid w:val="00735163"/>
    <w:rsid w:val="0073734D"/>
    <w:rsid w:val="0074586A"/>
    <w:rsid w:val="007620A5"/>
    <w:rsid w:val="00776066"/>
    <w:rsid w:val="007B2DA1"/>
    <w:rsid w:val="007F448D"/>
    <w:rsid w:val="00840F1B"/>
    <w:rsid w:val="008412C3"/>
    <w:rsid w:val="0084451C"/>
    <w:rsid w:val="008735BF"/>
    <w:rsid w:val="008C0AFA"/>
    <w:rsid w:val="009232A4"/>
    <w:rsid w:val="00990238"/>
    <w:rsid w:val="00993C8D"/>
    <w:rsid w:val="009A08E0"/>
    <w:rsid w:val="009A2147"/>
    <w:rsid w:val="009A4365"/>
    <w:rsid w:val="009A502D"/>
    <w:rsid w:val="009F1D1D"/>
    <w:rsid w:val="009F2885"/>
    <w:rsid w:val="00A355EF"/>
    <w:rsid w:val="00A7617D"/>
    <w:rsid w:val="00AB0A5F"/>
    <w:rsid w:val="00AC3DEE"/>
    <w:rsid w:val="00AF6962"/>
    <w:rsid w:val="00B6713B"/>
    <w:rsid w:val="00BA142E"/>
    <w:rsid w:val="00BB1B5F"/>
    <w:rsid w:val="00BB42F4"/>
    <w:rsid w:val="00BE0F13"/>
    <w:rsid w:val="00BE390D"/>
    <w:rsid w:val="00C03134"/>
    <w:rsid w:val="00C2784A"/>
    <w:rsid w:val="00C373AF"/>
    <w:rsid w:val="00C426C8"/>
    <w:rsid w:val="00C74DE0"/>
    <w:rsid w:val="00C75164"/>
    <w:rsid w:val="00CD6827"/>
    <w:rsid w:val="00CE3A0B"/>
    <w:rsid w:val="00CF45CE"/>
    <w:rsid w:val="00D166DA"/>
    <w:rsid w:val="00D339AC"/>
    <w:rsid w:val="00D5148B"/>
    <w:rsid w:val="00D65183"/>
    <w:rsid w:val="00D658F0"/>
    <w:rsid w:val="00D67448"/>
    <w:rsid w:val="00D74A3E"/>
    <w:rsid w:val="00D83096"/>
    <w:rsid w:val="00DB085D"/>
    <w:rsid w:val="00DD0933"/>
    <w:rsid w:val="00DF35F6"/>
    <w:rsid w:val="00E27541"/>
    <w:rsid w:val="00E524A6"/>
    <w:rsid w:val="00E726C8"/>
    <w:rsid w:val="00EA4E29"/>
    <w:rsid w:val="00EB5D58"/>
    <w:rsid w:val="00EC2D64"/>
    <w:rsid w:val="00EC3800"/>
    <w:rsid w:val="00EE1B59"/>
    <w:rsid w:val="00EE345B"/>
    <w:rsid w:val="00EE708F"/>
    <w:rsid w:val="00EF13E6"/>
    <w:rsid w:val="00EF6EA4"/>
    <w:rsid w:val="00F34F7B"/>
    <w:rsid w:val="00F560F0"/>
    <w:rsid w:val="00F72D10"/>
    <w:rsid w:val="00FB064D"/>
    <w:rsid w:val="00FC394C"/>
    <w:rsid w:val="00FC6190"/>
    <w:rsid w:val="00FD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D69551"/>
  <w15:chartTrackingRefBased/>
  <w15:docId w15:val="{3C5C761F-4B5E-4F1B-A9AC-FC4FFDA8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460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83E"/>
    <w:rPr>
      <w:rFonts w:eastAsiaTheme="majorEastAsia" w:cstheme="majorBidi"/>
      <w:color w:val="272727" w:themeColor="text1" w:themeTint="D8"/>
    </w:rPr>
  </w:style>
  <w:style w:type="paragraph" w:styleId="Title">
    <w:name w:val="Title"/>
    <w:basedOn w:val="Normal"/>
    <w:next w:val="Normal"/>
    <w:link w:val="TitleChar"/>
    <w:uiPriority w:val="10"/>
    <w:qFormat/>
    <w:rsid w:val="00460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83E"/>
    <w:pPr>
      <w:spacing w:before="160"/>
      <w:jc w:val="center"/>
    </w:pPr>
    <w:rPr>
      <w:i/>
      <w:iCs/>
      <w:color w:val="404040" w:themeColor="text1" w:themeTint="BF"/>
    </w:rPr>
  </w:style>
  <w:style w:type="character" w:customStyle="1" w:styleId="QuoteChar">
    <w:name w:val="Quote Char"/>
    <w:basedOn w:val="DefaultParagraphFont"/>
    <w:link w:val="Quote"/>
    <w:uiPriority w:val="29"/>
    <w:rsid w:val="0046083E"/>
    <w:rPr>
      <w:i/>
      <w:iCs/>
      <w:color w:val="404040" w:themeColor="text1" w:themeTint="BF"/>
    </w:rPr>
  </w:style>
  <w:style w:type="paragraph" w:styleId="ListParagraph">
    <w:name w:val="List Paragraph"/>
    <w:basedOn w:val="Normal"/>
    <w:uiPriority w:val="34"/>
    <w:qFormat/>
    <w:rsid w:val="0046083E"/>
    <w:pPr>
      <w:ind w:left="720"/>
      <w:contextualSpacing/>
    </w:pPr>
  </w:style>
  <w:style w:type="character" w:styleId="IntenseEmphasis">
    <w:name w:val="Intense Emphasis"/>
    <w:basedOn w:val="DefaultParagraphFont"/>
    <w:uiPriority w:val="21"/>
    <w:qFormat/>
    <w:rsid w:val="0046083E"/>
    <w:rPr>
      <w:i/>
      <w:iCs/>
      <w:color w:val="2F5496" w:themeColor="accent1" w:themeShade="BF"/>
    </w:rPr>
  </w:style>
  <w:style w:type="paragraph" w:styleId="IntenseQuote">
    <w:name w:val="Intense Quote"/>
    <w:basedOn w:val="Normal"/>
    <w:next w:val="Normal"/>
    <w:link w:val="IntenseQuoteChar"/>
    <w:uiPriority w:val="30"/>
    <w:qFormat/>
    <w:rsid w:val="00460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83E"/>
    <w:rPr>
      <w:i/>
      <w:iCs/>
      <w:color w:val="2F5496" w:themeColor="accent1" w:themeShade="BF"/>
    </w:rPr>
  </w:style>
  <w:style w:type="character" w:styleId="IntenseReference">
    <w:name w:val="Intense Reference"/>
    <w:basedOn w:val="DefaultParagraphFont"/>
    <w:uiPriority w:val="32"/>
    <w:qFormat/>
    <w:rsid w:val="0046083E"/>
    <w:rPr>
      <w:b/>
      <w:bCs/>
      <w:smallCaps/>
      <w:color w:val="2F5496" w:themeColor="accent1" w:themeShade="BF"/>
      <w:spacing w:val="5"/>
    </w:rPr>
  </w:style>
  <w:style w:type="character" w:styleId="Hyperlink">
    <w:name w:val="Hyperlink"/>
    <w:basedOn w:val="DefaultParagraphFont"/>
    <w:uiPriority w:val="99"/>
    <w:unhideWhenUsed/>
    <w:rsid w:val="00D65183"/>
    <w:rPr>
      <w:color w:val="0563C1" w:themeColor="hyperlink"/>
      <w:u w:val="single"/>
    </w:rPr>
  </w:style>
  <w:style w:type="paragraph" w:styleId="NormalWeb">
    <w:name w:val="Normal (Web)"/>
    <w:basedOn w:val="Normal"/>
    <w:uiPriority w:val="99"/>
    <w:semiHidden/>
    <w:unhideWhenUsed/>
    <w:rsid w:val="00331E41"/>
    <w:rPr>
      <w:rFonts w:ascii="Times New Roman" w:hAnsi="Times New Roman" w:cs="Times New Roman"/>
    </w:rPr>
  </w:style>
  <w:style w:type="table" w:styleId="ListTable6Colorful-Accent3">
    <w:name w:val="List Table 6 Colorful Accent 3"/>
    <w:basedOn w:val="TableNormal"/>
    <w:uiPriority w:val="51"/>
    <w:rsid w:val="00331E4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331E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33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2D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B5D58"/>
    <w:rPr>
      <w:color w:val="605E5C"/>
      <w:shd w:val="clear" w:color="auto" w:fill="E1DFDD"/>
    </w:rPr>
  </w:style>
  <w:style w:type="character" w:styleId="BookTitle">
    <w:name w:val="Book Title"/>
    <w:basedOn w:val="DefaultParagraphFont"/>
    <w:uiPriority w:val="33"/>
    <w:qFormat/>
    <w:rsid w:val="006967A6"/>
    <w:rPr>
      <w:b/>
      <w:bCs/>
      <w:i/>
      <w:iCs/>
      <w:spacing w:val="5"/>
    </w:rPr>
  </w:style>
  <w:style w:type="paragraph" w:styleId="Header">
    <w:name w:val="header"/>
    <w:basedOn w:val="Normal"/>
    <w:link w:val="HeaderChar"/>
    <w:uiPriority w:val="99"/>
    <w:unhideWhenUsed/>
    <w:rsid w:val="00FD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784"/>
    <w:rPr>
      <w:lang w:val="en-IN"/>
    </w:rPr>
  </w:style>
  <w:style w:type="paragraph" w:styleId="Footer">
    <w:name w:val="footer"/>
    <w:basedOn w:val="Normal"/>
    <w:link w:val="FooterChar"/>
    <w:uiPriority w:val="99"/>
    <w:unhideWhenUsed/>
    <w:rsid w:val="00FD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784"/>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78840">
      <w:bodyDiv w:val="1"/>
      <w:marLeft w:val="0"/>
      <w:marRight w:val="0"/>
      <w:marTop w:val="0"/>
      <w:marBottom w:val="0"/>
      <w:divBdr>
        <w:top w:val="none" w:sz="0" w:space="0" w:color="auto"/>
        <w:left w:val="none" w:sz="0" w:space="0" w:color="auto"/>
        <w:bottom w:val="none" w:sz="0" w:space="0" w:color="auto"/>
        <w:right w:val="none" w:sz="0" w:space="0" w:color="auto"/>
      </w:divBdr>
    </w:div>
    <w:div w:id="206794465">
      <w:bodyDiv w:val="1"/>
      <w:marLeft w:val="0"/>
      <w:marRight w:val="0"/>
      <w:marTop w:val="0"/>
      <w:marBottom w:val="0"/>
      <w:divBdr>
        <w:top w:val="none" w:sz="0" w:space="0" w:color="auto"/>
        <w:left w:val="none" w:sz="0" w:space="0" w:color="auto"/>
        <w:bottom w:val="none" w:sz="0" w:space="0" w:color="auto"/>
        <w:right w:val="none" w:sz="0" w:space="0" w:color="auto"/>
      </w:divBdr>
    </w:div>
    <w:div w:id="473571060">
      <w:bodyDiv w:val="1"/>
      <w:marLeft w:val="0"/>
      <w:marRight w:val="0"/>
      <w:marTop w:val="0"/>
      <w:marBottom w:val="0"/>
      <w:divBdr>
        <w:top w:val="none" w:sz="0" w:space="0" w:color="auto"/>
        <w:left w:val="none" w:sz="0" w:space="0" w:color="auto"/>
        <w:bottom w:val="none" w:sz="0" w:space="0" w:color="auto"/>
        <w:right w:val="none" w:sz="0" w:space="0" w:color="auto"/>
      </w:divBdr>
    </w:div>
    <w:div w:id="504831917">
      <w:bodyDiv w:val="1"/>
      <w:marLeft w:val="0"/>
      <w:marRight w:val="0"/>
      <w:marTop w:val="0"/>
      <w:marBottom w:val="0"/>
      <w:divBdr>
        <w:top w:val="none" w:sz="0" w:space="0" w:color="auto"/>
        <w:left w:val="none" w:sz="0" w:space="0" w:color="auto"/>
        <w:bottom w:val="none" w:sz="0" w:space="0" w:color="auto"/>
        <w:right w:val="none" w:sz="0" w:space="0" w:color="auto"/>
      </w:divBdr>
    </w:div>
    <w:div w:id="527915856">
      <w:bodyDiv w:val="1"/>
      <w:marLeft w:val="0"/>
      <w:marRight w:val="0"/>
      <w:marTop w:val="0"/>
      <w:marBottom w:val="0"/>
      <w:divBdr>
        <w:top w:val="none" w:sz="0" w:space="0" w:color="auto"/>
        <w:left w:val="none" w:sz="0" w:space="0" w:color="auto"/>
        <w:bottom w:val="none" w:sz="0" w:space="0" w:color="auto"/>
        <w:right w:val="none" w:sz="0" w:space="0" w:color="auto"/>
      </w:divBdr>
      <w:divsChild>
        <w:div w:id="1593319657">
          <w:marLeft w:val="0"/>
          <w:marRight w:val="0"/>
          <w:marTop w:val="0"/>
          <w:marBottom w:val="0"/>
          <w:divBdr>
            <w:top w:val="none" w:sz="0" w:space="0" w:color="auto"/>
            <w:left w:val="none" w:sz="0" w:space="0" w:color="auto"/>
            <w:bottom w:val="none" w:sz="0" w:space="0" w:color="auto"/>
            <w:right w:val="none" w:sz="0" w:space="0" w:color="auto"/>
          </w:divBdr>
          <w:divsChild>
            <w:div w:id="11580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1954">
      <w:bodyDiv w:val="1"/>
      <w:marLeft w:val="0"/>
      <w:marRight w:val="0"/>
      <w:marTop w:val="0"/>
      <w:marBottom w:val="0"/>
      <w:divBdr>
        <w:top w:val="none" w:sz="0" w:space="0" w:color="auto"/>
        <w:left w:val="none" w:sz="0" w:space="0" w:color="auto"/>
        <w:bottom w:val="none" w:sz="0" w:space="0" w:color="auto"/>
        <w:right w:val="none" w:sz="0" w:space="0" w:color="auto"/>
      </w:divBdr>
    </w:div>
    <w:div w:id="563610260">
      <w:bodyDiv w:val="1"/>
      <w:marLeft w:val="0"/>
      <w:marRight w:val="0"/>
      <w:marTop w:val="0"/>
      <w:marBottom w:val="0"/>
      <w:divBdr>
        <w:top w:val="none" w:sz="0" w:space="0" w:color="auto"/>
        <w:left w:val="none" w:sz="0" w:space="0" w:color="auto"/>
        <w:bottom w:val="none" w:sz="0" w:space="0" w:color="auto"/>
        <w:right w:val="none" w:sz="0" w:space="0" w:color="auto"/>
      </w:divBdr>
      <w:divsChild>
        <w:div w:id="1653758026">
          <w:marLeft w:val="0"/>
          <w:marRight w:val="0"/>
          <w:marTop w:val="0"/>
          <w:marBottom w:val="0"/>
          <w:divBdr>
            <w:top w:val="none" w:sz="0" w:space="0" w:color="auto"/>
            <w:left w:val="none" w:sz="0" w:space="0" w:color="auto"/>
            <w:bottom w:val="none" w:sz="0" w:space="0" w:color="auto"/>
            <w:right w:val="none" w:sz="0" w:space="0" w:color="auto"/>
          </w:divBdr>
        </w:div>
      </w:divsChild>
    </w:div>
    <w:div w:id="590967327">
      <w:bodyDiv w:val="1"/>
      <w:marLeft w:val="0"/>
      <w:marRight w:val="0"/>
      <w:marTop w:val="0"/>
      <w:marBottom w:val="0"/>
      <w:divBdr>
        <w:top w:val="none" w:sz="0" w:space="0" w:color="auto"/>
        <w:left w:val="none" w:sz="0" w:space="0" w:color="auto"/>
        <w:bottom w:val="none" w:sz="0" w:space="0" w:color="auto"/>
        <w:right w:val="none" w:sz="0" w:space="0" w:color="auto"/>
      </w:divBdr>
    </w:div>
    <w:div w:id="627442624">
      <w:bodyDiv w:val="1"/>
      <w:marLeft w:val="0"/>
      <w:marRight w:val="0"/>
      <w:marTop w:val="0"/>
      <w:marBottom w:val="0"/>
      <w:divBdr>
        <w:top w:val="none" w:sz="0" w:space="0" w:color="auto"/>
        <w:left w:val="none" w:sz="0" w:space="0" w:color="auto"/>
        <w:bottom w:val="none" w:sz="0" w:space="0" w:color="auto"/>
        <w:right w:val="none" w:sz="0" w:space="0" w:color="auto"/>
      </w:divBdr>
      <w:divsChild>
        <w:div w:id="2510791">
          <w:marLeft w:val="0"/>
          <w:marRight w:val="0"/>
          <w:marTop w:val="0"/>
          <w:marBottom w:val="0"/>
          <w:divBdr>
            <w:top w:val="none" w:sz="0" w:space="0" w:color="auto"/>
            <w:left w:val="none" w:sz="0" w:space="0" w:color="auto"/>
            <w:bottom w:val="none" w:sz="0" w:space="0" w:color="auto"/>
            <w:right w:val="none" w:sz="0" w:space="0" w:color="auto"/>
          </w:divBdr>
        </w:div>
      </w:divsChild>
    </w:div>
    <w:div w:id="693459208">
      <w:bodyDiv w:val="1"/>
      <w:marLeft w:val="0"/>
      <w:marRight w:val="0"/>
      <w:marTop w:val="0"/>
      <w:marBottom w:val="0"/>
      <w:divBdr>
        <w:top w:val="none" w:sz="0" w:space="0" w:color="auto"/>
        <w:left w:val="none" w:sz="0" w:space="0" w:color="auto"/>
        <w:bottom w:val="none" w:sz="0" w:space="0" w:color="auto"/>
        <w:right w:val="none" w:sz="0" w:space="0" w:color="auto"/>
      </w:divBdr>
    </w:div>
    <w:div w:id="812983440">
      <w:bodyDiv w:val="1"/>
      <w:marLeft w:val="0"/>
      <w:marRight w:val="0"/>
      <w:marTop w:val="0"/>
      <w:marBottom w:val="0"/>
      <w:divBdr>
        <w:top w:val="none" w:sz="0" w:space="0" w:color="auto"/>
        <w:left w:val="none" w:sz="0" w:space="0" w:color="auto"/>
        <w:bottom w:val="none" w:sz="0" w:space="0" w:color="auto"/>
        <w:right w:val="none" w:sz="0" w:space="0" w:color="auto"/>
      </w:divBdr>
      <w:divsChild>
        <w:div w:id="1840777251">
          <w:marLeft w:val="0"/>
          <w:marRight w:val="0"/>
          <w:marTop w:val="0"/>
          <w:marBottom w:val="0"/>
          <w:divBdr>
            <w:top w:val="none" w:sz="0" w:space="0" w:color="auto"/>
            <w:left w:val="none" w:sz="0" w:space="0" w:color="auto"/>
            <w:bottom w:val="none" w:sz="0" w:space="0" w:color="auto"/>
            <w:right w:val="none" w:sz="0" w:space="0" w:color="auto"/>
          </w:divBdr>
          <w:divsChild>
            <w:div w:id="1229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8138">
      <w:bodyDiv w:val="1"/>
      <w:marLeft w:val="0"/>
      <w:marRight w:val="0"/>
      <w:marTop w:val="0"/>
      <w:marBottom w:val="0"/>
      <w:divBdr>
        <w:top w:val="none" w:sz="0" w:space="0" w:color="auto"/>
        <w:left w:val="none" w:sz="0" w:space="0" w:color="auto"/>
        <w:bottom w:val="none" w:sz="0" w:space="0" w:color="auto"/>
        <w:right w:val="none" w:sz="0" w:space="0" w:color="auto"/>
      </w:divBdr>
    </w:div>
    <w:div w:id="847839295">
      <w:bodyDiv w:val="1"/>
      <w:marLeft w:val="0"/>
      <w:marRight w:val="0"/>
      <w:marTop w:val="0"/>
      <w:marBottom w:val="0"/>
      <w:divBdr>
        <w:top w:val="none" w:sz="0" w:space="0" w:color="auto"/>
        <w:left w:val="none" w:sz="0" w:space="0" w:color="auto"/>
        <w:bottom w:val="none" w:sz="0" w:space="0" w:color="auto"/>
        <w:right w:val="none" w:sz="0" w:space="0" w:color="auto"/>
      </w:divBdr>
    </w:div>
    <w:div w:id="898252195">
      <w:bodyDiv w:val="1"/>
      <w:marLeft w:val="0"/>
      <w:marRight w:val="0"/>
      <w:marTop w:val="0"/>
      <w:marBottom w:val="0"/>
      <w:divBdr>
        <w:top w:val="none" w:sz="0" w:space="0" w:color="auto"/>
        <w:left w:val="none" w:sz="0" w:space="0" w:color="auto"/>
        <w:bottom w:val="none" w:sz="0" w:space="0" w:color="auto"/>
        <w:right w:val="none" w:sz="0" w:space="0" w:color="auto"/>
      </w:divBdr>
      <w:divsChild>
        <w:div w:id="859971821">
          <w:marLeft w:val="0"/>
          <w:marRight w:val="0"/>
          <w:marTop w:val="0"/>
          <w:marBottom w:val="0"/>
          <w:divBdr>
            <w:top w:val="none" w:sz="0" w:space="0" w:color="auto"/>
            <w:left w:val="none" w:sz="0" w:space="0" w:color="auto"/>
            <w:bottom w:val="none" w:sz="0" w:space="0" w:color="auto"/>
            <w:right w:val="none" w:sz="0" w:space="0" w:color="auto"/>
          </w:divBdr>
          <w:divsChild>
            <w:div w:id="12244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162">
      <w:bodyDiv w:val="1"/>
      <w:marLeft w:val="0"/>
      <w:marRight w:val="0"/>
      <w:marTop w:val="0"/>
      <w:marBottom w:val="0"/>
      <w:divBdr>
        <w:top w:val="none" w:sz="0" w:space="0" w:color="auto"/>
        <w:left w:val="none" w:sz="0" w:space="0" w:color="auto"/>
        <w:bottom w:val="none" w:sz="0" w:space="0" w:color="auto"/>
        <w:right w:val="none" w:sz="0" w:space="0" w:color="auto"/>
      </w:divBdr>
      <w:divsChild>
        <w:div w:id="321397594">
          <w:marLeft w:val="0"/>
          <w:marRight w:val="0"/>
          <w:marTop w:val="0"/>
          <w:marBottom w:val="0"/>
          <w:divBdr>
            <w:top w:val="none" w:sz="0" w:space="0" w:color="auto"/>
            <w:left w:val="none" w:sz="0" w:space="0" w:color="auto"/>
            <w:bottom w:val="none" w:sz="0" w:space="0" w:color="auto"/>
            <w:right w:val="none" w:sz="0" w:space="0" w:color="auto"/>
          </w:divBdr>
          <w:divsChild>
            <w:div w:id="2786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315">
      <w:bodyDiv w:val="1"/>
      <w:marLeft w:val="0"/>
      <w:marRight w:val="0"/>
      <w:marTop w:val="0"/>
      <w:marBottom w:val="0"/>
      <w:divBdr>
        <w:top w:val="none" w:sz="0" w:space="0" w:color="auto"/>
        <w:left w:val="none" w:sz="0" w:space="0" w:color="auto"/>
        <w:bottom w:val="none" w:sz="0" w:space="0" w:color="auto"/>
        <w:right w:val="none" w:sz="0" w:space="0" w:color="auto"/>
      </w:divBdr>
      <w:divsChild>
        <w:div w:id="1706447562">
          <w:marLeft w:val="0"/>
          <w:marRight w:val="0"/>
          <w:marTop w:val="0"/>
          <w:marBottom w:val="0"/>
          <w:divBdr>
            <w:top w:val="none" w:sz="0" w:space="0" w:color="auto"/>
            <w:left w:val="none" w:sz="0" w:space="0" w:color="auto"/>
            <w:bottom w:val="none" w:sz="0" w:space="0" w:color="auto"/>
            <w:right w:val="none" w:sz="0" w:space="0" w:color="auto"/>
          </w:divBdr>
        </w:div>
      </w:divsChild>
    </w:div>
    <w:div w:id="1036541638">
      <w:bodyDiv w:val="1"/>
      <w:marLeft w:val="0"/>
      <w:marRight w:val="0"/>
      <w:marTop w:val="0"/>
      <w:marBottom w:val="0"/>
      <w:divBdr>
        <w:top w:val="none" w:sz="0" w:space="0" w:color="auto"/>
        <w:left w:val="none" w:sz="0" w:space="0" w:color="auto"/>
        <w:bottom w:val="none" w:sz="0" w:space="0" w:color="auto"/>
        <w:right w:val="none" w:sz="0" w:space="0" w:color="auto"/>
      </w:divBdr>
    </w:div>
    <w:div w:id="1081096787">
      <w:bodyDiv w:val="1"/>
      <w:marLeft w:val="0"/>
      <w:marRight w:val="0"/>
      <w:marTop w:val="0"/>
      <w:marBottom w:val="0"/>
      <w:divBdr>
        <w:top w:val="none" w:sz="0" w:space="0" w:color="auto"/>
        <w:left w:val="none" w:sz="0" w:space="0" w:color="auto"/>
        <w:bottom w:val="none" w:sz="0" w:space="0" w:color="auto"/>
        <w:right w:val="none" w:sz="0" w:space="0" w:color="auto"/>
      </w:divBdr>
    </w:div>
    <w:div w:id="1142622199">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
    <w:div w:id="1335721006">
      <w:bodyDiv w:val="1"/>
      <w:marLeft w:val="0"/>
      <w:marRight w:val="0"/>
      <w:marTop w:val="0"/>
      <w:marBottom w:val="0"/>
      <w:divBdr>
        <w:top w:val="none" w:sz="0" w:space="0" w:color="auto"/>
        <w:left w:val="none" w:sz="0" w:space="0" w:color="auto"/>
        <w:bottom w:val="none" w:sz="0" w:space="0" w:color="auto"/>
        <w:right w:val="none" w:sz="0" w:space="0" w:color="auto"/>
      </w:divBdr>
    </w:div>
    <w:div w:id="1347362924">
      <w:bodyDiv w:val="1"/>
      <w:marLeft w:val="0"/>
      <w:marRight w:val="0"/>
      <w:marTop w:val="0"/>
      <w:marBottom w:val="0"/>
      <w:divBdr>
        <w:top w:val="none" w:sz="0" w:space="0" w:color="auto"/>
        <w:left w:val="none" w:sz="0" w:space="0" w:color="auto"/>
        <w:bottom w:val="none" w:sz="0" w:space="0" w:color="auto"/>
        <w:right w:val="none" w:sz="0" w:space="0" w:color="auto"/>
      </w:divBdr>
      <w:divsChild>
        <w:div w:id="2005625559">
          <w:marLeft w:val="0"/>
          <w:marRight w:val="0"/>
          <w:marTop w:val="0"/>
          <w:marBottom w:val="0"/>
          <w:divBdr>
            <w:top w:val="none" w:sz="0" w:space="0" w:color="auto"/>
            <w:left w:val="none" w:sz="0" w:space="0" w:color="auto"/>
            <w:bottom w:val="none" w:sz="0" w:space="0" w:color="auto"/>
            <w:right w:val="none" w:sz="0" w:space="0" w:color="auto"/>
          </w:divBdr>
        </w:div>
      </w:divsChild>
    </w:div>
    <w:div w:id="1362704958">
      <w:bodyDiv w:val="1"/>
      <w:marLeft w:val="0"/>
      <w:marRight w:val="0"/>
      <w:marTop w:val="0"/>
      <w:marBottom w:val="0"/>
      <w:divBdr>
        <w:top w:val="none" w:sz="0" w:space="0" w:color="auto"/>
        <w:left w:val="none" w:sz="0" w:space="0" w:color="auto"/>
        <w:bottom w:val="none" w:sz="0" w:space="0" w:color="auto"/>
        <w:right w:val="none" w:sz="0" w:space="0" w:color="auto"/>
      </w:divBdr>
    </w:div>
    <w:div w:id="1557736710">
      <w:bodyDiv w:val="1"/>
      <w:marLeft w:val="0"/>
      <w:marRight w:val="0"/>
      <w:marTop w:val="0"/>
      <w:marBottom w:val="0"/>
      <w:divBdr>
        <w:top w:val="none" w:sz="0" w:space="0" w:color="auto"/>
        <w:left w:val="none" w:sz="0" w:space="0" w:color="auto"/>
        <w:bottom w:val="none" w:sz="0" w:space="0" w:color="auto"/>
        <w:right w:val="none" w:sz="0" w:space="0" w:color="auto"/>
      </w:divBdr>
    </w:div>
    <w:div w:id="1647202290">
      <w:bodyDiv w:val="1"/>
      <w:marLeft w:val="0"/>
      <w:marRight w:val="0"/>
      <w:marTop w:val="0"/>
      <w:marBottom w:val="0"/>
      <w:divBdr>
        <w:top w:val="none" w:sz="0" w:space="0" w:color="auto"/>
        <w:left w:val="none" w:sz="0" w:space="0" w:color="auto"/>
        <w:bottom w:val="none" w:sz="0" w:space="0" w:color="auto"/>
        <w:right w:val="none" w:sz="0" w:space="0" w:color="auto"/>
      </w:divBdr>
      <w:divsChild>
        <w:div w:id="774863623">
          <w:marLeft w:val="0"/>
          <w:marRight w:val="0"/>
          <w:marTop w:val="0"/>
          <w:marBottom w:val="0"/>
          <w:divBdr>
            <w:top w:val="none" w:sz="0" w:space="0" w:color="auto"/>
            <w:left w:val="none" w:sz="0" w:space="0" w:color="auto"/>
            <w:bottom w:val="none" w:sz="0" w:space="0" w:color="auto"/>
            <w:right w:val="none" w:sz="0" w:space="0" w:color="auto"/>
          </w:divBdr>
        </w:div>
      </w:divsChild>
    </w:div>
    <w:div w:id="1674798168">
      <w:bodyDiv w:val="1"/>
      <w:marLeft w:val="0"/>
      <w:marRight w:val="0"/>
      <w:marTop w:val="0"/>
      <w:marBottom w:val="0"/>
      <w:divBdr>
        <w:top w:val="none" w:sz="0" w:space="0" w:color="auto"/>
        <w:left w:val="none" w:sz="0" w:space="0" w:color="auto"/>
        <w:bottom w:val="none" w:sz="0" w:space="0" w:color="auto"/>
        <w:right w:val="none" w:sz="0" w:space="0" w:color="auto"/>
      </w:divBdr>
      <w:divsChild>
        <w:div w:id="51931082">
          <w:marLeft w:val="0"/>
          <w:marRight w:val="0"/>
          <w:marTop w:val="0"/>
          <w:marBottom w:val="0"/>
          <w:divBdr>
            <w:top w:val="none" w:sz="0" w:space="0" w:color="auto"/>
            <w:left w:val="none" w:sz="0" w:space="0" w:color="auto"/>
            <w:bottom w:val="none" w:sz="0" w:space="0" w:color="auto"/>
            <w:right w:val="none" w:sz="0" w:space="0" w:color="auto"/>
          </w:divBdr>
        </w:div>
      </w:divsChild>
    </w:div>
    <w:div w:id="1679885569">
      <w:bodyDiv w:val="1"/>
      <w:marLeft w:val="0"/>
      <w:marRight w:val="0"/>
      <w:marTop w:val="0"/>
      <w:marBottom w:val="0"/>
      <w:divBdr>
        <w:top w:val="none" w:sz="0" w:space="0" w:color="auto"/>
        <w:left w:val="none" w:sz="0" w:space="0" w:color="auto"/>
        <w:bottom w:val="none" w:sz="0" w:space="0" w:color="auto"/>
        <w:right w:val="none" w:sz="0" w:space="0" w:color="auto"/>
      </w:divBdr>
    </w:div>
    <w:div w:id="1697385204">
      <w:bodyDiv w:val="1"/>
      <w:marLeft w:val="0"/>
      <w:marRight w:val="0"/>
      <w:marTop w:val="0"/>
      <w:marBottom w:val="0"/>
      <w:divBdr>
        <w:top w:val="none" w:sz="0" w:space="0" w:color="auto"/>
        <w:left w:val="none" w:sz="0" w:space="0" w:color="auto"/>
        <w:bottom w:val="none" w:sz="0" w:space="0" w:color="auto"/>
        <w:right w:val="none" w:sz="0" w:space="0" w:color="auto"/>
      </w:divBdr>
    </w:div>
    <w:div w:id="1784886442">
      <w:bodyDiv w:val="1"/>
      <w:marLeft w:val="0"/>
      <w:marRight w:val="0"/>
      <w:marTop w:val="0"/>
      <w:marBottom w:val="0"/>
      <w:divBdr>
        <w:top w:val="none" w:sz="0" w:space="0" w:color="auto"/>
        <w:left w:val="none" w:sz="0" w:space="0" w:color="auto"/>
        <w:bottom w:val="none" w:sz="0" w:space="0" w:color="auto"/>
        <w:right w:val="none" w:sz="0" w:space="0" w:color="auto"/>
      </w:divBdr>
    </w:div>
    <w:div w:id="1817722309">
      <w:bodyDiv w:val="1"/>
      <w:marLeft w:val="0"/>
      <w:marRight w:val="0"/>
      <w:marTop w:val="0"/>
      <w:marBottom w:val="0"/>
      <w:divBdr>
        <w:top w:val="none" w:sz="0" w:space="0" w:color="auto"/>
        <w:left w:val="none" w:sz="0" w:space="0" w:color="auto"/>
        <w:bottom w:val="none" w:sz="0" w:space="0" w:color="auto"/>
        <w:right w:val="none" w:sz="0" w:space="0" w:color="auto"/>
      </w:divBdr>
    </w:div>
    <w:div w:id="1822427305">
      <w:bodyDiv w:val="1"/>
      <w:marLeft w:val="0"/>
      <w:marRight w:val="0"/>
      <w:marTop w:val="0"/>
      <w:marBottom w:val="0"/>
      <w:divBdr>
        <w:top w:val="none" w:sz="0" w:space="0" w:color="auto"/>
        <w:left w:val="none" w:sz="0" w:space="0" w:color="auto"/>
        <w:bottom w:val="none" w:sz="0" w:space="0" w:color="auto"/>
        <w:right w:val="none" w:sz="0" w:space="0" w:color="auto"/>
      </w:divBdr>
    </w:div>
    <w:div w:id="19815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hd.gov.in/external-lin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12</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SDI 1084</cp:lastModifiedBy>
  <cp:revision>78</cp:revision>
  <dcterms:created xsi:type="dcterms:W3CDTF">2025-04-19T15:51:00Z</dcterms:created>
  <dcterms:modified xsi:type="dcterms:W3CDTF">2025-05-06T09:47:00Z</dcterms:modified>
</cp:coreProperties>
</file>