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1469E" w14:textId="77777777"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14:paraId="196C6D72" w14:textId="77777777" w:rsidR="00C57C45" w:rsidRDefault="00C57C45" w:rsidP="00C57C45">
      <w:pPr>
        <w:jc w:val="right"/>
        <w:rPr>
          <w:rFonts w:ascii="Arial" w:hAnsi="Arial" w:cs="Arial"/>
          <w:b/>
          <w:bCs/>
          <w:sz w:val="48"/>
          <w:szCs w:val="48"/>
        </w:rPr>
      </w:pPr>
      <w:r w:rsidRPr="00674309">
        <w:rPr>
          <w:rFonts w:ascii="Arial" w:hAnsi="Arial" w:cs="Arial"/>
          <w:b/>
          <w:bCs/>
          <w:sz w:val="48"/>
          <w:szCs w:val="48"/>
        </w:rPr>
        <w:t>Legal Perspectives on the Sustainable Utilization of Biological and Zoological Diversity through the lens of Human Welfare and Intellectual Property Rights</w:t>
      </w:r>
    </w:p>
    <w:p w14:paraId="67EC2FED" w14:textId="3F46D720" w:rsidR="00C57C45" w:rsidRDefault="00C57C45" w:rsidP="00C57C45">
      <w:pPr>
        <w:spacing w:after="0" w:line="240" w:lineRule="auto"/>
        <w:jc w:val="right"/>
        <w:rPr>
          <w:rFonts w:ascii="Arial" w:eastAsia="Times New Roman" w:hAnsi="Arial" w:cs="Arial"/>
          <w:sz w:val="20"/>
          <w:szCs w:val="20"/>
        </w:rPr>
      </w:pPr>
    </w:p>
    <w:p w14:paraId="1BB7C663" w14:textId="77777777" w:rsidR="006340F5" w:rsidRPr="00FE6022" w:rsidRDefault="006340F5" w:rsidP="00C57C45">
      <w:pPr>
        <w:spacing w:after="0" w:line="240" w:lineRule="auto"/>
        <w:jc w:val="right"/>
        <w:rPr>
          <w:rFonts w:ascii="Arial" w:eastAsia="Times New Roman" w:hAnsi="Arial" w:cs="Arial"/>
          <w:sz w:val="20"/>
          <w:szCs w:val="20"/>
        </w:rPr>
      </w:pPr>
      <w:bookmarkStart w:id="1" w:name="_GoBack"/>
      <w:bookmarkEnd w:id="1"/>
    </w:p>
    <w:p w14:paraId="325B315C" w14:textId="77777777" w:rsidR="00C57C45" w:rsidRPr="00FE6022" w:rsidRDefault="00C57C45" w:rsidP="00C57C45">
      <w:pPr>
        <w:spacing w:before="20" w:after="0" w:line="240" w:lineRule="auto"/>
        <w:jc w:val="right"/>
        <w:rPr>
          <w:rFonts w:ascii="Arial" w:hAnsi="Arial" w:cs="Arial"/>
          <w:b/>
          <w:i/>
          <w:sz w:val="20"/>
          <w:szCs w:val="20"/>
        </w:rPr>
      </w:pPr>
    </w:p>
    <w:p w14:paraId="55B06C6C" w14:textId="77777777" w:rsidR="00C57C45" w:rsidRPr="00FE6022" w:rsidRDefault="00C57C45" w:rsidP="00C57C45">
      <w:pPr>
        <w:spacing w:before="20" w:after="0" w:line="240" w:lineRule="auto"/>
        <w:jc w:val="right"/>
        <w:rPr>
          <w:rFonts w:ascii="Arial" w:eastAsia="Times New Roman" w:hAnsi="Arial" w:cs="Arial"/>
          <w:sz w:val="16"/>
          <w:szCs w:val="16"/>
        </w:rPr>
      </w:pPr>
    </w:p>
    <w:p w14:paraId="60B10A5F" w14:textId="77777777" w:rsidR="00C57C45" w:rsidRPr="00FE6022" w:rsidRDefault="00C57C45" w:rsidP="00C57C45">
      <w:pPr>
        <w:spacing w:before="20" w:after="0" w:line="240" w:lineRule="auto"/>
        <w:jc w:val="right"/>
        <w:rPr>
          <w:rFonts w:ascii="Arial" w:eastAsia="Times New Roman" w:hAnsi="Arial" w:cs="Arial"/>
          <w:bCs/>
          <w:iCs/>
          <w:sz w:val="20"/>
          <w:szCs w:val="20"/>
        </w:rPr>
      </w:pPr>
    </w:p>
    <w:p w14:paraId="3A39055C" w14:textId="77777777" w:rsidR="00C57C45" w:rsidRPr="00FE6022" w:rsidRDefault="00C57C45"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mc:AlternateContent>
          <mc:Choice Requires="wps">
            <w:drawing>
              <wp:inline distT="0" distB="0" distL="0" distR="0" wp14:anchorId="5B641994" wp14:editId="2A362CA4">
                <wp:extent cx="5723890" cy="635"/>
                <wp:effectExtent l="9525" t="9525" r="10160" b="9525"/>
                <wp:docPr id="5086070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D1D4D7" id="_x0000_t32" coordsize="21600,21600" o:spt="32" o:oned="t" path="m,l21600,21600e" filled="f">
                <v:path arrowok="t" fillok="f" o:connecttype="none"/>
                <o:lock v:ext="edit" shapetype="t"/>
              </v:shapetype>
              <v:shape id="Straight Arrow Connector 1"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388F5B50" w14:textId="77777777"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14:paraId="6EAECB13" w14:textId="77777777" w:rsidR="00C57C45" w:rsidRPr="00FE6022" w:rsidRDefault="00C57C45" w:rsidP="00C57C45">
      <w:pPr>
        <w:pStyle w:val="Heading2"/>
        <w:rPr>
          <w:rFonts w:eastAsia="Times New Roman"/>
        </w:rPr>
      </w:pPr>
      <w:r w:rsidRPr="00FE6022">
        <w:rPr>
          <w:rFonts w:eastAsia="Times New Roman"/>
        </w:rPr>
        <w:t>ABSTRACT</w:t>
      </w:r>
    </w:p>
    <w:p w14:paraId="42B18EE3" w14:textId="77777777"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14:paraId="57E10885" w14:textId="77777777" w:rsidTr="009B71DA">
        <w:trPr>
          <w:jc w:val="center"/>
        </w:trPr>
        <w:tc>
          <w:tcPr>
            <w:tcW w:w="9040" w:type="dxa"/>
            <w:shd w:val="clear" w:color="auto" w:fill="auto"/>
          </w:tcPr>
          <w:p w14:paraId="30C38564" w14:textId="26B0E4E7" w:rsidR="00C57C45" w:rsidRPr="00FE6022" w:rsidRDefault="00C57C45" w:rsidP="009B71DA">
            <w:pPr>
              <w:jc w:val="both"/>
              <w:rPr>
                <w:rFonts w:ascii="Arial" w:eastAsia="Calibri" w:hAnsi="Arial" w:cs="Arial"/>
                <w:sz w:val="20"/>
              </w:rPr>
            </w:pPr>
            <w:r w:rsidRPr="004D7671">
              <w:rPr>
                <w:rFonts w:ascii="Arial" w:hAnsi="Arial" w:cs="Arial"/>
                <w:sz w:val="20"/>
                <w:szCs w:val="20"/>
              </w:rPr>
              <w:t xml:space="preserve">Biodiversity, encompassing both biological and zoological diversity, is essential for the survival of life on Earth. It plays a pivotal role in sustaining ecosystems and ensuring human welfare through the preservation and sustainable use of natural resources. As a mega-diverse nation, India holds 7-8% of the world’s recorded species, with approximately 45,000 plant species and 90,000 animal species, 28% of which are endemic to the country. This rich biodiversity is deeply intertwined with India's traditional practices, which emphasize sustainable use and </w:t>
            </w:r>
            <w:r w:rsidR="00DF6CD4">
              <w:rPr>
                <w:rFonts w:ascii="Arial" w:hAnsi="Arial" w:cs="Arial"/>
                <w:sz w:val="20"/>
                <w:szCs w:val="20"/>
              </w:rPr>
              <w:t>substantially benefit</w:t>
            </w:r>
            <w:r w:rsidRPr="004D7671">
              <w:rPr>
                <w:rFonts w:ascii="Arial" w:hAnsi="Arial" w:cs="Arial"/>
                <w:sz w:val="20"/>
                <w:szCs w:val="20"/>
              </w:rPr>
              <w:t xml:space="preserve"> humanity. However, climate change and human activities have posed significant threats to biodiversity, requiring new approaches to conservation. Intellectual Property Rights (IPR) offer a balanced mechanism to protect biodiversity while encouraging innovation in sustainable practices. This </w:t>
            </w:r>
            <w:r w:rsidR="00DF6CD4">
              <w:rPr>
                <w:rFonts w:ascii="Arial" w:hAnsi="Arial" w:cs="Arial"/>
                <w:sz w:val="20"/>
                <w:szCs w:val="20"/>
              </w:rPr>
              <w:t>study</w:t>
            </w:r>
            <w:r w:rsidRPr="004D7671">
              <w:rPr>
                <w:rFonts w:ascii="Arial" w:hAnsi="Arial" w:cs="Arial"/>
                <w:sz w:val="20"/>
                <w:szCs w:val="20"/>
              </w:rPr>
              <w:t xml:space="preserve"> explores the </w:t>
            </w:r>
            <w:r w:rsidR="00DF6CD4" w:rsidRPr="004D7671">
              <w:rPr>
                <w:rFonts w:ascii="Arial" w:hAnsi="Arial" w:cs="Arial"/>
                <w:sz w:val="20"/>
                <w:szCs w:val="20"/>
              </w:rPr>
              <w:t>association</w:t>
            </w:r>
            <w:r w:rsidRPr="004D7671">
              <w:rPr>
                <w:rFonts w:ascii="Arial" w:hAnsi="Arial" w:cs="Arial"/>
                <w:sz w:val="20"/>
                <w:szCs w:val="20"/>
              </w:rPr>
              <w:t xml:space="preserve"> </w:t>
            </w:r>
            <w:r w:rsidR="00DF6CD4">
              <w:rPr>
                <w:rFonts w:ascii="Arial" w:hAnsi="Arial" w:cs="Arial"/>
                <w:sz w:val="20"/>
                <w:szCs w:val="20"/>
              </w:rPr>
              <w:t>among</w:t>
            </w:r>
            <w:r w:rsidRPr="004D7671">
              <w:rPr>
                <w:rFonts w:ascii="Arial" w:hAnsi="Arial" w:cs="Arial"/>
                <w:sz w:val="20"/>
                <w:szCs w:val="20"/>
              </w:rPr>
              <w:t xml:space="preserve"> biodiversity, sustainable use, human welfare, and IPR in India, emphasizing the need to address these challenges in the context of globalization.</w:t>
            </w:r>
          </w:p>
        </w:tc>
      </w:tr>
    </w:tbl>
    <w:p w14:paraId="6F10C32F" w14:textId="77777777"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61CF7FF5" w14:textId="77777777" w:rsidR="00C57C45" w:rsidRDefault="00C57C45" w:rsidP="00C57C45">
      <w:pPr>
        <w:spacing w:after="0" w:line="240" w:lineRule="auto"/>
        <w:jc w:val="both"/>
        <w:rPr>
          <w:rFonts w:ascii="Arial" w:eastAsia="Times New Roman" w:hAnsi="Arial" w:cs="Arial"/>
          <w:i/>
          <w:sz w:val="16"/>
          <w:szCs w:val="20"/>
        </w:rPr>
      </w:pPr>
    </w:p>
    <w:p w14:paraId="181C1609" w14:textId="77777777" w:rsidR="00C57C45" w:rsidRDefault="00C57C45" w:rsidP="00C57C45">
      <w:pPr>
        <w:tabs>
          <w:tab w:val="center" w:pos="4680"/>
          <w:tab w:val="right" w:pos="9360"/>
        </w:tabs>
        <w:spacing w:after="0" w:line="240" w:lineRule="auto"/>
        <w:jc w:val="both"/>
        <w:rPr>
          <w:rFonts w:ascii="Arial" w:eastAsia="Times New Roman" w:hAnsi="Arial" w:cs="Arial"/>
          <w:i/>
          <w:sz w:val="16"/>
        </w:rPr>
      </w:pPr>
    </w:p>
    <w:p w14:paraId="08861DA2" w14:textId="77777777"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Key Words: Sustainable Utilization, IPR, World Intellectual Property Organization (WIPO), The International Plant Protection Convention (IPPC), Sustainable Development Goals (SDGs)</w:t>
      </w:r>
    </w:p>
    <w:p w14:paraId="1C2B7279" w14:textId="77777777"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9D33C49" w14:textId="77777777" w:rsidR="00C57C45" w:rsidRPr="003802FB" w:rsidRDefault="00C57C45" w:rsidP="00C57C45">
      <w:pPr>
        <w:jc w:val="both"/>
        <w:rPr>
          <w:rFonts w:ascii="Arial" w:hAnsi="Arial" w:cs="Arial"/>
          <w:b/>
          <w:bCs/>
        </w:rPr>
      </w:pPr>
      <w:r>
        <w:rPr>
          <w:rFonts w:ascii="Arial" w:hAnsi="Arial" w:cs="Arial"/>
          <w:b/>
          <w:bCs/>
        </w:rPr>
        <w:t>1.</w:t>
      </w:r>
      <w:r w:rsidRPr="003802FB">
        <w:rPr>
          <w:rFonts w:ascii="Arial" w:hAnsi="Arial" w:cs="Arial"/>
          <w:b/>
          <w:bCs/>
        </w:rPr>
        <w:t>INTRODUCTION</w:t>
      </w:r>
    </w:p>
    <w:p w14:paraId="29C9EE9F" w14:textId="363E22E0"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Zoological diversity, a subset of biodiversity, focuses specifically on the diversity of animal species and their ecosystems. The immense biodiversity on Earth is essential for the stability and sustainability of life, including </w:t>
      </w:r>
      <w:r w:rsidRPr="004E49BA">
        <w:rPr>
          <w:rFonts w:ascii="Arial" w:hAnsi="Arial" w:cs="Arial"/>
          <w:sz w:val="20"/>
          <w:szCs w:val="20"/>
        </w:rPr>
        <w:t xml:space="preserve">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w:t>
      </w:r>
      <w:r w:rsidRPr="004E49BA">
        <w:rPr>
          <w:rFonts w:ascii="Arial" w:hAnsi="Arial" w:cs="Arial"/>
          <w:sz w:val="20"/>
          <w:szCs w:val="20"/>
        </w:rPr>
        <w:lastRenderedPageBreak/>
        <w:t xml:space="preserve">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14:paraId="42D40841" w14:textId="4CFCE491"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 xml:space="preserve">the variability among living organisms from all sources, including the ecological complexes of which they are </w:t>
      </w:r>
      <w:proofErr w:type="spellStart"/>
      <w:r w:rsidRPr="003F4D7E">
        <w:rPr>
          <w:rFonts w:ascii="Arial" w:hAnsi="Arial" w:cs="Arial"/>
          <w:i/>
          <w:iCs/>
          <w:sz w:val="20"/>
          <w:szCs w:val="20"/>
        </w:rPr>
        <w:t>part</w:t>
      </w:r>
      <w:proofErr w:type="gramStart"/>
      <w:r>
        <w:rPr>
          <w:rFonts w:ascii="Arial" w:hAnsi="Arial" w:cs="Arial"/>
          <w:i/>
          <w:iCs/>
          <w:sz w:val="20"/>
          <w:szCs w:val="20"/>
        </w:rPr>
        <w:t>”</w:t>
      </w:r>
      <w:r w:rsidRPr="003F4D7E">
        <w:rPr>
          <w:rFonts w:ascii="Arial" w:hAnsi="Arial" w:cs="Arial"/>
          <w:i/>
          <w:iCs/>
          <w:sz w:val="20"/>
          <w:szCs w:val="20"/>
        </w:rPr>
        <w:t>.</w:t>
      </w:r>
      <w:r w:rsidRPr="004E49BA">
        <w:rPr>
          <w:rFonts w:ascii="Arial" w:hAnsi="Arial" w:cs="Arial"/>
          <w:sz w:val="20"/>
          <w:szCs w:val="20"/>
        </w:rPr>
        <w:t>India</w:t>
      </w:r>
      <w:proofErr w:type="spellEnd"/>
      <w:proofErr w:type="gramEnd"/>
      <w:r w:rsidRPr="004E49BA">
        <w:rPr>
          <w:rFonts w:ascii="Arial" w:hAnsi="Arial" w:cs="Arial"/>
          <w:sz w:val="20"/>
          <w:szCs w:val="20"/>
        </w:rPr>
        <w:t>, with its unique geographical location, enjoys a wide range of biodiversity. The country spans both temperate and tropical regions, contributing to its immense variety of ecosystems and species. 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r w:rsidRPr="004E49BA">
        <w:rPr>
          <w:rFonts w:ascii="Arial" w:hAnsi="Arial" w:cs="Arial"/>
          <w:sz w:val="20"/>
          <w:szCs w:val="20"/>
        </w:rPr>
        <w:t xml:space="preserve"> </w:t>
      </w:r>
    </w:p>
    <w:p w14:paraId="5B4D6BD2" w14:textId="77777777" w:rsidR="00C57C45" w:rsidRPr="003802FB" w:rsidRDefault="00C57C45" w:rsidP="00C57C45">
      <w:pPr>
        <w:jc w:val="both"/>
        <w:rPr>
          <w:rFonts w:ascii="Arial" w:hAnsi="Arial" w:cs="Arial"/>
          <w:b/>
          <w:bCs/>
        </w:rPr>
      </w:pPr>
      <w:r>
        <w:rPr>
          <w:rFonts w:ascii="Arial" w:hAnsi="Arial" w:cs="Arial"/>
          <w:b/>
          <w:bCs/>
        </w:rPr>
        <w:t>3.EXPLORING RICHNESS OF WILDLIFE DIVERSITY IN INDIA</w:t>
      </w:r>
    </w:p>
    <w:p w14:paraId="442E38B2" w14:textId="0F141123"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 xml:space="preserve">,375 of these species. India's rivers and lakes are habitats for crocodiles and gharials, while the saltwater 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w:t>
      </w:r>
      <w:r w:rsidRPr="004E49BA">
        <w:rPr>
          <w:rFonts w:ascii="Arial" w:hAnsi="Arial" w:cs="Arial"/>
          <w:sz w:val="20"/>
          <w:szCs w:val="20"/>
        </w:rPr>
        <w:t>and the red panda, further showcasing India's remarkable biodiversity.</w:t>
      </w:r>
    </w:p>
    <w:p w14:paraId="3C41E399" w14:textId="77777777" w:rsidR="00C57C45" w:rsidRPr="003802FB" w:rsidRDefault="00C57C45" w:rsidP="00C57C45">
      <w:pPr>
        <w:jc w:val="both"/>
        <w:rPr>
          <w:rFonts w:ascii="Arial" w:hAnsi="Arial" w:cs="Arial"/>
          <w:b/>
          <w:bCs/>
        </w:rPr>
      </w:pPr>
      <w:r>
        <w:rPr>
          <w:rFonts w:ascii="Arial" w:hAnsi="Arial" w:cs="Arial"/>
          <w:b/>
          <w:bCs/>
        </w:rPr>
        <w:t>4.SIGNIFICANT WILDLIFE REGIONS IN INDIA</w:t>
      </w:r>
    </w:p>
    <w:p w14:paraId="46C543BE" w14:textId="29C2717E" w:rsidR="00C57C45" w:rsidRPr="004E49BA" w:rsidRDefault="00C57C45" w:rsidP="00C57C45">
      <w:pPr>
        <w:jc w:val="both"/>
        <w:rPr>
          <w:rFonts w:ascii="Arial" w:hAnsi="Arial" w:cs="Arial"/>
          <w:sz w:val="20"/>
          <w:szCs w:val="20"/>
        </w:rPr>
      </w:pPr>
      <w:r w:rsidRPr="004E49BA">
        <w:rPr>
          <w:rFonts w:ascii="Arial" w:hAnsi="Arial" w:cs="Arial"/>
          <w:sz w:val="20"/>
          <w:szCs w:val="20"/>
        </w:rPr>
        <w:t>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The However, the region faces significant threats from industrial forestry and international wildlife trade, with species like tigers, monkeys, and turtles being exploited for food and traditional medicines.</w:t>
      </w:r>
    </w:p>
    <w:p w14:paraId="18C49DBA" w14:textId="77777777"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14:paraId="49E3A9E8" w14:textId="77777777"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xml:space="preserve">,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classified into cultural, natural, and mixed categories. These sites aim to </w:t>
      </w:r>
      <w:proofErr w:type="spellStart"/>
      <w:r w:rsidRPr="004E49BA">
        <w:rPr>
          <w:rFonts w:ascii="Arial" w:hAnsi="Arial" w:cs="Arial"/>
          <w:sz w:val="20"/>
          <w:szCs w:val="20"/>
        </w:rPr>
        <w:t>fulfill</w:t>
      </w:r>
      <w:proofErr w:type="spellEnd"/>
      <w:r w:rsidRPr="004E49BA">
        <w:rPr>
          <w:rFonts w:ascii="Arial" w:hAnsi="Arial" w:cs="Arial"/>
          <w:sz w:val="20"/>
          <w:szCs w:val="20"/>
        </w:rPr>
        <w:t xml:space="preserve"> </w:t>
      </w:r>
      <w:r w:rsidRPr="00A52A68">
        <w:rPr>
          <w:rFonts w:ascii="Arial" w:hAnsi="Arial" w:cs="Arial"/>
          <w:i/>
          <w:iCs/>
          <w:sz w:val="20"/>
          <w:szCs w:val="20"/>
        </w:rPr>
        <w:t xml:space="preserve">the "Five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xml:space="preserve">, and Communities. World Heritage Sites are crucial in promoting conservation efforts while balancing human interaction with nature. Global biodiversity, which refers to the variety of life on </w:t>
      </w:r>
      <w:r w:rsidRPr="004E49BA">
        <w:rPr>
          <w:rFonts w:ascii="Arial" w:hAnsi="Arial" w:cs="Arial"/>
          <w:sz w:val="20"/>
          <w:szCs w:val="20"/>
        </w:rPr>
        <w:lastRenderedPageBreak/>
        <w:t>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14:paraId="3DFA121B" w14:textId="77777777"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w:t>
      </w:r>
      <w:r>
        <w:rPr>
          <w:rFonts w:ascii="Arial" w:hAnsi="Arial" w:cs="Arial"/>
          <w:b/>
          <w:bCs/>
        </w:rPr>
        <w:t xml:space="preserve"> </w:t>
      </w:r>
      <w:r w:rsidRPr="00C168AE">
        <w:rPr>
          <w:rFonts w:ascii="Arial" w:hAnsi="Arial" w:cs="Arial"/>
          <w:b/>
          <w:bCs/>
        </w:rPr>
        <w:t>GOVERNING BIOLOGICAL DIVERSITY AND IPR IN INDIA</w:t>
      </w:r>
    </w:p>
    <w:p w14:paraId="3D957412" w14:textId="38FD5B2D"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w:t>
      </w:r>
      <w:r w:rsidRPr="004E49BA">
        <w:rPr>
          <w:rFonts w:ascii="Arial" w:hAnsi="Arial" w:cs="Arial"/>
          <w:sz w:val="20"/>
          <w:szCs w:val="20"/>
        </w:rPr>
        <w:t xml:space="preserve">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14:paraId="29929D59" w14:textId="77777777"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w:t>
      </w:r>
      <w:r>
        <w:rPr>
          <w:rFonts w:ascii="Arial" w:hAnsi="Arial" w:cs="Arial"/>
          <w:b/>
          <w:bCs/>
        </w:rPr>
        <w:t xml:space="preserve"> </w:t>
      </w:r>
      <w:r w:rsidRPr="005332FD">
        <w:rPr>
          <w:rFonts w:ascii="Arial" w:hAnsi="Arial" w:cs="Arial"/>
          <w:b/>
          <w:bCs/>
        </w:rPr>
        <w:t>IT’S</w:t>
      </w:r>
      <w:r>
        <w:rPr>
          <w:rFonts w:ascii="Arial" w:hAnsi="Arial" w:cs="Arial"/>
          <w:b/>
          <w:bCs/>
        </w:rPr>
        <w:tab/>
        <w:t>S</w:t>
      </w:r>
      <w:r w:rsidRPr="005332FD">
        <w:rPr>
          <w:rFonts w:ascii="Arial" w:hAnsi="Arial" w:cs="Arial"/>
          <w:b/>
          <w:bCs/>
        </w:rPr>
        <w:t>USTAINABLE UTILIZATION, AND THE INTERSECTION WITH HUMAN WELFARE</w:t>
      </w:r>
      <w:r>
        <w:rPr>
          <w:rFonts w:ascii="Arial" w:hAnsi="Arial" w:cs="Arial"/>
          <w:b/>
          <w:bCs/>
        </w:rPr>
        <w:t xml:space="preserve"> </w:t>
      </w:r>
      <w:r w:rsidRPr="005332FD">
        <w:rPr>
          <w:rFonts w:ascii="Arial" w:hAnsi="Arial" w:cs="Arial"/>
          <w:b/>
          <w:bCs/>
        </w:rPr>
        <w:t xml:space="preserve">AND </w:t>
      </w:r>
      <w:r>
        <w:rPr>
          <w:rFonts w:ascii="Arial" w:hAnsi="Arial" w:cs="Arial"/>
          <w:b/>
          <w:bCs/>
        </w:rPr>
        <w:t>IPR</w:t>
      </w:r>
    </w:p>
    <w:p w14:paraId="78AB2BC1" w14:textId="77777777"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he IPPC plays a critical role in promoting global food security, safe international trade, 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14:paraId="59BA95CE" w14:textId="756A9DF4"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w:t>
      </w:r>
      <w:r w:rsidR="00C57C45">
        <w:rPr>
          <w:rFonts w:ascii="Arial" w:hAnsi="Arial" w:cs="Arial"/>
          <w:b/>
          <w:bCs/>
        </w:rPr>
        <w:t xml:space="preserve"> </w:t>
      </w:r>
      <w:r w:rsidR="00C57C45" w:rsidRPr="00134274">
        <w:rPr>
          <w:rFonts w:ascii="Arial" w:hAnsi="Arial" w:cs="Arial"/>
          <w:b/>
          <w:bCs/>
        </w:rPr>
        <w:t>ON INTERNATIONAL TRADE IN ENDANGERED PLANT AND ANIMAL SPECIES.</w:t>
      </w:r>
    </w:p>
    <w:p w14:paraId="6611E211"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urgent need to reduce species extinction risks, promote sustainable use of biodiversity, and strengthen implementation and monitoring efforts.</w:t>
      </w:r>
    </w:p>
    <w:p w14:paraId="571A8509" w14:textId="415E681A"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14:paraId="2F6E8276" w14:textId="72683F52"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 xml:space="preserve">hese 17 goals tackle a broad spectrum </w:t>
      </w:r>
      <w:r w:rsidRPr="00311B2C">
        <w:rPr>
          <w:rFonts w:ascii="Arial" w:hAnsi="Arial" w:cs="Arial"/>
          <w:sz w:val="20"/>
          <w:szCs w:val="20"/>
        </w:rPr>
        <w:lastRenderedPageBreak/>
        <w:t>of challenges related to the environment, society, and the economy, with the aim of fostering equality, prosperity, and sustainability for all.</w:t>
      </w:r>
      <w:r>
        <w:rPr>
          <w:rFonts w:ascii="Arial" w:hAnsi="Arial" w:cs="Arial"/>
          <w:sz w:val="20"/>
          <w:szCs w:val="20"/>
        </w:rPr>
        <w:t xml:space="preserve"> </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nly 16% of the SDG targets are expected to be met by 2030, with key goals such as SDGs 2, 11, 14, 15, and 16 particularly off track. This framework is aligned with the 2030 Agenda’s key pillars—people, prosperity, planet, and participation—and emphasizes the localization of the SDGs, ensuring their integration into national frameworks and encouraging community participation at the local level.</w:t>
      </w:r>
    </w:p>
    <w:p w14:paraId="3D8FBAB0" w14:textId="77777777" w:rsidR="00C57C45" w:rsidRPr="004F5C84" w:rsidRDefault="00C57C45" w:rsidP="00C57C45">
      <w:pPr>
        <w:jc w:val="both"/>
        <w:rPr>
          <w:rFonts w:ascii="Arial" w:hAnsi="Arial" w:cs="Arial"/>
          <w:b/>
          <w:bCs/>
        </w:rPr>
      </w:pPr>
      <w:r>
        <w:rPr>
          <w:rFonts w:ascii="Arial" w:hAnsi="Arial" w:cs="Arial"/>
          <w:b/>
          <w:bCs/>
        </w:rPr>
        <w:t>10.WIPO</w:t>
      </w:r>
      <w:r w:rsidRPr="004F5C84">
        <w:rPr>
          <w:rFonts w:ascii="Arial" w:hAnsi="Arial" w:cs="Arial"/>
          <w:b/>
          <w:bCs/>
        </w:rPr>
        <w:t xml:space="preserve"> AND </w:t>
      </w:r>
      <w:r>
        <w:rPr>
          <w:rFonts w:ascii="Arial" w:hAnsi="Arial" w:cs="Arial"/>
          <w:b/>
          <w:bCs/>
        </w:rPr>
        <w:t>TRIPS</w:t>
      </w:r>
    </w:p>
    <w:p w14:paraId="4DF9D943" w14:textId="0322EA09"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Pr>
          <w:rFonts w:ascii="Arial" w:hAnsi="Arial" w:cs="Arial"/>
          <w:sz w:val="20"/>
          <w:szCs w:val="20"/>
        </w:rPr>
        <w:t xml:space="preserve"> </w:t>
      </w:r>
      <w:r w:rsidRPr="004E49BA">
        <w:rPr>
          <w:rFonts w:ascii="Arial" w:hAnsi="Arial" w:cs="Arial"/>
          <w:sz w:val="20"/>
          <w:szCs w:val="20"/>
        </w:rPr>
        <w:t xml:space="preserve">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w:t>
      </w:r>
      <w:r w:rsidRPr="004E49BA">
        <w:rPr>
          <w:rFonts w:ascii="Arial" w:hAnsi="Arial" w:cs="Arial"/>
          <w:sz w:val="20"/>
          <w:szCs w:val="20"/>
        </w:rPr>
        <w:t>for treating specific diseases. By mitigating disaster risks like floods, droughts, and storms, biodiversity ultimately saves lives and provides livelihoods through forests, timber, and non-timber products.</w:t>
      </w:r>
    </w:p>
    <w:p w14:paraId="0510CBB1" w14:textId="77777777"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14:paraId="7062EB70"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14:paraId="1DEF12FD" w14:textId="6F8DDE32"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turmeric, which was revoked due to evidence of prior art, highlighting issues of biopiracy.</w:t>
      </w:r>
    </w:p>
    <w:p w14:paraId="77B82B94" w14:textId="6806EEA8"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w:t>
      </w:r>
      <w:proofErr w:type="spellStart"/>
      <w:r w:rsidR="00C57C45" w:rsidRPr="004E49BA">
        <w:rPr>
          <w:rFonts w:ascii="Arial" w:hAnsi="Arial" w:cs="Arial"/>
          <w:sz w:val="20"/>
          <w:szCs w:val="20"/>
        </w:rPr>
        <w:t>centered</w:t>
      </w:r>
      <w:proofErr w:type="spellEnd"/>
      <w:r w:rsidR="00C57C45" w:rsidRPr="004E49BA">
        <w:rPr>
          <w:rFonts w:ascii="Arial" w:hAnsi="Arial" w:cs="Arial"/>
          <w:sz w:val="20"/>
          <w:szCs w:val="20"/>
        </w:rPr>
        <w:t xml:space="preserve"> on a dispute between India and the European Patent Office over the patent on neem oil, which was challenged on the grounds that it lacked novelty.</w:t>
      </w:r>
    </w:p>
    <w:p w14:paraId="6F6CCB64" w14:textId="1F79FE60"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14:paraId="3BC3BAA2" w14:textId="1E2296EC"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14:paraId="5EDBA3B4"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The judicial responses to these cases have played a crucial role in protecting and preserving biodiversity, reinforcing the importance of safeguarding traditional knowledge and ensuring the welfare of communities reliant on these resources.</w:t>
      </w:r>
    </w:p>
    <w:p w14:paraId="2B241BD7" w14:textId="77777777" w:rsidR="00C57C45" w:rsidRPr="00E50176" w:rsidRDefault="00C57C45" w:rsidP="00C57C45">
      <w:pPr>
        <w:jc w:val="both"/>
        <w:rPr>
          <w:rFonts w:ascii="Arial" w:hAnsi="Arial" w:cs="Arial"/>
          <w:b/>
          <w:bCs/>
        </w:rPr>
      </w:pPr>
      <w:r>
        <w:rPr>
          <w:rFonts w:ascii="Arial" w:hAnsi="Arial" w:cs="Arial"/>
          <w:b/>
          <w:bCs/>
        </w:rPr>
        <w:t>12.</w:t>
      </w:r>
      <w:r w:rsidRPr="00E50176">
        <w:rPr>
          <w:rFonts w:ascii="Arial" w:hAnsi="Arial" w:cs="Arial"/>
          <w:b/>
          <w:bCs/>
        </w:rPr>
        <w:t>FINDINGS, CONCLUSION AND SUGGESTIONS</w:t>
      </w:r>
    </w:p>
    <w:p w14:paraId="234CCCB7" w14:textId="307454FB"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w:t>
      </w:r>
      <w:r w:rsidRPr="00E524B4">
        <w:rPr>
          <w:rFonts w:ascii="Arial" w:hAnsi="Arial" w:cs="Arial"/>
          <w:sz w:val="20"/>
          <w:szCs w:val="20"/>
        </w:rPr>
        <w:lastRenderedPageBreak/>
        <w:t xml:space="preserve">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w:t>
      </w:r>
      <w:r w:rsidRPr="00E524B4">
        <w:rPr>
          <w:rFonts w:ascii="Arial" w:hAnsi="Arial" w:cs="Arial"/>
          <w:sz w:val="20"/>
          <w:szCs w:val="20"/>
        </w:rPr>
        <w:t>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14:paraId="6F53878D" w14:textId="4BA31BB1"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14:paraId="1A26EEAF" w14:textId="26F00AA1"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p>
    <w:p w14:paraId="42697E24" w14:textId="77777777" w:rsidR="001D2625" w:rsidRDefault="001D2625" w:rsidP="001D2625">
      <w:pPr>
        <w:spacing w:after="0" w:line="240" w:lineRule="auto"/>
        <w:ind w:right="29"/>
        <w:jc w:val="both"/>
        <w:rPr>
          <w:rFonts w:ascii="Arial" w:eastAsia="Times New Roman" w:hAnsi="Arial" w:cs="Arial"/>
          <w:sz w:val="20"/>
          <w:szCs w:val="20"/>
          <w:lang w:eastAsia="en-IN"/>
        </w:rPr>
      </w:pPr>
    </w:p>
    <w:p w14:paraId="4D11716B" w14:textId="77777777"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14:paraId="3138F867" w14:textId="77777777" w:rsidR="001D2625" w:rsidRPr="00FE6022" w:rsidRDefault="001D2625" w:rsidP="001D2625">
      <w:pPr>
        <w:spacing w:after="0" w:line="240" w:lineRule="auto"/>
        <w:ind w:right="29"/>
        <w:jc w:val="both"/>
        <w:rPr>
          <w:rFonts w:ascii="Arial" w:eastAsia="Times New Roman" w:hAnsi="Arial" w:cs="Arial"/>
          <w:b/>
          <w:sz w:val="12"/>
          <w:szCs w:val="20"/>
          <w:lang w:eastAsia="en-IN"/>
        </w:rPr>
      </w:pPr>
    </w:p>
    <w:p w14:paraId="719E5BC9" w14:textId="645AADFE"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14:paraId="723096AD" w14:textId="77777777" w:rsidR="001D2625" w:rsidRPr="001D2625" w:rsidRDefault="001D2625" w:rsidP="001D2625">
      <w:pPr>
        <w:spacing w:after="0" w:line="240" w:lineRule="auto"/>
        <w:ind w:right="29"/>
        <w:jc w:val="both"/>
        <w:rPr>
          <w:rFonts w:ascii="Arial" w:eastAsia="Times New Roman" w:hAnsi="Arial" w:cs="Arial"/>
          <w:sz w:val="20"/>
          <w:szCs w:val="20"/>
          <w:lang w:eastAsia="en-IN"/>
        </w:rPr>
      </w:pPr>
    </w:p>
    <w:p w14:paraId="5DDACFD6" w14:textId="14D7D39B" w:rsidR="00DC77CB" w:rsidRPr="00220FA4" w:rsidRDefault="00220FA4" w:rsidP="00DC77CB">
      <w:pPr>
        <w:jc w:val="both"/>
        <w:rPr>
          <w:rFonts w:ascii="Arial" w:hAnsi="Arial" w:cs="Arial"/>
          <w:b/>
          <w:bCs/>
        </w:rPr>
      </w:pPr>
      <w:r w:rsidRPr="00220FA4">
        <w:rPr>
          <w:rFonts w:ascii="Arial" w:hAnsi="Arial" w:cs="Arial"/>
          <w:b/>
          <w:bCs/>
        </w:rPr>
        <w:t>REFERENCES</w:t>
      </w:r>
    </w:p>
    <w:p w14:paraId="605580DF"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14:paraId="1E2854AD"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14:paraId="56D6B00F" w14:textId="10DF2FCA"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14:paraId="443319C3"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14:paraId="158722DE" w14:textId="1DD5CC39"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14:paraId="3412B0AB"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Geographical Indications of Goods (Registration and Protection) Act, 1999</w:t>
      </w:r>
    </w:p>
    <w:p w14:paraId="2CA11555" w14:textId="63460458"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14:paraId="620E5B60"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14:paraId="3583BFB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14:paraId="4AACDE07" w14:textId="7719FC4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14:paraId="461D301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on Wetlands, 1971</w:t>
      </w:r>
    </w:p>
    <w:p w14:paraId="560CF340" w14:textId="4ADEF391"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14:paraId="35B9E312" w14:textId="03DBC5BB"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14:paraId="02CC4330" w14:textId="41FC15A9"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14:paraId="619DB73E" w14:textId="4940540E"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14:paraId="62A835E8" w14:textId="44B91A35"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14:paraId="42349530" w14:textId="7757B742"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14:paraId="64008951"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14:paraId="4A912DA2" w14:textId="1AECB2B4"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Convention for the Protection of Animals from 1988</w:t>
      </w:r>
    </w:p>
    <w:p w14:paraId="438B96B9" w14:textId="0C2FAC86"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w:t>
      </w:r>
      <w:proofErr w:type="spellStart"/>
      <w:r w:rsidRPr="00220FA4">
        <w:rPr>
          <w:rFonts w:ascii="Arial" w:hAnsi="Arial" w:cs="Arial"/>
          <w:sz w:val="20"/>
          <w:szCs w:val="20"/>
        </w:rPr>
        <w:t>Balvanera</w:t>
      </w:r>
      <w:proofErr w:type="spellEnd"/>
      <w:r w:rsidRPr="00220FA4">
        <w:rPr>
          <w:rFonts w:ascii="Arial" w:hAnsi="Arial" w:cs="Arial"/>
          <w:sz w:val="20"/>
          <w:szCs w:val="20"/>
        </w:rPr>
        <w:t xml:space="preserve"> P, </w:t>
      </w:r>
      <w:proofErr w:type="spellStart"/>
      <w:r w:rsidRPr="00220FA4">
        <w:rPr>
          <w:rFonts w:ascii="Arial" w:hAnsi="Arial" w:cs="Arial"/>
          <w:sz w:val="20"/>
          <w:szCs w:val="20"/>
        </w:rPr>
        <w:t>Benessaiah</w:t>
      </w:r>
      <w:proofErr w:type="spellEnd"/>
      <w:r w:rsidRPr="00220FA4">
        <w:rPr>
          <w:rFonts w:ascii="Arial" w:hAnsi="Arial" w:cs="Arial"/>
          <w:sz w:val="20"/>
          <w:szCs w:val="20"/>
        </w:rPr>
        <w:t xml:space="preserve"> K, Chapman M, Díaz S, Gómez-</w:t>
      </w:r>
      <w:proofErr w:type="spellStart"/>
      <w:r w:rsidRPr="00220FA4">
        <w:rPr>
          <w:rFonts w:ascii="Arial" w:hAnsi="Arial" w:cs="Arial"/>
          <w:sz w:val="20"/>
          <w:szCs w:val="20"/>
        </w:rPr>
        <w:t>Baggethun</w:t>
      </w:r>
      <w:proofErr w:type="spellEnd"/>
      <w:r w:rsidRPr="00220FA4">
        <w:rPr>
          <w:rFonts w:ascii="Arial" w:hAnsi="Arial" w:cs="Arial"/>
          <w:sz w:val="20"/>
          <w:szCs w:val="20"/>
        </w:rPr>
        <w:t xml:space="preserve"> E, et al. Why protect nature? Rethinking values and the environment. Proc Natl </w:t>
      </w:r>
      <w:proofErr w:type="spellStart"/>
      <w:r w:rsidRPr="00220FA4">
        <w:rPr>
          <w:rFonts w:ascii="Arial" w:hAnsi="Arial" w:cs="Arial"/>
          <w:sz w:val="20"/>
          <w:szCs w:val="20"/>
        </w:rPr>
        <w:t>Acad</w:t>
      </w:r>
      <w:proofErr w:type="spellEnd"/>
      <w:r w:rsidRPr="00220FA4">
        <w:rPr>
          <w:rFonts w:ascii="Arial" w:hAnsi="Arial" w:cs="Arial"/>
          <w:sz w:val="20"/>
          <w:szCs w:val="20"/>
        </w:rPr>
        <w:t xml:space="preserve"> Sci U S A. 2016;113(6):1462-5. </w:t>
      </w:r>
      <w:hyperlink r:id="rId13"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14:paraId="16648CC9" w14:textId="2ACB1322"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4"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14:paraId="6E7A8CB2" w14:textId="560C684C"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Crist TO, Parmenter RR, </w:t>
      </w:r>
      <w:proofErr w:type="spellStart"/>
      <w:r w:rsidRPr="00220FA4">
        <w:rPr>
          <w:rFonts w:ascii="Arial" w:hAnsi="Arial" w:cs="Arial"/>
          <w:sz w:val="20"/>
          <w:szCs w:val="20"/>
        </w:rPr>
        <w:t>Belovsky</w:t>
      </w:r>
      <w:proofErr w:type="spellEnd"/>
      <w:r w:rsidRPr="00220FA4">
        <w:rPr>
          <w:rFonts w:ascii="Arial" w:hAnsi="Arial" w:cs="Arial"/>
          <w:sz w:val="20"/>
          <w:szCs w:val="20"/>
        </w:rPr>
        <w:t xml:space="preserve"> G, Lugo AE. The spread of invasive species and infectious disease as drivers of ecosystem change. Front </w:t>
      </w:r>
      <w:proofErr w:type="spellStart"/>
      <w:r w:rsidRPr="00220FA4">
        <w:rPr>
          <w:rFonts w:ascii="Arial" w:hAnsi="Arial" w:cs="Arial"/>
          <w:sz w:val="20"/>
          <w:szCs w:val="20"/>
        </w:rPr>
        <w:t>Ecol</w:t>
      </w:r>
      <w:proofErr w:type="spellEnd"/>
      <w:r w:rsidRPr="00220FA4">
        <w:rPr>
          <w:rFonts w:ascii="Arial" w:hAnsi="Arial" w:cs="Arial"/>
          <w:sz w:val="20"/>
          <w:szCs w:val="20"/>
        </w:rPr>
        <w:t xml:space="preserve"> Environ. </w:t>
      </w:r>
      <w:proofErr w:type="gramStart"/>
      <w:r w:rsidRPr="00220FA4">
        <w:rPr>
          <w:rFonts w:ascii="Arial" w:hAnsi="Arial" w:cs="Arial"/>
          <w:sz w:val="20"/>
          <w:szCs w:val="20"/>
        </w:rPr>
        <w:t>2008;6:238</w:t>
      </w:r>
      <w:proofErr w:type="gramEnd"/>
      <w:r w:rsidRPr="00220FA4">
        <w:rPr>
          <w:rFonts w:ascii="Arial" w:hAnsi="Arial" w:cs="Arial"/>
          <w:sz w:val="20"/>
          <w:szCs w:val="20"/>
        </w:rPr>
        <w:t xml:space="preserve">-46. </w:t>
      </w:r>
      <w:hyperlink r:id="rId15"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14:paraId="4ED3C8DF" w14:textId="77777777" w:rsidR="00655CC8" w:rsidRPr="00220FA4" w:rsidRDefault="00347D3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Díaz S, </w:t>
      </w:r>
      <w:proofErr w:type="spellStart"/>
      <w:r w:rsidRPr="00220FA4">
        <w:rPr>
          <w:rFonts w:ascii="Arial" w:hAnsi="Arial" w:cs="Arial"/>
          <w:sz w:val="20"/>
          <w:szCs w:val="20"/>
        </w:rPr>
        <w:t>Demissew</w:t>
      </w:r>
      <w:proofErr w:type="spellEnd"/>
      <w:r w:rsidRPr="00220FA4">
        <w:rPr>
          <w:rFonts w:ascii="Arial" w:hAnsi="Arial" w:cs="Arial"/>
          <w:sz w:val="20"/>
          <w:szCs w:val="20"/>
        </w:rPr>
        <w:t xml:space="preserve"> S, </w:t>
      </w:r>
      <w:proofErr w:type="spellStart"/>
      <w:r w:rsidRPr="00220FA4">
        <w:rPr>
          <w:rFonts w:ascii="Arial" w:hAnsi="Arial" w:cs="Arial"/>
          <w:sz w:val="20"/>
          <w:szCs w:val="20"/>
        </w:rPr>
        <w:t>Carabias</w:t>
      </w:r>
      <w:proofErr w:type="spellEnd"/>
      <w:r w:rsidRPr="00220FA4">
        <w:rPr>
          <w:rFonts w:ascii="Arial" w:hAnsi="Arial" w:cs="Arial"/>
          <w:sz w:val="20"/>
          <w:szCs w:val="20"/>
        </w:rPr>
        <w:t xml:space="preserve"> J, Joly C, Lonsdale M, Ash N, </w:t>
      </w:r>
      <w:proofErr w:type="spellStart"/>
      <w:r w:rsidRPr="00220FA4">
        <w:rPr>
          <w:rFonts w:ascii="Arial" w:hAnsi="Arial" w:cs="Arial"/>
          <w:sz w:val="20"/>
          <w:szCs w:val="20"/>
        </w:rPr>
        <w:t>Zlatanova</w:t>
      </w:r>
      <w:proofErr w:type="spellEnd"/>
      <w:r w:rsidRPr="00220FA4">
        <w:rPr>
          <w:rFonts w:ascii="Arial" w:hAnsi="Arial" w:cs="Arial"/>
          <w:sz w:val="20"/>
          <w:szCs w:val="20"/>
        </w:rPr>
        <w:t xml:space="preserve"> D. The IPBES Conceptual Framework- Connecting nature and people. </w:t>
      </w:r>
      <w:proofErr w:type="spellStart"/>
      <w:r w:rsidRPr="00220FA4">
        <w:rPr>
          <w:rFonts w:ascii="Arial" w:hAnsi="Arial" w:cs="Arial"/>
          <w:sz w:val="20"/>
          <w:szCs w:val="20"/>
        </w:rPr>
        <w:t>Curr</w:t>
      </w:r>
      <w:proofErr w:type="spellEnd"/>
      <w:r w:rsidRPr="00220FA4">
        <w:rPr>
          <w:rFonts w:ascii="Arial" w:hAnsi="Arial" w:cs="Arial"/>
          <w:sz w:val="20"/>
          <w:szCs w:val="20"/>
        </w:rPr>
        <w:t xml:space="preserve"> </w:t>
      </w:r>
      <w:proofErr w:type="spellStart"/>
      <w:r w:rsidRPr="00220FA4">
        <w:rPr>
          <w:rFonts w:ascii="Arial" w:hAnsi="Arial" w:cs="Arial"/>
          <w:sz w:val="20"/>
          <w:szCs w:val="20"/>
        </w:rPr>
        <w:t>Opin</w:t>
      </w:r>
      <w:proofErr w:type="spellEnd"/>
      <w:r w:rsidRPr="00220FA4">
        <w:rPr>
          <w:rFonts w:ascii="Arial" w:hAnsi="Arial" w:cs="Arial"/>
          <w:sz w:val="20"/>
          <w:szCs w:val="20"/>
        </w:rPr>
        <w:t xml:space="preserve"> Environ Sustain. </w:t>
      </w:r>
      <w:proofErr w:type="gramStart"/>
      <w:r w:rsidRPr="00220FA4">
        <w:rPr>
          <w:rFonts w:ascii="Arial" w:hAnsi="Arial" w:cs="Arial"/>
          <w:sz w:val="20"/>
          <w:szCs w:val="20"/>
        </w:rPr>
        <w:t>2015;14:1</w:t>
      </w:r>
      <w:proofErr w:type="gramEnd"/>
      <w:r w:rsidRPr="00220FA4">
        <w:rPr>
          <w:rFonts w:ascii="Arial" w:hAnsi="Arial" w:cs="Arial"/>
          <w:sz w:val="20"/>
          <w:szCs w:val="20"/>
        </w:rPr>
        <w:t>-16.</w:t>
      </w:r>
    </w:p>
    <w:p w14:paraId="29BAC8D7" w14:textId="418D76DB"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w:t>
      </w:r>
      <w:proofErr w:type="spellStart"/>
      <w:r w:rsidRPr="00220FA4">
        <w:rPr>
          <w:rFonts w:ascii="Arial" w:hAnsi="Arial" w:cs="Arial"/>
          <w:sz w:val="20"/>
          <w:szCs w:val="20"/>
        </w:rPr>
        <w:t>Ecol</w:t>
      </w:r>
      <w:proofErr w:type="spellEnd"/>
      <w:r w:rsidRPr="00220FA4">
        <w:rPr>
          <w:rFonts w:ascii="Arial" w:hAnsi="Arial" w:cs="Arial"/>
          <w:sz w:val="20"/>
          <w:szCs w:val="20"/>
        </w:rPr>
        <w:t xml:space="preserve"> </w:t>
      </w:r>
      <w:proofErr w:type="spellStart"/>
      <w:r w:rsidRPr="00220FA4">
        <w:rPr>
          <w:rFonts w:ascii="Arial" w:hAnsi="Arial" w:cs="Arial"/>
          <w:sz w:val="20"/>
          <w:szCs w:val="20"/>
        </w:rPr>
        <w:t>Evol</w:t>
      </w:r>
      <w:proofErr w:type="spellEnd"/>
      <w:r w:rsidRPr="00220FA4">
        <w:rPr>
          <w:rFonts w:ascii="Arial" w:hAnsi="Arial" w:cs="Arial"/>
          <w:sz w:val="20"/>
          <w:szCs w:val="20"/>
        </w:rPr>
        <w:t xml:space="preserve">. 2015;30(3):140-5. </w:t>
      </w:r>
      <w:r w:rsidR="004D588C" w:rsidRPr="00220FA4">
        <w:rPr>
          <w:rFonts w:ascii="Arial" w:hAnsi="Arial" w:cs="Arial"/>
          <w:sz w:val="20"/>
          <w:szCs w:val="20"/>
        </w:rPr>
        <w:t xml:space="preserve">DOI: </w:t>
      </w:r>
      <w:hyperlink r:id="rId16"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14:paraId="1E9D8AAB" w14:textId="77777777"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w:t>
      </w:r>
      <w:proofErr w:type="spellStart"/>
      <w:r w:rsidRPr="00220FA4">
        <w:rPr>
          <w:rFonts w:ascii="Arial" w:hAnsi="Arial" w:cs="Arial"/>
          <w:sz w:val="20"/>
          <w:szCs w:val="20"/>
        </w:rPr>
        <w:t>Tamwoy</w:t>
      </w:r>
      <w:proofErr w:type="spellEnd"/>
      <w:r w:rsidRPr="00220FA4">
        <w:rPr>
          <w:rFonts w:ascii="Arial" w:hAnsi="Arial" w:cs="Arial"/>
          <w:sz w:val="20"/>
          <w:szCs w:val="20"/>
        </w:rPr>
        <w:t xml:space="preserve"> S. Empowering indigenous peoples’ biocultural diversity through World Heritage cultural landscapes: A case study from the Australian humid tropical forests. Int J Herit Stud. 2011;17(6):571-91.</w:t>
      </w:r>
    </w:p>
    <w:p w14:paraId="19464514" w14:textId="53EF4E59" w:rsidR="00951D69" w:rsidRPr="00220FA4" w:rsidRDefault="007A6FCC" w:rsidP="00220FA4">
      <w:pPr>
        <w:pStyle w:val="ListParagraph"/>
        <w:numPr>
          <w:ilvl w:val="0"/>
          <w:numId w:val="2"/>
        </w:numPr>
        <w:jc w:val="both"/>
        <w:rPr>
          <w:rFonts w:ascii="Arial" w:hAnsi="Arial" w:cs="Arial"/>
          <w:sz w:val="20"/>
          <w:szCs w:val="20"/>
        </w:rPr>
      </w:pPr>
      <w:hyperlink r:id="rId17" w:history="1">
        <w:r w:rsidR="00951D69" w:rsidRPr="00220FA4">
          <w:rPr>
            <w:rStyle w:val="Hyperlink"/>
            <w:rFonts w:ascii="Arial" w:hAnsi="Arial" w:cs="Arial"/>
            <w:sz w:val="20"/>
            <w:szCs w:val="20"/>
          </w:rPr>
          <w:t>https://doi.org/10.1080/13527258.2011.618252</w:t>
        </w:r>
      </w:hyperlink>
      <w:r w:rsidR="00951D69" w:rsidRPr="00220FA4">
        <w:rPr>
          <w:rFonts w:ascii="Arial" w:hAnsi="Arial" w:cs="Arial"/>
          <w:sz w:val="20"/>
          <w:szCs w:val="20"/>
        </w:rPr>
        <w:t>.</w:t>
      </w:r>
    </w:p>
    <w:p w14:paraId="1F133387" w14:textId="436440F2"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Rotherham ID. The implications of perceptions and cultural knowledge loss for the management of wooded landscapes: A UK case-study. For </w:t>
      </w:r>
      <w:proofErr w:type="spellStart"/>
      <w:r w:rsidRPr="00220FA4">
        <w:rPr>
          <w:rFonts w:ascii="Arial" w:hAnsi="Arial" w:cs="Arial"/>
          <w:sz w:val="20"/>
          <w:szCs w:val="20"/>
        </w:rPr>
        <w:t>Ecol</w:t>
      </w:r>
      <w:proofErr w:type="spellEnd"/>
      <w:r w:rsidRPr="00220FA4">
        <w:rPr>
          <w:rFonts w:ascii="Arial" w:hAnsi="Arial" w:cs="Arial"/>
          <w:sz w:val="20"/>
          <w:szCs w:val="20"/>
        </w:rPr>
        <w:t xml:space="preserve"> Manage. 2007;</w:t>
      </w:r>
      <w:proofErr w:type="gramStart"/>
      <w:r w:rsidRPr="00220FA4">
        <w:rPr>
          <w:rFonts w:ascii="Arial" w:hAnsi="Arial" w:cs="Arial"/>
          <w:sz w:val="20"/>
          <w:szCs w:val="20"/>
        </w:rPr>
        <w:t>249:100-15.</w:t>
      </w:r>
      <w:r w:rsidR="004D588C" w:rsidRPr="00220FA4">
        <w:rPr>
          <w:rFonts w:ascii="Arial" w:hAnsi="Arial" w:cs="Arial"/>
          <w:sz w:val="20"/>
          <w:szCs w:val="20"/>
        </w:rPr>
        <w:t>DOI</w:t>
      </w:r>
      <w:proofErr w:type="gramEnd"/>
      <w:r w:rsidR="004D588C" w:rsidRPr="00220FA4">
        <w:rPr>
          <w:rFonts w:ascii="Arial" w:hAnsi="Arial" w:cs="Arial"/>
          <w:sz w:val="20"/>
          <w:szCs w:val="20"/>
        </w:rPr>
        <w:t xml:space="preserve">: </w:t>
      </w:r>
      <w:hyperlink r:id="rId18"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14:paraId="3FD4DE3D" w14:textId="2DE1F2F0"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2013;52(6):1320-</w:t>
      </w:r>
      <w:proofErr w:type="gramStart"/>
      <w:r w:rsidRPr="00220FA4">
        <w:rPr>
          <w:rFonts w:ascii="Arial" w:hAnsi="Arial" w:cs="Arial"/>
          <w:sz w:val="20"/>
          <w:szCs w:val="20"/>
        </w:rPr>
        <w:t>32.</w:t>
      </w:r>
      <w:r w:rsidR="00951D69" w:rsidRPr="00220FA4">
        <w:rPr>
          <w:rFonts w:ascii="Arial" w:hAnsi="Arial" w:cs="Arial"/>
          <w:sz w:val="20"/>
          <w:szCs w:val="20"/>
        </w:rPr>
        <w:t>https://doi.org/10.1007/s00267-013-0162-1</w:t>
      </w:r>
      <w:proofErr w:type="gramEnd"/>
      <w:r w:rsidR="00951D69" w:rsidRPr="00220FA4">
        <w:rPr>
          <w:rFonts w:ascii="Arial" w:hAnsi="Arial" w:cs="Arial"/>
          <w:sz w:val="20"/>
          <w:szCs w:val="20"/>
        </w:rPr>
        <w:t>, 2-s2.0 84889884999.</w:t>
      </w:r>
    </w:p>
    <w:p w14:paraId="5E4FB887" w14:textId="1F05563B"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Vaske JJ, Beaman J, Barreto H, Shelby LB. An extension and further validation of the potential for conflict index. Leis Sci. </w:t>
      </w:r>
      <w:proofErr w:type="gramStart"/>
      <w:r w:rsidRPr="00220FA4">
        <w:rPr>
          <w:rFonts w:ascii="Arial" w:hAnsi="Arial" w:cs="Arial"/>
          <w:sz w:val="20"/>
          <w:szCs w:val="20"/>
        </w:rPr>
        <w:t>2010;32:254</w:t>
      </w:r>
      <w:proofErr w:type="gramEnd"/>
      <w:r w:rsidRPr="00220FA4">
        <w:rPr>
          <w:rFonts w:ascii="Arial" w:hAnsi="Arial" w:cs="Arial"/>
          <w:sz w:val="20"/>
          <w:szCs w:val="20"/>
        </w:rPr>
        <w:t xml:space="preserve">. </w:t>
      </w:r>
      <w:r w:rsidR="00951D69" w:rsidRPr="00220FA4">
        <w:rPr>
          <w:rFonts w:ascii="Arial" w:hAnsi="Arial" w:cs="Arial"/>
          <w:sz w:val="20"/>
          <w:szCs w:val="20"/>
        </w:rPr>
        <w:t>https://doi.org/10.1080/01490401003712648, 2-s2.0-77951927321.</w:t>
      </w:r>
    </w:p>
    <w:p w14:paraId="21053825" w14:textId="2157BD19"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w:t>
      </w:r>
      <w:proofErr w:type="spellStart"/>
      <w:r w:rsidRPr="00220FA4">
        <w:rPr>
          <w:rFonts w:ascii="Arial" w:hAnsi="Arial" w:cs="Arial"/>
          <w:sz w:val="20"/>
          <w:szCs w:val="20"/>
        </w:rPr>
        <w:t>PLoS</w:t>
      </w:r>
      <w:proofErr w:type="spellEnd"/>
      <w:r w:rsidRPr="00220FA4">
        <w:rPr>
          <w:rFonts w:ascii="Arial" w:hAnsi="Arial" w:cs="Arial"/>
          <w:sz w:val="20"/>
          <w:szCs w:val="20"/>
        </w:rPr>
        <w:t xml:space="preserve"> One. 2012;7(12) </w:t>
      </w:r>
      <w:r w:rsidR="00951D69" w:rsidRPr="00220FA4">
        <w:rPr>
          <w:rFonts w:ascii="Arial" w:hAnsi="Arial" w:cs="Arial"/>
          <w:sz w:val="20"/>
          <w:szCs w:val="20"/>
        </w:rPr>
        <w:t>https://doi.org/10.1371/journal.pone.0050433, 2-s2.0-84870812512.</w:t>
      </w:r>
    </w:p>
    <w:p w14:paraId="6A30C609" w14:textId="43C60D2E"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19"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14:paraId="71D21C0A" w14:textId="7D39A8AB"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14:paraId="044FAF31" w14:textId="4967EAD0"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Jai </w:t>
      </w:r>
      <w:proofErr w:type="spellStart"/>
      <w:r w:rsidRPr="00220FA4">
        <w:rPr>
          <w:rFonts w:ascii="Arial" w:hAnsi="Arial" w:cs="Arial"/>
          <w:sz w:val="20"/>
          <w:szCs w:val="20"/>
        </w:rPr>
        <w:t>Maa</w:t>
      </w:r>
      <w:proofErr w:type="spellEnd"/>
      <w:r w:rsidRPr="00220FA4">
        <w:rPr>
          <w:rFonts w:ascii="Arial" w:hAnsi="Arial" w:cs="Arial"/>
          <w:sz w:val="20"/>
          <w:szCs w:val="20"/>
        </w:rPr>
        <w:t xml:space="preserve"> </w:t>
      </w:r>
      <w:proofErr w:type="spellStart"/>
      <w:r w:rsidRPr="00220FA4">
        <w:rPr>
          <w:rFonts w:ascii="Arial" w:hAnsi="Arial" w:cs="Arial"/>
          <w:sz w:val="20"/>
          <w:szCs w:val="20"/>
        </w:rPr>
        <w:t>Saraswati</w:t>
      </w:r>
      <w:proofErr w:type="spellEnd"/>
      <w:r w:rsidRPr="00220FA4">
        <w:rPr>
          <w:rFonts w:ascii="Arial" w:hAnsi="Arial" w:cs="Arial"/>
          <w:sz w:val="20"/>
          <w:szCs w:val="20"/>
        </w:rPr>
        <w:t xml:space="preserve">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2022;8(2):1-6. </w:t>
      </w:r>
      <w:hyperlink r:id="rId20"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14:paraId="51A54BBB" w14:textId="5E77C0EF"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w:t>
      </w:r>
      <w:proofErr w:type="spellStart"/>
      <w:r w:rsidRPr="00220FA4">
        <w:rPr>
          <w:rFonts w:ascii="Arial" w:hAnsi="Arial" w:cs="Arial"/>
          <w:sz w:val="20"/>
          <w:szCs w:val="20"/>
        </w:rPr>
        <w:t>Pract</w:t>
      </w:r>
      <w:proofErr w:type="spellEnd"/>
      <w:r w:rsidRPr="00220FA4">
        <w:rPr>
          <w:rFonts w:ascii="Arial" w:hAnsi="Arial" w:cs="Arial"/>
          <w:sz w:val="20"/>
          <w:szCs w:val="20"/>
        </w:rPr>
        <w:t xml:space="preserve">. 2009;1(1):1-5. </w:t>
      </w:r>
      <w:r w:rsidR="00951D69" w:rsidRPr="00220FA4">
        <w:rPr>
          <w:rFonts w:ascii="Arial" w:hAnsi="Arial" w:cs="Arial"/>
          <w:sz w:val="20"/>
          <w:szCs w:val="20"/>
        </w:rPr>
        <w:t>doi:10.1093/</w:t>
      </w:r>
      <w:proofErr w:type="spellStart"/>
      <w:r w:rsidR="00951D69" w:rsidRPr="00220FA4">
        <w:rPr>
          <w:rFonts w:ascii="Arial" w:hAnsi="Arial" w:cs="Arial"/>
          <w:sz w:val="20"/>
          <w:szCs w:val="20"/>
        </w:rPr>
        <w:t>jhuman</w:t>
      </w:r>
      <w:proofErr w:type="spellEnd"/>
      <w:r w:rsidR="00951D69" w:rsidRPr="00220FA4">
        <w:rPr>
          <w:rFonts w:ascii="Arial" w:hAnsi="Arial" w:cs="Arial"/>
          <w:sz w:val="20"/>
          <w:szCs w:val="20"/>
        </w:rPr>
        <w:t>/hun005.</w:t>
      </w:r>
    </w:p>
    <w:p w14:paraId="4C2AFA23" w14:textId="6B0E8CE3"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State human rights commissions as enforcement system in India: A critical appraisal. Res </w:t>
      </w:r>
      <w:proofErr w:type="spellStart"/>
      <w:r w:rsidRPr="00220FA4">
        <w:rPr>
          <w:rFonts w:ascii="Arial" w:hAnsi="Arial" w:cs="Arial"/>
          <w:sz w:val="20"/>
          <w:szCs w:val="20"/>
        </w:rPr>
        <w:t>Inspir</w:t>
      </w:r>
      <w:proofErr w:type="spellEnd"/>
      <w:r w:rsidRPr="00220FA4">
        <w:rPr>
          <w:rFonts w:ascii="Arial" w:hAnsi="Arial" w:cs="Arial"/>
          <w:sz w:val="20"/>
          <w:szCs w:val="20"/>
        </w:rPr>
        <w:t xml:space="preserve">. 2022;7(2):1-17.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1"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14:paraId="1E5AFA18" w14:textId="4886E270" w:rsidR="00951D69" w:rsidRPr="00220FA4" w:rsidRDefault="00D80D50" w:rsidP="00220FA4">
      <w:pPr>
        <w:pStyle w:val="ListParagraph"/>
        <w:numPr>
          <w:ilvl w:val="0"/>
          <w:numId w:val="2"/>
        </w:numPr>
        <w:jc w:val="both"/>
        <w:rPr>
          <w:rFonts w:ascii="Arial" w:hAnsi="Arial" w:cs="Arial"/>
          <w:sz w:val="20"/>
          <w:szCs w:val="20"/>
        </w:rPr>
      </w:pPr>
      <w:proofErr w:type="spellStart"/>
      <w:r w:rsidRPr="00220FA4">
        <w:rPr>
          <w:rFonts w:ascii="Arial" w:hAnsi="Arial" w:cs="Arial"/>
          <w:sz w:val="20"/>
          <w:szCs w:val="20"/>
        </w:rPr>
        <w:t>Chandrappa</w:t>
      </w:r>
      <w:proofErr w:type="spellEnd"/>
      <w:r w:rsidRPr="00220FA4">
        <w:rPr>
          <w:rFonts w:ascii="Arial" w:hAnsi="Arial" w:cs="Arial"/>
          <w:sz w:val="20"/>
          <w:szCs w:val="20"/>
        </w:rPr>
        <w:t xml:space="preserve"> R, Das DB. Environmental health - theory and practice. In: Introduction to Medical Sciences. Cham: Springer International Publishing; 2021. p. 175-216.</w:t>
      </w:r>
      <w:hyperlink r:id="rId22"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14:paraId="65BC8341" w14:textId="003E4729"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w:t>
      </w:r>
      <w:r w:rsidRPr="00220FA4">
        <w:rPr>
          <w:rFonts w:ascii="Arial" w:hAnsi="Arial" w:cs="Arial"/>
          <w:sz w:val="20"/>
          <w:szCs w:val="20"/>
        </w:rPr>
        <w:lastRenderedPageBreak/>
        <w:t xml:space="preserve">forensic science. Jai </w:t>
      </w:r>
      <w:proofErr w:type="spellStart"/>
      <w:r w:rsidRPr="00220FA4">
        <w:rPr>
          <w:rFonts w:ascii="Arial" w:hAnsi="Arial" w:cs="Arial"/>
          <w:sz w:val="20"/>
          <w:szCs w:val="20"/>
        </w:rPr>
        <w:t>Maa</w:t>
      </w:r>
      <w:proofErr w:type="spellEnd"/>
      <w:r w:rsidRPr="00220FA4">
        <w:rPr>
          <w:rFonts w:ascii="Arial" w:hAnsi="Arial" w:cs="Arial"/>
          <w:sz w:val="20"/>
          <w:szCs w:val="20"/>
        </w:rPr>
        <w:t xml:space="preserve"> </w:t>
      </w:r>
      <w:proofErr w:type="spellStart"/>
      <w:r w:rsidRPr="00220FA4">
        <w:rPr>
          <w:rFonts w:ascii="Arial" w:hAnsi="Arial" w:cs="Arial"/>
          <w:sz w:val="20"/>
          <w:szCs w:val="20"/>
        </w:rPr>
        <w:t>Saraswati</w:t>
      </w:r>
      <w:proofErr w:type="spellEnd"/>
      <w:r w:rsidRPr="00220FA4">
        <w:rPr>
          <w:rFonts w:ascii="Arial" w:hAnsi="Arial" w:cs="Arial"/>
          <w:sz w:val="20"/>
          <w:szCs w:val="20"/>
        </w:rPr>
        <w:t xml:space="preserve"> </w:t>
      </w:r>
      <w:proofErr w:type="spellStart"/>
      <w:r w:rsidRPr="00220FA4">
        <w:rPr>
          <w:rFonts w:ascii="Arial" w:hAnsi="Arial" w:cs="Arial"/>
          <w:sz w:val="20"/>
          <w:szCs w:val="20"/>
        </w:rPr>
        <w:t>Gyandayini</w:t>
      </w:r>
      <w:proofErr w:type="spellEnd"/>
      <w:r w:rsidRPr="00220FA4">
        <w:rPr>
          <w:rFonts w:ascii="Arial" w:hAnsi="Arial" w:cs="Arial"/>
          <w:sz w:val="20"/>
          <w:szCs w:val="20"/>
        </w:rPr>
        <w:t xml:space="preserve">. 2023;9(1):10-3. </w:t>
      </w:r>
      <w:hyperlink r:id="rId23"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14:paraId="2770F10D" w14:textId="7CFD8235"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w:t>
      </w:r>
      <w:proofErr w:type="spellStart"/>
      <w:r w:rsidRPr="00220FA4">
        <w:rPr>
          <w:rFonts w:ascii="Arial" w:hAnsi="Arial" w:cs="Arial"/>
          <w:sz w:val="20"/>
          <w:szCs w:val="20"/>
        </w:rPr>
        <w:t>Gestao</w:t>
      </w:r>
      <w:proofErr w:type="spellEnd"/>
      <w:r w:rsidRPr="00220FA4">
        <w:rPr>
          <w:rFonts w:ascii="Arial" w:hAnsi="Arial" w:cs="Arial"/>
          <w:sz w:val="20"/>
          <w:szCs w:val="20"/>
        </w:rPr>
        <w:t xml:space="preserve"> Social Ambient. 2024;18(5):1-14. </w:t>
      </w:r>
      <w:r w:rsidR="00951D69" w:rsidRPr="00220FA4">
        <w:rPr>
          <w:rFonts w:ascii="Arial" w:hAnsi="Arial" w:cs="Arial"/>
          <w:sz w:val="20"/>
          <w:szCs w:val="20"/>
        </w:rPr>
        <w:t xml:space="preserve">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4"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14:paraId="442FE66E" w14:textId="54D83F5C" w:rsidR="00951D69" w:rsidRPr="00220FA4"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5"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14:paraId="444DBA96" w14:textId="31EBB3A2"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Jackson R., V. R. Squires, </w:t>
      </w:r>
      <w:proofErr w:type="gramStart"/>
      <w:r w:rsidRPr="00220FA4">
        <w:rPr>
          <w:rFonts w:ascii="Arial" w:hAnsi="Arial" w:cs="Arial"/>
          <w:sz w:val="20"/>
          <w:szCs w:val="20"/>
        </w:rPr>
        <w:t>Fostering</w:t>
      </w:r>
      <w:proofErr w:type="gramEnd"/>
      <w:r w:rsidRPr="00220FA4">
        <w:rPr>
          <w:rFonts w:ascii="Arial" w:hAnsi="Arial" w:cs="Arial"/>
          <w:sz w:val="20"/>
          <w:szCs w:val="20"/>
        </w:rPr>
        <w:t xml:space="preserve"> community-based stewardship of wildlife in Central Asia: transforming snow leopards from pests into valued assets, Rangeland Stewardship in Central Asia, 2012, Springer, Berlin, Germany, 357–380.</w:t>
      </w:r>
    </w:p>
    <w:p w14:paraId="6DCDCA55" w14:textId="082AB7B6" w:rsidR="00951D69" w:rsidRPr="00220FA4" w:rsidRDefault="00951D6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Ogra M. V., Human-wildlife conflict and gender in protected area borderlands: a case study of costs, perceptions, and vulnerabilities from Uttarakhand (Uttaranchal), India, </w:t>
      </w:r>
      <w:proofErr w:type="spellStart"/>
      <w:r w:rsidRPr="00220FA4">
        <w:rPr>
          <w:rFonts w:ascii="Arial" w:hAnsi="Arial" w:cs="Arial"/>
          <w:sz w:val="20"/>
          <w:szCs w:val="20"/>
        </w:rPr>
        <w:t>Geoforum</w:t>
      </w:r>
      <w:proofErr w:type="spellEnd"/>
      <w:r w:rsidRPr="00220FA4">
        <w:rPr>
          <w:rFonts w:ascii="Arial" w:hAnsi="Arial" w:cs="Arial"/>
          <w:sz w:val="20"/>
          <w:szCs w:val="20"/>
        </w:rPr>
        <w:t>. (2008) 39, no. 3, 1408–1422, https://doi.org/10.1016/j.geoforum.2007.12.004, 2-s2.0-42649119432.</w:t>
      </w:r>
    </w:p>
    <w:p w14:paraId="019EA9D4" w14:textId="77777777" w:rsidR="00951D69" w:rsidRPr="00220FA4" w:rsidRDefault="00951D69" w:rsidP="0091320C">
      <w:pPr>
        <w:jc w:val="both"/>
        <w:rPr>
          <w:rFonts w:ascii="Arial" w:hAnsi="Arial" w:cs="Arial"/>
          <w:sz w:val="20"/>
          <w:szCs w:val="20"/>
        </w:rPr>
      </w:pPr>
    </w:p>
    <w:bookmarkEnd w:id="0"/>
    <w:p w14:paraId="1AF1BC6C" w14:textId="77777777" w:rsidR="00BF0667" w:rsidRDefault="00BF0667" w:rsidP="0091320C">
      <w:p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14:paraId="3281B95A" w14:textId="77777777" w:rsidR="00951D69" w:rsidRPr="00220FA4" w:rsidRDefault="00951D69" w:rsidP="0091320C">
      <w:pPr>
        <w:jc w:val="both"/>
        <w:rPr>
          <w:rFonts w:ascii="Arial" w:hAnsi="Arial" w:cs="Arial"/>
          <w:sz w:val="20"/>
          <w:szCs w:val="20"/>
        </w:rPr>
      </w:pPr>
    </w:p>
    <w:p w14:paraId="20B0F9BE" w14:textId="77777777" w:rsidR="00951D69" w:rsidRPr="00220FA4" w:rsidRDefault="00951D69" w:rsidP="0091320C">
      <w:pPr>
        <w:jc w:val="both"/>
        <w:rPr>
          <w:rFonts w:ascii="Arial" w:hAnsi="Arial" w:cs="Arial"/>
          <w:sz w:val="20"/>
          <w:szCs w:val="20"/>
        </w:rPr>
      </w:pPr>
    </w:p>
    <w:p w14:paraId="0CD14FED" w14:textId="77777777" w:rsidR="00951D69" w:rsidRDefault="00951D69" w:rsidP="0091320C">
      <w:pPr>
        <w:jc w:val="both"/>
      </w:pPr>
    </w:p>
    <w:p w14:paraId="2CEF49B7" w14:textId="77777777" w:rsidR="00951D69" w:rsidRDefault="00951D69" w:rsidP="0091320C">
      <w:pPr>
        <w:jc w:val="both"/>
      </w:pPr>
    </w:p>
    <w:p w14:paraId="1C9AA09D" w14:textId="77777777" w:rsidR="00951D69" w:rsidRDefault="00951D69" w:rsidP="0091320C">
      <w:pPr>
        <w:jc w:val="both"/>
      </w:pPr>
    </w:p>
    <w:p w14:paraId="132EF17A" w14:textId="77777777"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4CBC9" w14:textId="77777777" w:rsidR="007A6FCC" w:rsidRDefault="007A6FCC" w:rsidP="004E49BA">
      <w:pPr>
        <w:spacing w:after="0" w:line="240" w:lineRule="auto"/>
      </w:pPr>
      <w:r>
        <w:separator/>
      </w:r>
    </w:p>
  </w:endnote>
  <w:endnote w:type="continuationSeparator" w:id="0">
    <w:p w14:paraId="34961D5B" w14:textId="77777777" w:rsidR="007A6FCC" w:rsidRDefault="007A6FCC"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9C75" w14:textId="77777777" w:rsidR="006340F5" w:rsidRDefault="0063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E2B5" w14:textId="77777777" w:rsidR="006340F5" w:rsidRDefault="0063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D4A1" w14:textId="77777777" w:rsidR="006340F5" w:rsidRDefault="0063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59242" w14:textId="77777777" w:rsidR="007A6FCC" w:rsidRDefault="007A6FCC" w:rsidP="004E49BA">
      <w:pPr>
        <w:spacing w:after="0" w:line="240" w:lineRule="auto"/>
      </w:pPr>
      <w:r>
        <w:separator/>
      </w:r>
    </w:p>
  </w:footnote>
  <w:footnote w:type="continuationSeparator" w:id="0">
    <w:p w14:paraId="28E52B20" w14:textId="77777777" w:rsidR="007A6FCC" w:rsidRDefault="007A6FCC" w:rsidP="004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4EA9" w14:textId="4E1C9FD8" w:rsidR="006340F5" w:rsidRDefault="006340F5">
    <w:pPr>
      <w:pStyle w:val="Header"/>
    </w:pPr>
    <w:r>
      <w:rPr>
        <w:noProof/>
      </w:rPr>
      <w:pict w14:anchorId="61066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5D36" w14:textId="0445BBE4" w:rsidR="006340F5" w:rsidRDefault="006340F5">
    <w:pPr>
      <w:pStyle w:val="Header"/>
    </w:pPr>
    <w:r>
      <w:rPr>
        <w:noProof/>
      </w:rPr>
      <w:pict w14:anchorId="038E4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EFCC" w14:textId="1EE6EE80" w:rsidR="006340F5" w:rsidRDefault="006340F5">
    <w:pPr>
      <w:pStyle w:val="Header"/>
    </w:pPr>
    <w:r>
      <w:rPr>
        <w:noProof/>
      </w:rPr>
      <w:pict w14:anchorId="2EF24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0C"/>
    <w:rsid w:val="00024F0D"/>
    <w:rsid w:val="00027BAA"/>
    <w:rsid w:val="0006189A"/>
    <w:rsid w:val="0008192F"/>
    <w:rsid w:val="000941CE"/>
    <w:rsid w:val="000C472E"/>
    <w:rsid w:val="000E078E"/>
    <w:rsid w:val="000E428A"/>
    <w:rsid w:val="00134274"/>
    <w:rsid w:val="001442F0"/>
    <w:rsid w:val="00146B3D"/>
    <w:rsid w:val="00164555"/>
    <w:rsid w:val="001D2625"/>
    <w:rsid w:val="001E756F"/>
    <w:rsid w:val="00212274"/>
    <w:rsid w:val="00220FA4"/>
    <w:rsid w:val="00233096"/>
    <w:rsid w:val="00236F15"/>
    <w:rsid w:val="002555D0"/>
    <w:rsid w:val="00257CDF"/>
    <w:rsid w:val="00264645"/>
    <w:rsid w:val="002723A8"/>
    <w:rsid w:val="002C1AD9"/>
    <w:rsid w:val="002F5B87"/>
    <w:rsid w:val="00331861"/>
    <w:rsid w:val="00347D35"/>
    <w:rsid w:val="00360D64"/>
    <w:rsid w:val="00364AAE"/>
    <w:rsid w:val="003729E6"/>
    <w:rsid w:val="003802FB"/>
    <w:rsid w:val="003A3FBF"/>
    <w:rsid w:val="003B261E"/>
    <w:rsid w:val="003B3C6F"/>
    <w:rsid w:val="003F0CA0"/>
    <w:rsid w:val="003F4D7E"/>
    <w:rsid w:val="00431421"/>
    <w:rsid w:val="00450C98"/>
    <w:rsid w:val="004669C3"/>
    <w:rsid w:val="004D588C"/>
    <w:rsid w:val="004D7671"/>
    <w:rsid w:val="004E49BA"/>
    <w:rsid w:val="004F50D8"/>
    <w:rsid w:val="004F5C84"/>
    <w:rsid w:val="005332FD"/>
    <w:rsid w:val="0057791D"/>
    <w:rsid w:val="005C316D"/>
    <w:rsid w:val="005F0560"/>
    <w:rsid w:val="00615856"/>
    <w:rsid w:val="006340F5"/>
    <w:rsid w:val="00647E9B"/>
    <w:rsid w:val="00655CC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F0B48"/>
    <w:rsid w:val="008309DE"/>
    <w:rsid w:val="00852A3D"/>
    <w:rsid w:val="00897AFC"/>
    <w:rsid w:val="008A6663"/>
    <w:rsid w:val="008D322B"/>
    <w:rsid w:val="008F7F1F"/>
    <w:rsid w:val="00902CA6"/>
    <w:rsid w:val="009066A4"/>
    <w:rsid w:val="0091320C"/>
    <w:rsid w:val="00934AAA"/>
    <w:rsid w:val="00951D69"/>
    <w:rsid w:val="00957410"/>
    <w:rsid w:val="009A5F35"/>
    <w:rsid w:val="009F1343"/>
    <w:rsid w:val="009F3A2F"/>
    <w:rsid w:val="00A13E8D"/>
    <w:rsid w:val="00A5019F"/>
    <w:rsid w:val="00A52A68"/>
    <w:rsid w:val="00A566EE"/>
    <w:rsid w:val="00AE4B08"/>
    <w:rsid w:val="00B4743C"/>
    <w:rsid w:val="00B50E8C"/>
    <w:rsid w:val="00B739B6"/>
    <w:rsid w:val="00BD5DFA"/>
    <w:rsid w:val="00BF0667"/>
    <w:rsid w:val="00C013D9"/>
    <w:rsid w:val="00C14C4B"/>
    <w:rsid w:val="00C168AE"/>
    <w:rsid w:val="00C471CD"/>
    <w:rsid w:val="00C51357"/>
    <w:rsid w:val="00C57C45"/>
    <w:rsid w:val="00C85F43"/>
    <w:rsid w:val="00C920E6"/>
    <w:rsid w:val="00CA2C94"/>
    <w:rsid w:val="00CA2E01"/>
    <w:rsid w:val="00CD0DF6"/>
    <w:rsid w:val="00D80D50"/>
    <w:rsid w:val="00D90D63"/>
    <w:rsid w:val="00D94858"/>
    <w:rsid w:val="00DC77CB"/>
    <w:rsid w:val="00DF6CD4"/>
    <w:rsid w:val="00E222B8"/>
    <w:rsid w:val="00E26FCF"/>
    <w:rsid w:val="00E3140B"/>
    <w:rsid w:val="00E34AA7"/>
    <w:rsid w:val="00E50176"/>
    <w:rsid w:val="00E524B4"/>
    <w:rsid w:val="00E85766"/>
    <w:rsid w:val="00E92F5B"/>
    <w:rsid w:val="00EA457A"/>
    <w:rsid w:val="00EE003A"/>
    <w:rsid w:val="00EF0755"/>
    <w:rsid w:val="00EF7B0A"/>
    <w:rsid w:val="00F06F56"/>
    <w:rsid w:val="00F12676"/>
    <w:rsid w:val="00F621C8"/>
    <w:rsid w:val="00F91746"/>
    <w:rsid w:val="00FA1EF4"/>
    <w:rsid w:val="00FE6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A41660"/>
  <w15:chartTrackingRefBased/>
  <w15:docId w15:val="{DAB03FFA-6293-4961-B9E7-F219892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styleId="UnresolvedMention">
    <w:name w:val="Unresolved Mention"/>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14:ligatures w14:val="none"/>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73/pnas.1525002113" TargetMode="External"/><Relationship Id="rId18" Type="http://schemas.openxmlformats.org/officeDocument/2006/relationships/hyperlink" Target="https://doi.org/10.1016/j.foreco.2007.05.0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53724/inspiration/v7n2.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80/13527258.2011.618252" TargetMode="External"/><Relationship Id="rId25" Type="http://schemas.openxmlformats.org/officeDocument/2006/relationships/hyperlink" Target="https://doi.org/10.57239/PJLSS-2024-22.2.0027" TargetMode="External"/><Relationship Id="rId2" Type="http://schemas.openxmlformats.org/officeDocument/2006/relationships/styles" Target="styles.xml"/><Relationship Id="rId16" Type="http://schemas.openxmlformats.org/officeDocument/2006/relationships/hyperlink" Target="https://doi.org/10.1016/j.tree.2014.12.005" TargetMode="External"/><Relationship Id="rId20" Type="http://schemas.openxmlformats.org/officeDocument/2006/relationships/hyperlink" Target="https://doi.org/10.53724/jmsg/v8n2.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4857/rgsa.v18n5-038" TargetMode="External"/><Relationship Id="rId5" Type="http://schemas.openxmlformats.org/officeDocument/2006/relationships/footnotes" Target="footnotes.xml"/><Relationship Id="rId15" Type="http://schemas.openxmlformats.org/officeDocument/2006/relationships/hyperlink" Target="https://doi.org/10.1890/070151" TargetMode="External"/><Relationship Id="rId23" Type="http://schemas.openxmlformats.org/officeDocument/2006/relationships/hyperlink" Target="https://doi.org/10.53724/jmsg/v9n1.03" TargetMode="External"/><Relationship Id="rId10" Type="http://schemas.openxmlformats.org/officeDocument/2006/relationships/footer" Target="footer2.xml"/><Relationship Id="rId19" Type="http://schemas.openxmlformats.org/officeDocument/2006/relationships/hyperlink" Target="https://doi.org/10.53724/lrd/v7n1.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0745-006-9013-5" TargetMode="External"/><Relationship Id="rId22" Type="http://schemas.openxmlformats.org/officeDocument/2006/relationships/hyperlink" Target="https://doi.org/10.1007/978-3-030-64480-2_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SDI 1084</cp:lastModifiedBy>
  <cp:revision>116</cp:revision>
  <dcterms:created xsi:type="dcterms:W3CDTF">2024-10-23T04:26:00Z</dcterms:created>
  <dcterms:modified xsi:type="dcterms:W3CDTF">2025-04-10T12:11:00Z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