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3376" w14:textId="77777777" w:rsidR="00B26A20" w:rsidRPr="00B26A20" w:rsidRDefault="00B26A20" w:rsidP="00B26A20">
      <w:pPr>
        <w:pStyle w:val="Title"/>
        <w:jc w:val="both"/>
        <w:rPr>
          <w:rFonts w:ascii="Times New Roman" w:eastAsia="Times New Roman" w:hAnsi="Times New Roman" w:cs="Times New Roman"/>
          <w:lang w:eastAsia="en-IN"/>
        </w:rPr>
      </w:pPr>
      <w:r w:rsidRPr="00B26A20">
        <w:rPr>
          <w:rFonts w:ascii="Times New Roman" w:eastAsia="Times New Roman" w:hAnsi="Times New Roman" w:cs="Times New Roman"/>
          <w:lang w:eastAsia="en-IN"/>
        </w:rPr>
        <w:t>Impact of Seasonal Variations on Filament Length and Non-Broken Filament Length in Relation to Silk Reeling Performance</w:t>
      </w:r>
    </w:p>
    <w:p w14:paraId="7411F6AD" w14:textId="77777777" w:rsidR="00540F8A" w:rsidRPr="00540F8A" w:rsidRDefault="00540F8A" w:rsidP="00540F8A">
      <w:pPr>
        <w:rPr>
          <w:lang w:eastAsia="en-IN"/>
        </w:rPr>
      </w:pPr>
    </w:p>
    <w:p w14:paraId="0D41F78E" w14:textId="77777777" w:rsidR="00AC75DD" w:rsidRDefault="00AC75DD" w:rsidP="00295A34">
      <w:pPr>
        <w:rPr>
          <w:rFonts w:ascii="Times New Roman" w:hAnsi="Times New Roman" w:cs="Times New Roman"/>
          <w:b/>
          <w:bCs/>
          <w:sz w:val="36"/>
          <w:szCs w:val="36"/>
          <w:lang w:val="en-US"/>
        </w:rPr>
      </w:pPr>
    </w:p>
    <w:p w14:paraId="307E8AB6" w14:textId="30ECF363"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Abstract</w:t>
      </w:r>
    </w:p>
    <w:p w14:paraId="24352F7C" w14:textId="66DD1430" w:rsidR="0062457D" w:rsidRPr="0062457D" w:rsidRDefault="0062457D" w:rsidP="0062457D">
      <w:pPr>
        <w:spacing w:before="100" w:beforeAutospacing="1" w:after="100" w:afterAutospacing="1" w:line="240" w:lineRule="auto"/>
        <w:jc w:val="both"/>
        <w:rPr>
          <w:rFonts w:ascii="Times New Roman" w:eastAsia="Times New Roman" w:hAnsi="Times New Roman" w:cs="Times New Roman"/>
          <w:sz w:val="24"/>
          <w:szCs w:val="24"/>
          <w:lang w:val="en-US"/>
        </w:rPr>
      </w:pPr>
      <w:r w:rsidRPr="0062457D">
        <w:rPr>
          <w:rFonts w:ascii="Times New Roman" w:eastAsia="Times New Roman" w:hAnsi="Times New Roman" w:cs="Times New Roman"/>
          <w:sz w:val="24"/>
          <w:szCs w:val="24"/>
          <w:lang w:val="en-US"/>
        </w:rPr>
        <w:t>Mulberry silk production in West Bengal and northeastern India, primarily involving bivoltine and multi-bi hybrid silkworm varieties, is a cornerstone of the sericulture industry. However, seasonal climatic variations, characterized by elevated temperatures and humidity, significantly affect cocoon quality, posing challenges to silk reeling efficiency and productivity.</w:t>
      </w:r>
      <w:r w:rsidR="00EC3A45">
        <w:rPr>
          <w:rFonts w:ascii="Times New Roman" w:eastAsia="Times New Roman" w:hAnsi="Times New Roman" w:cs="Times New Roman"/>
          <w:sz w:val="24"/>
          <w:szCs w:val="24"/>
          <w:lang w:val="en-US"/>
        </w:rPr>
        <w:t xml:space="preserve"> </w:t>
      </w:r>
      <w:r w:rsidRPr="0062457D">
        <w:rPr>
          <w:rFonts w:ascii="Times New Roman" w:eastAsia="Times New Roman" w:hAnsi="Times New Roman" w:cs="Times New Roman"/>
          <w:sz w:val="24"/>
          <w:szCs w:val="24"/>
          <w:lang w:val="en-US"/>
        </w:rPr>
        <w:t>This study examines the influence of seasonal variations on the quality and reeling performance of bivoltine and multi-bi hybrid silk cocoons in these regions. Key parameters, including filament length (FL), non-broken filament length (NBFL), and shell ratio, were analyzed over five seasons. Results indicate a marked decline in cocoon quality during unfavorable seasons (June–July, August–September), with bivoltine cocoons exhibiting greater sensitivity through reductions in FL, NBFL, and reelability compared to the more resilient multi-bi hybrids. These seasonal impacts undermine reeling efficiency and silk yarn quality.</w:t>
      </w:r>
      <w:r w:rsidR="00EC3A45">
        <w:rPr>
          <w:rFonts w:ascii="Times New Roman" w:eastAsia="Times New Roman" w:hAnsi="Times New Roman" w:cs="Times New Roman"/>
          <w:sz w:val="24"/>
          <w:szCs w:val="24"/>
          <w:lang w:val="en-US"/>
        </w:rPr>
        <w:t xml:space="preserve"> </w:t>
      </w:r>
      <w:r w:rsidRPr="0062457D">
        <w:rPr>
          <w:rFonts w:ascii="Times New Roman" w:eastAsia="Times New Roman" w:hAnsi="Times New Roman" w:cs="Times New Roman"/>
          <w:sz w:val="24"/>
          <w:szCs w:val="24"/>
          <w:lang w:val="en-US"/>
        </w:rPr>
        <w:t>Reeling speed varies across different seasons, ranging from 80 to 104 mpm for bivoltine cocoons and from 73 to 87 mpm for multi-bi cocoons. The findings emphasize the importance of adaptive rearing practices and technological innovations, such as multi-end reeling machines with enhanced speed and evenness control, to bolster productivity and address climatic challenges.</w:t>
      </w:r>
      <w:r w:rsidR="006249EA">
        <w:rPr>
          <w:rFonts w:ascii="Times New Roman" w:eastAsia="Times New Roman" w:hAnsi="Times New Roman" w:cs="Times New Roman"/>
          <w:sz w:val="24"/>
          <w:szCs w:val="24"/>
          <w:lang w:val="en-US"/>
        </w:rPr>
        <w:t xml:space="preserve"> </w:t>
      </w:r>
      <w:r w:rsidRPr="0062457D">
        <w:rPr>
          <w:rFonts w:ascii="Times New Roman" w:eastAsia="Times New Roman" w:hAnsi="Times New Roman" w:cs="Times New Roman"/>
          <w:sz w:val="24"/>
          <w:szCs w:val="24"/>
          <w:lang w:val="en-US"/>
        </w:rPr>
        <w:t>This research provides critical insights for improving the sustainability and economic viability of sericulture in West Bengal and northeastern India</w:t>
      </w:r>
    </w:p>
    <w:p w14:paraId="61F18D4E" w14:textId="77777777" w:rsidR="00360F14" w:rsidRPr="00360F14" w:rsidRDefault="00360F14" w:rsidP="00312388">
      <w:pPr>
        <w:pStyle w:val="NormalWeb"/>
        <w:jc w:val="both"/>
        <w:rPr>
          <w:b/>
          <w:bCs/>
        </w:rPr>
      </w:pPr>
      <w:r w:rsidRPr="00360F14">
        <w:rPr>
          <w:b/>
          <w:bCs/>
        </w:rPr>
        <w:t>Keywords</w:t>
      </w:r>
      <w:r>
        <w:rPr>
          <w:b/>
          <w:bCs/>
        </w:rPr>
        <w:t xml:space="preserve">: - </w:t>
      </w:r>
      <w:r w:rsidR="002275AA">
        <w:t>Silk Reeling; Production</w:t>
      </w:r>
      <w:r w:rsidR="003A5CE9">
        <w:t>; Bivoltine cocoon</w:t>
      </w:r>
      <w:r w:rsidRPr="004867AC">
        <w:t>; Multi</w:t>
      </w:r>
      <w:r w:rsidR="00F638D5">
        <w:t>-bi cocoon; Filament length;</w:t>
      </w:r>
    </w:p>
    <w:p w14:paraId="0AC6CFB1" w14:textId="77777777" w:rsidR="000400FC" w:rsidRDefault="00295A34" w:rsidP="00E301F0">
      <w:pPr>
        <w:pStyle w:val="NormalWeb"/>
        <w:jc w:val="both"/>
        <w:rPr>
          <w:rFonts w:eastAsiaTheme="minorHAnsi"/>
          <w:b/>
          <w:bCs/>
          <w:sz w:val="36"/>
          <w:szCs w:val="36"/>
          <w:lang w:val="en-US" w:eastAsia="en-US"/>
        </w:rPr>
      </w:pPr>
      <w:r w:rsidRPr="00610543">
        <w:rPr>
          <w:rFonts w:eastAsiaTheme="minorHAnsi"/>
          <w:b/>
          <w:bCs/>
          <w:sz w:val="36"/>
          <w:szCs w:val="36"/>
          <w:lang w:val="en-US" w:eastAsia="en-US"/>
        </w:rPr>
        <w:t>Introduction</w:t>
      </w:r>
    </w:p>
    <w:p w14:paraId="081A7CE4" w14:textId="77777777" w:rsidR="00F638D5" w:rsidRDefault="00F638D5" w:rsidP="00F638D5">
      <w:pPr>
        <w:pStyle w:val="NormalWeb"/>
        <w:jc w:val="both"/>
      </w:pPr>
      <w:r>
        <w:t xml:space="preserve">Sericulture is an agro-based industry that involves the rearing of silkworms for the production of raw silk, which is the yarn obtained from cocoons spun by certain species of insects. The major activities of sericulture include food-plant cultivation to feed the silkworms, which spin silk cocoons, and reeling the cocoons to unwind the silk filament for value-added benefits. Like all other crops, seasonal factors play a pivotal role in determining the productivity and quality of raw silk. Weather conditions in different seasons impact sericulture (silk production) by affecting the growth and development of mulberry plants, the primary food source for silkworms. Fluctuations in temperature, precipitation patterns, and extreme weather events can lead to reduced silk production, lower-quality cocoons, and increased pest and disease outbreaks. Since silkworms are cold-blooded animals, they are highly sensitive to temperature changes and require specific climatic conditions for optimal silk production (Rahmatulla, 2012). Optimal conditions for silkworm rearing include temperatures between 23–28°C and relative humidity of 70–80%, ensuring high cocoon yield and superior filament quality. However, extreme heat and excessive humidity during summers and monsoons adversely affect </w:t>
      </w:r>
      <w:r>
        <w:lastRenderedPageBreak/>
        <w:t>cocoon production, leading to thinner shells, irregular shapes, and reduced filament lengths, ultimately compromising reeling efficiency (Rahmatulla, 2012).</w:t>
      </w:r>
    </w:p>
    <w:p w14:paraId="7B35E428" w14:textId="09067162" w:rsidR="00F638D5" w:rsidRDefault="00F638D5" w:rsidP="00F638D5">
      <w:pPr>
        <w:pStyle w:val="NormalWeb"/>
        <w:jc w:val="both"/>
      </w:pPr>
      <w:r>
        <w:t xml:space="preserve">In India, different states have distinct crop schedules </w:t>
      </w:r>
      <w:r w:rsidR="007D23EB">
        <w:t xml:space="preserve">for sericulture </w:t>
      </w:r>
      <w:r>
        <w:t>based on their climatic suitability.</w:t>
      </w:r>
      <w:r w:rsidR="00910DB3">
        <w:t xml:space="preserve"> For this study considering the oldest </w:t>
      </w:r>
      <w:r w:rsidR="00910DB3" w:rsidRPr="00910DB3">
        <w:t xml:space="preserve">sericulture </w:t>
      </w:r>
      <w:r w:rsidR="00910DB3">
        <w:t xml:space="preserve">state that </w:t>
      </w:r>
      <w:r w:rsidR="00910DB3" w:rsidRPr="00910DB3">
        <w:t>is </w:t>
      </w:r>
      <w:r w:rsidR="00910DB3">
        <w:t>West Bengal</w:t>
      </w:r>
      <w:r w:rsidR="00910DB3" w:rsidRPr="00910DB3">
        <w:t>, particularly the Murshidabad region, where silk production is documented to have started as early as the 13th century</w:t>
      </w:r>
      <w:r w:rsidR="00910DB3">
        <w:t>.</w:t>
      </w:r>
      <w:r>
        <w:t xml:space="preserve"> </w:t>
      </w:r>
      <w:r w:rsidR="00910DB3">
        <w:t>In</w:t>
      </w:r>
      <w:r>
        <w:t xml:space="preserve"> West Bengal, sericulture districts cultivate up to seven crops annually, with five being major crops (Sericulture West Bengal, seriwb.gov.in). The state experiences a transitional climate, ranging from tropical wet-dry conditions in the south to humid subtropical conditions in the north. To maintain silk quality and production, the introduction of more resilient and high-yielding silkworm breeds has been implemented. Traditional Nistari breeds have been enhanced through hybridization, leading to the development of better-performing multi × multi hybrids such as N × MCon4 and MCon1 × MCon4, as well as bivoltine hybrids like Sk6 × Sk7 and BHP DH. Further advancements have led to multi-bi cross hybrids such as N × SK6 × SK7 and MCon4 × BCon4, which combine the high silk quality of bivoltine strains with the resilience of multivoltine varieties, ensuring better adaptability to fluctuating environmental conditions (Dayananda, 2012). According to the 2023–24 State Government report, Nistari (multivoltine), Sk6 × Sk7 (bivoltine), and N × SK6 × SK7 (crossbreed) are the most popular breeds among farmers due to their superior performance. These technological and biological advancements have led to better-quality cocoons and increased silk production (Chakraborty, 2020).</w:t>
      </w:r>
    </w:p>
    <w:p w14:paraId="5D7ECE9C" w14:textId="649A81D0" w:rsidR="00F638D5" w:rsidRDefault="00F638D5" w:rsidP="00F638D5">
      <w:pPr>
        <w:pStyle w:val="NormalWeb"/>
        <w:jc w:val="both"/>
      </w:pPr>
      <w:r>
        <w:t>Regarding the reeling sector, West Bengal's sericulture remains decentralized but is transitioning from traditional reeling methods, such as Katghai and Ghosh Basin, to modern technologies like Multi-End Reeling Machines (MRM) and Automatic Reeling Machines (ARM). In 2023–24</w:t>
      </w:r>
      <w:r w:rsidR="00824868">
        <w:t xml:space="preserve"> (Gowrisankar, 2023)</w:t>
      </w:r>
      <w:r>
        <w:t>, twelve MRMs were established, along with one ARM in Malda and Murshidabad districts. This displays the interest of people in the adaptation of new technology.  These innovations have enhanced efficiency, uniformity, and productivity while reducing manual inconsistencies (Alim, 2016). However, these new technologies require substantial investment and high-quality raw materials to ensure profitable and efficient production.</w:t>
      </w:r>
    </w:p>
    <w:p w14:paraId="64C92F14" w14:textId="0D3AE2EB" w:rsidR="00F638D5" w:rsidRDefault="00F638D5" w:rsidP="00F638D5">
      <w:pPr>
        <w:pStyle w:val="NormalWeb"/>
        <w:jc w:val="both"/>
      </w:pPr>
      <w:r>
        <w:t xml:space="preserve">Assessing the suitability and understanding variations of locally produced mulberry cocoons for advanced machines has become imperative. MRM units require high-quality cocoons, and their efficiency is influenced by several factors, including operator skill level, the number of ends per thread, raw material characteristics, and machine maintenance (Chattopadhyay, 2018). Filament length, non-broken filament length (NBFL), and single-fiber denier are critical parameters that directly impact reeling speed, production efficiency, and yarn uniformity. Studies suggest that maintaining minimum reeling speeds of 100 m/min for MRMs and 200 m/min for ARMs is crucial for economic viability (International Sericulture Research Institute, 2017; Ramesh </w:t>
      </w:r>
      <w:r w:rsidRPr="00A846FE">
        <w:rPr>
          <w:i/>
        </w:rPr>
        <w:t>et al</w:t>
      </w:r>
      <w:r>
        <w:t>., 2019).</w:t>
      </w:r>
    </w:p>
    <w:p w14:paraId="15200E80" w14:textId="77777777" w:rsidR="00F638D5" w:rsidRDefault="00F638D5" w:rsidP="00F638D5">
      <w:pPr>
        <w:pStyle w:val="NormalWeb"/>
        <w:jc w:val="both"/>
      </w:pPr>
      <w:r>
        <w:t>Research indicates that the NBFL for popular crossbreed hybrid, bivoltine, and Nistari cocoons ranges between 450–800 m, 350–900 m, and 250–450 m, respectively (Silk Board Research Report, 2022). Given the direct correlation between NBFL and reeling speed, optimizing cocoon characteristics is essential for maximizing the efficiency of MRM units.</w:t>
      </w:r>
    </w:p>
    <w:p w14:paraId="09D8FE20" w14:textId="77777777" w:rsidR="00295A34" w:rsidRPr="00610543" w:rsidRDefault="00F638D5" w:rsidP="002E05E4">
      <w:pPr>
        <w:pStyle w:val="NormalWeb"/>
        <w:jc w:val="both"/>
      </w:pPr>
      <w:r>
        <w:t>This study aims to comprehensively assess the filament length, NBFL, and single filament denier of locally produced mulberry cocoons</w:t>
      </w:r>
      <w:r w:rsidR="00910DB3">
        <w:t xml:space="preserve"> and cocoons procured from other states</w:t>
      </w:r>
      <w:r>
        <w:t xml:space="preserve"> to evaluate their suitability for MRM reeling. By optimizing reeling parameters such as winding </w:t>
      </w:r>
      <w:r>
        <w:lastRenderedPageBreak/>
        <w:t>speed, the number of cocoons per end, basin water temperature, and croissure length, this research seeks to enhance productivity and reduce silk production costs. Ultimately, this study intends to address the technological and biological challenges facing the sericulture sector, thereby supporting its sustainable growth in West Bengal.</w:t>
      </w:r>
      <w:r w:rsidR="002E05E4">
        <w:t xml:space="preserve"> </w:t>
      </w:r>
      <w:r w:rsidR="00295A34" w:rsidRPr="00610543">
        <w:t>So in terms of raw material Filament length and NBFL becomes important characteristics to determine the speed of Reeling machine and its production as well as evenness of the yarn. Optimizing these parameters is essential for improving the profitability of MRM units and reducing the cost of silk production (</w:t>
      </w:r>
      <w:hyperlink r:id="rId7" w:history="1">
        <w:r w:rsidR="00295A34" w:rsidRPr="00610543">
          <w:t>D. Chattopadhyay</w:t>
        </w:r>
      </w:hyperlink>
      <w:r w:rsidR="00295A34" w:rsidRPr="00610543">
        <w:t>, 2018).</w:t>
      </w:r>
    </w:p>
    <w:p w14:paraId="6499B8E3"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Material and Method</w:t>
      </w:r>
    </w:p>
    <w:p w14:paraId="7856BD32" w14:textId="68389CC9"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A sample of 1 kg of cocoons was procured for each popular bivoltine and Multi x Bi hybrid across five major seasons in West Bengal and the north-eastern region of India</w:t>
      </w:r>
      <w:r w:rsidR="00E23F2B">
        <w:rPr>
          <w:rFonts w:ascii="Times New Roman" w:eastAsia="Times New Roman" w:hAnsi="Times New Roman" w:cs="Times New Roman"/>
          <w:sz w:val="24"/>
          <w:szCs w:val="24"/>
          <w:lang w:eastAsia="en-IN"/>
        </w:rPr>
        <w:t xml:space="preserve"> for the year 2023 and 2024</w:t>
      </w:r>
      <w:r w:rsidRPr="00610543">
        <w:rPr>
          <w:rFonts w:ascii="Times New Roman" w:eastAsia="Times New Roman" w:hAnsi="Times New Roman" w:cs="Times New Roman"/>
          <w:sz w:val="24"/>
          <w:szCs w:val="24"/>
          <w:lang w:eastAsia="en-IN"/>
        </w:rPr>
        <w:t>. The single cocoon weight, single shell weight, and shell ratio were measured. These samples were further analysed using the standard single cocoon reeling analysis to determine filament length, non-broken filament length, reelability, renditta, and silk recovery.</w:t>
      </w:r>
    </w:p>
    <w:p w14:paraId="32A5141C" w14:textId="77777777" w:rsidR="00295A34" w:rsidRPr="00610543" w:rsidRDefault="00295A34" w:rsidP="00AD4124">
      <w:pPr>
        <w:jc w:val="both"/>
        <w:rPr>
          <w:rFonts w:ascii="Times New Roman" w:eastAsiaTheme="minorEastAsia" w:hAnsi="Times New Roman" w:cs="Times New Roman"/>
          <w:b/>
          <w:bCs/>
          <w:color w:val="000000"/>
          <w:szCs w:val="22"/>
        </w:rPr>
      </w:pPr>
      <w:r w:rsidRPr="00610543">
        <w:rPr>
          <w:rFonts w:ascii="Times New Roman" w:eastAsiaTheme="minorEastAsia" w:hAnsi="Times New Roman" w:cs="Times New Roman"/>
          <w:b/>
          <w:bCs/>
          <w:color w:val="000000"/>
          <w:szCs w:val="22"/>
        </w:rPr>
        <w:t xml:space="preserve">Shell ratio (%) </w:t>
      </w:r>
      <w:r w:rsidRPr="00E57372">
        <w:rPr>
          <w:rFonts w:ascii="Times New Roman" w:eastAsiaTheme="minorEastAsia" w:hAnsi="Times New Roman" w:cs="Times New Roman"/>
          <w:b/>
          <w:bCs/>
          <w:color w:val="000000"/>
          <w:sz w:val="32"/>
          <w:szCs w:val="32"/>
        </w:rPr>
        <w:t>=</w:t>
      </w:r>
      <m:oMath>
        <m:r>
          <m:rPr>
            <m:sty m:val="bi"/>
          </m:rPr>
          <w:rPr>
            <w:rFonts w:ascii="Cambria Math" w:eastAsiaTheme="minorEastAsia" w:hAnsi="Cambria Math" w:cs="Times New Roman"/>
            <w:color w:val="000000"/>
            <w:sz w:val="32"/>
            <w:szCs w:val="32"/>
          </w:rPr>
          <m:t xml:space="preserve"> </m:t>
        </m:r>
        <m:f>
          <m:fPr>
            <m:ctrlPr>
              <w:rPr>
                <w:rFonts w:ascii="Cambria Math" w:eastAsiaTheme="minorEastAsia" w:hAnsi="Cambria Math" w:cs="Times New Roman"/>
                <w:b/>
                <w:bCs/>
                <w:i/>
                <w:color w:val="000000"/>
                <w:sz w:val="32"/>
                <w:szCs w:val="32"/>
              </w:rPr>
            </m:ctrlPr>
          </m:fPr>
          <m:num>
            <m:r>
              <m:rPr>
                <m:sty m:val="bi"/>
              </m:rPr>
              <w:rPr>
                <w:rFonts w:ascii="Cambria Math" w:eastAsiaTheme="minorEastAsia" w:hAnsi="Cambria Math" w:cs="Times New Roman"/>
                <w:color w:val="000000"/>
                <w:sz w:val="32"/>
                <w:szCs w:val="32"/>
              </w:rPr>
              <m:t>shell weight of 50 cocoons</m:t>
            </m:r>
          </m:num>
          <m:den>
            <m:r>
              <m:rPr>
                <m:sty m:val="bi"/>
              </m:rPr>
              <w:rPr>
                <w:rFonts w:ascii="Cambria Math" w:eastAsiaTheme="minorEastAsia" w:hAnsi="Cambria Math" w:cs="Times New Roman"/>
                <w:color w:val="000000"/>
                <w:sz w:val="32"/>
                <w:szCs w:val="32"/>
              </w:rPr>
              <m:t xml:space="preserve">weight of 50 cocoons </m:t>
            </m:r>
          </m:den>
        </m:f>
        <m:r>
          <m:rPr>
            <m:sty m:val="bi"/>
          </m:rPr>
          <w:rPr>
            <w:rFonts w:ascii="Cambria Math" w:eastAsiaTheme="minorEastAsia" w:hAnsi="Cambria Math" w:cs="Times New Roman"/>
            <w:color w:val="000000"/>
            <w:sz w:val="32"/>
            <w:szCs w:val="32"/>
          </w:rPr>
          <m:t xml:space="preserve"> x 100</m:t>
        </m:r>
      </m:oMath>
    </w:p>
    <w:p w14:paraId="02015436" w14:textId="77777777" w:rsidR="001705BF" w:rsidRDefault="001705BF"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08084D86" w14:textId="77777777" w:rsidR="00995611"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Drying of Cocoons:</w:t>
      </w:r>
    </w:p>
    <w:p w14:paraId="4192C01C"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stifled and dried using a hot air dryer following a standard procedure. The drying process began at 115°C for 1 hour, with the temperature gradually reduced by 15°C each hour, following the profile: 115°C → 100°C → 85°C → 70°C → 55°C. After reaching 55°C, the cocoons were allowed to cool for 30 minutes before being removed from the chamber.</w:t>
      </w:r>
    </w:p>
    <w:p w14:paraId="35E0C60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b/>
          <w:bCs/>
          <w:sz w:val="24"/>
          <w:szCs w:val="24"/>
          <w:lang w:eastAsia="en-IN"/>
        </w:rPr>
        <w:t>Cocoon Sorting and Preparation for Reeling Analysis</w:t>
      </w:r>
    </w:p>
    <w:p w14:paraId="0B190F19"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sorted to identify defective ones in the lot. A random sample of 200 cocoons was selected for single cocoon reeling analysis, while another 300 cocoons were chosen for evaluating other reeling parameters.</w:t>
      </w:r>
    </w:p>
    <w:p w14:paraId="5B64F9C9" w14:textId="77777777" w:rsidR="0058010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Cocoon Cooking Process</w:t>
      </w:r>
    </w:p>
    <w:p w14:paraId="4BCF8DB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selected cocoons were cooked using a two-pan cooking mechanism based on the low-high-low temperature principle. The process lasted 8–12 minutes, ensuring the optimal cooking of the cocoons. The cocoons were brushed in the same pan at the same temperature to group the filament ends for reeling.</w:t>
      </w:r>
    </w:p>
    <w:p w14:paraId="747C0BA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Single Cocoon Reeling Analysis</w:t>
      </w:r>
    </w:p>
    <w:p w14:paraId="55D7062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hAnsi="Times New Roman" w:cs="Times New Roman"/>
        </w:rPr>
        <w:t xml:space="preserve">Cooked cocoons were reeled individually using an </w:t>
      </w:r>
      <w:r w:rsidRPr="00610543">
        <w:rPr>
          <w:rStyle w:val="Emphasis"/>
          <w:rFonts w:ascii="Times New Roman" w:hAnsi="Times New Roman" w:cs="Times New Roman"/>
        </w:rPr>
        <w:t>éprouvette</w:t>
      </w:r>
      <w:r w:rsidRPr="00610543">
        <w:rPr>
          <w:rFonts w:ascii="Times New Roman" w:hAnsi="Times New Roman" w:cs="Times New Roman"/>
        </w:rPr>
        <w:t xml:space="preserve"> until the filament end. The total filament length and the number of breaks were recorded. For this analysis, the average of 5 cocoons was used.</w:t>
      </w:r>
    </w:p>
    <w:p w14:paraId="35136739" w14:textId="77777777" w:rsidR="00295A34" w:rsidRPr="00610543" w:rsidRDefault="00295A34" w:rsidP="00AD4124">
      <w:pPr>
        <w:pStyle w:val="NormalWeb"/>
        <w:jc w:val="both"/>
      </w:pPr>
      <w:r w:rsidRPr="00610543">
        <w:t>The calculations were as follows:</w:t>
      </w:r>
    </w:p>
    <w:p w14:paraId="446BCEDF"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6EC20B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
        <m:r>
          <w:rPr>
            <w:rFonts w:ascii="Cambria Math" w:eastAsia="Times New Roman" w:hAnsi="Cambria Math" w:cs="Times New Roman"/>
            <w:sz w:val="24"/>
            <w:szCs w:val="24"/>
            <w:lang w:eastAsia="en-IN"/>
          </w:rPr>
          <m:t xml:space="preserve">                                                         NBFL=</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 xml:space="preserve">total legnth of filament </m:t>
            </m:r>
          </m:num>
          <m:den>
            <m:r>
              <w:rPr>
                <w:rFonts w:ascii="Cambria Math" w:eastAsia="Times New Roman" w:hAnsi="Cambria Math" w:cs="Times New Roman"/>
                <w:sz w:val="24"/>
                <w:szCs w:val="24"/>
                <w:lang w:eastAsia="en-IN"/>
              </w:rPr>
              <m:t>1+number of breaks</m:t>
            </m:r>
          </m:den>
        </m:f>
      </m:oMath>
      <w:r w:rsidRPr="00610543">
        <w:rPr>
          <w:rFonts w:ascii="Times New Roman" w:eastAsia="Times New Roman" w:hAnsi="Times New Roman" w:cs="Times New Roman"/>
          <w:sz w:val="24"/>
          <w:szCs w:val="24"/>
          <w:lang w:eastAsia="en-IN"/>
        </w:rPr>
        <w:t xml:space="preserve"> </w:t>
      </w:r>
    </w:p>
    <w:p w14:paraId="5BAF24C7"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Para>
        <m:oMath>
          <m:r>
            <w:rPr>
              <w:rFonts w:ascii="Cambria Math" w:eastAsia="Times New Roman" w:hAnsi="Cambria Math" w:cs="Times New Roman"/>
              <w:sz w:val="24"/>
              <w:szCs w:val="24"/>
              <w:lang w:eastAsia="en-IN"/>
            </w:rPr>
            <m:t>Denier=</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weight in gms</m:t>
              </m:r>
            </m:num>
            <m:den>
              <m:r>
                <w:rPr>
                  <w:rFonts w:ascii="Cambria Math" w:eastAsia="Times New Roman" w:hAnsi="Cambria Math" w:cs="Times New Roman"/>
                  <w:sz w:val="24"/>
                  <w:szCs w:val="24"/>
                  <w:lang w:eastAsia="en-IN"/>
                </w:rPr>
                <m:t>total length of filament</m:t>
              </m:r>
            </m:den>
          </m:f>
          <m:r>
            <w:rPr>
              <w:rFonts w:ascii="Cambria Math" w:eastAsia="Times New Roman" w:hAnsi="Cambria Math" w:cs="Times New Roman"/>
              <w:sz w:val="24"/>
              <w:szCs w:val="24"/>
              <w:lang w:eastAsia="en-IN"/>
            </w:rPr>
            <m:t xml:space="preserve"> x 9000</m:t>
          </m:r>
        </m:oMath>
      </m:oMathPara>
    </w:p>
    <w:p w14:paraId="6922D78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 xml:space="preserve">Reeling analysis </w:t>
      </w:r>
    </w:p>
    <w:p w14:paraId="78B281AC" w14:textId="77777777" w:rsidR="00295A34"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A sample of 300 cocoons was reeled by a skilled reeler using a multi-end reeling machine operating at a speed of 100 meters per minute. The reeling basin temperature was maintained at 40–45°C, with a croissure length of 8 cm. Eight cocoons per end were used, with two ends being reeled simultaneously. The number of castings and carryovers was recorded for further calculations of reeling efficiency and performance.</w:t>
      </w:r>
    </w:p>
    <w:p w14:paraId="73258F74" w14:textId="77777777" w:rsidR="00910DB3" w:rsidRDefault="00910DB3"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10DB3">
        <w:rPr>
          <w:rFonts w:ascii="Times New Roman" w:eastAsia="Times New Roman" w:hAnsi="Times New Roman" w:cs="Times New Roman"/>
          <w:b/>
          <w:bCs/>
          <w:sz w:val="24"/>
          <w:szCs w:val="24"/>
          <w:lang w:eastAsia="en-IN"/>
        </w:rPr>
        <w:t>Statistical analysis:</w:t>
      </w:r>
    </w:p>
    <w:p w14:paraId="02FD4B9B" w14:textId="77777777" w:rsidR="000B610B" w:rsidRPr="000B610B" w:rsidRDefault="000B610B" w:rsidP="000B610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B610B">
        <w:rPr>
          <w:rFonts w:ascii="Times New Roman" w:eastAsia="Times New Roman" w:hAnsi="Times New Roman" w:cs="Times New Roman"/>
          <w:sz w:val="24"/>
          <w:szCs w:val="24"/>
          <w:lang w:eastAsia="en-IN"/>
        </w:rPr>
        <w:t>Based on 200 readings for FL and NBFL, the mean, median, mode, standard deviation, and skewness have been calculated in Excel using standard formulas</w:t>
      </w:r>
    </w:p>
    <w:p w14:paraId="4A4A3387"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Result and Discussion</w:t>
      </w:r>
    </w:p>
    <w:p w14:paraId="1BA7A10F" w14:textId="2720022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Data was collected from 200 bivoltine and multi-bi hybrid cocoons for each season across two years from the north-eastern region of India. The grouped frequency distributions for FL and NBFL are analysed to understand their behaviour across seasons. These parameters are critical indicators of cocoon quality, as they influence silk yield, reeling efficiency, and the overall economic feasibility of silk production. The shell ratio, filament length, and NBFL variations between favourable and unfavourable seasons reveal the sensitivity of cocoon quality to environmental factors.</w:t>
      </w:r>
      <w:r w:rsidRPr="002514E6">
        <w:rPr>
          <w:rFonts w:ascii="Times New Roman" w:hAnsi="Times New Roman" w:cs="Times New Roman"/>
          <w:sz w:val="24"/>
          <w:szCs w:val="24"/>
        </w:rPr>
        <w:t xml:space="preserve"> (</w:t>
      </w:r>
      <w:hyperlink r:id="rId8" w:history="1">
        <w:r w:rsidRPr="002514E6">
          <w:rPr>
            <w:rFonts w:ascii="Times New Roman" w:eastAsia="Times New Roman" w:hAnsi="Times New Roman" w:cs="Times New Roman"/>
            <w:sz w:val="24"/>
            <w:szCs w:val="24"/>
            <w:lang w:eastAsia="en-IN"/>
          </w:rPr>
          <w:t>Chattopadhyay</w:t>
        </w:r>
      </w:hyperlink>
      <w:r w:rsidRPr="002514E6">
        <w:rPr>
          <w:rFonts w:ascii="Times New Roman" w:eastAsia="Times New Roman" w:hAnsi="Times New Roman" w:cs="Times New Roman"/>
          <w:sz w:val="24"/>
          <w:szCs w:val="24"/>
          <w:lang w:eastAsia="en-IN"/>
        </w:rPr>
        <w:t>,</w:t>
      </w:r>
      <w:r w:rsidRPr="002514E6">
        <w:rPr>
          <w:rFonts w:ascii="Times New Roman" w:hAnsi="Times New Roman" w:cs="Times New Roman"/>
          <w:sz w:val="24"/>
          <w:szCs w:val="24"/>
        </w:rPr>
        <w:t xml:space="preserve"> 2018)</w:t>
      </w:r>
    </w:p>
    <w:p w14:paraId="08DA6CDB" w14:textId="77777777" w:rsidR="00995611"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Shell Ratio and Filament Length Analysis</w:t>
      </w:r>
    </w:p>
    <w:p w14:paraId="3E8ECE13"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The shell ratio, defined as the ratio of shell weight to green cocoon weight, is an essential parameter for estimating raw silk content in cocoons. A higher shell ratio indicates a greater silk yield relative to the size of the pupa. This ratio is consistently higher in bivoltine cocoons during favourable seasons, highlighting their superior raw silk potential. However, it decreases significantly during unfavourable seasons due to stress-induced reduction in silk deposition.</w:t>
      </w:r>
    </w:p>
    <w:p w14:paraId="07847171" w14:textId="0A2ABF7D"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Filament length (FL) in bivoltine cocoons ranges from </w:t>
      </w:r>
      <w:r w:rsidRPr="002514E6">
        <w:rPr>
          <w:rFonts w:ascii="Times New Roman" w:eastAsia="Times New Roman" w:hAnsi="Times New Roman" w:cs="Times New Roman"/>
          <w:b/>
          <w:bCs/>
          <w:sz w:val="24"/>
          <w:szCs w:val="24"/>
          <w:lang w:eastAsia="en-IN"/>
        </w:rPr>
        <w:t>750 to 1000 meters</w:t>
      </w:r>
      <w:r w:rsidRPr="002514E6">
        <w:rPr>
          <w:rFonts w:ascii="Times New Roman" w:eastAsia="Times New Roman" w:hAnsi="Times New Roman" w:cs="Times New Roman"/>
          <w:sz w:val="24"/>
          <w:szCs w:val="24"/>
          <w:lang w:eastAsia="en-IN"/>
        </w:rPr>
        <w:t xml:space="preserve"> during favourable seasons such as January–March, March–April, and November–December. The mean FL for these seasons is </w:t>
      </w:r>
      <w:r w:rsidRPr="002514E6">
        <w:rPr>
          <w:rFonts w:ascii="Times New Roman" w:eastAsia="Times New Roman" w:hAnsi="Times New Roman" w:cs="Times New Roman"/>
          <w:b/>
          <w:bCs/>
          <w:sz w:val="24"/>
          <w:szCs w:val="24"/>
          <w:lang w:eastAsia="en-IN"/>
        </w:rPr>
        <w:t>897 m, 869 m, and 867 m</w:t>
      </w:r>
      <w:r w:rsidRPr="002514E6">
        <w:rPr>
          <w:rFonts w:ascii="Times New Roman" w:eastAsia="Times New Roman" w:hAnsi="Times New Roman" w:cs="Times New Roman"/>
          <w:sz w:val="24"/>
          <w:szCs w:val="24"/>
          <w:lang w:eastAsia="en-IN"/>
        </w:rPr>
        <w:t xml:space="preserve">, respectively, with the highest frequencies observed in the ranges </w:t>
      </w:r>
      <w:r w:rsidRPr="002514E6">
        <w:rPr>
          <w:rFonts w:ascii="Times New Roman" w:eastAsia="Times New Roman" w:hAnsi="Times New Roman" w:cs="Times New Roman"/>
          <w:b/>
          <w:bCs/>
          <w:sz w:val="24"/>
          <w:szCs w:val="24"/>
          <w:lang w:eastAsia="en-IN"/>
        </w:rPr>
        <w:t>900–950 m (82 cocoons), 850–900 m (72 cocoons), and 850–900 m (70 cocoons)</w:t>
      </w:r>
      <w:r w:rsidR="006249EA">
        <w:rPr>
          <w:rFonts w:ascii="Times New Roman" w:eastAsia="Times New Roman" w:hAnsi="Times New Roman" w:cs="Times New Roman"/>
          <w:b/>
          <w:bCs/>
          <w:sz w:val="24"/>
          <w:szCs w:val="24"/>
          <w:lang w:eastAsia="en-IN"/>
        </w:rPr>
        <w:t xml:space="preserve"> (Fig.</w:t>
      </w:r>
      <w:r w:rsidR="00CE523D">
        <w:rPr>
          <w:rFonts w:ascii="Times New Roman" w:eastAsia="Times New Roman" w:hAnsi="Times New Roman" w:cs="Times New Roman"/>
          <w:b/>
          <w:bCs/>
          <w:sz w:val="24"/>
          <w:szCs w:val="24"/>
          <w:lang w:eastAsia="en-IN"/>
        </w:rPr>
        <w:t>1)</w:t>
      </w:r>
      <w:r w:rsidRPr="002514E6">
        <w:rPr>
          <w:rFonts w:ascii="Times New Roman" w:eastAsia="Times New Roman" w:hAnsi="Times New Roman" w:cs="Times New Roman"/>
          <w:sz w:val="24"/>
          <w:szCs w:val="24"/>
          <w:lang w:eastAsia="en-IN"/>
        </w:rPr>
        <w:t xml:space="preserve">. In contrast, during unfavourable seasons such as June–July and August–September, the FL decreases and shifts to a range of </w:t>
      </w:r>
      <w:r w:rsidRPr="002514E6">
        <w:rPr>
          <w:rFonts w:ascii="Times New Roman" w:eastAsia="Times New Roman" w:hAnsi="Times New Roman" w:cs="Times New Roman"/>
          <w:b/>
          <w:bCs/>
          <w:sz w:val="24"/>
          <w:szCs w:val="24"/>
          <w:lang w:eastAsia="en-IN"/>
        </w:rPr>
        <w:t>550–900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746 m and 721 m</w:t>
      </w:r>
      <w:r w:rsidRPr="002514E6">
        <w:rPr>
          <w:rFonts w:ascii="Times New Roman" w:eastAsia="Times New Roman" w:hAnsi="Times New Roman" w:cs="Times New Roman"/>
          <w:sz w:val="24"/>
          <w:szCs w:val="24"/>
          <w:lang w:eastAsia="en-IN"/>
        </w:rPr>
        <w:t xml:space="preserve">, and the highest frequencies in the ranges </w:t>
      </w:r>
      <w:r w:rsidRPr="002514E6">
        <w:rPr>
          <w:rFonts w:ascii="Times New Roman" w:eastAsia="Times New Roman" w:hAnsi="Times New Roman" w:cs="Times New Roman"/>
          <w:b/>
          <w:bCs/>
          <w:sz w:val="24"/>
          <w:szCs w:val="24"/>
          <w:lang w:eastAsia="en-IN"/>
        </w:rPr>
        <w:t>700–750 m (65 cocoons) and 650–700 m (48 cocoons)</w:t>
      </w:r>
      <w:r w:rsidRPr="002514E6">
        <w:rPr>
          <w:rFonts w:ascii="Times New Roman" w:eastAsia="Times New Roman" w:hAnsi="Times New Roman" w:cs="Times New Roman"/>
          <w:sz w:val="24"/>
          <w:szCs w:val="24"/>
          <w:lang w:eastAsia="en-IN"/>
        </w:rPr>
        <w:t>.</w:t>
      </w:r>
    </w:p>
    <w:p w14:paraId="7F00BAE9" w14:textId="642298F5"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lastRenderedPageBreak/>
        <w:t xml:space="preserve">For multi-bi hybrids, FL ranges between </w:t>
      </w:r>
      <w:r w:rsidRPr="002514E6">
        <w:rPr>
          <w:rFonts w:ascii="Times New Roman" w:eastAsia="Times New Roman" w:hAnsi="Times New Roman" w:cs="Times New Roman"/>
          <w:b/>
          <w:bCs/>
          <w:sz w:val="24"/>
          <w:szCs w:val="24"/>
          <w:lang w:eastAsia="en-IN"/>
        </w:rPr>
        <w:t>650 and 900 meters</w:t>
      </w:r>
      <w:r w:rsidRPr="002514E6">
        <w:rPr>
          <w:rFonts w:ascii="Times New Roman" w:eastAsia="Times New Roman" w:hAnsi="Times New Roman" w:cs="Times New Roman"/>
          <w:sz w:val="24"/>
          <w:szCs w:val="24"/>
          <w:lang w:eastAsia="en-IN"/>
        </w:rPr>
        <w:t xml:space="preserve"> during favourable seasons, with mean values of </w:t>
      </w:r>
      <w:r w:rsidRPr="002514E6">
        <w:rPr>
          <w:rFonts w:ascii="Times New Roman" w:eastAsia="Times New Roman" w:hAnsi="Times New Roman" w:cs="Times New Roman"/>
          <w:b/>
          <w:bCs/>
          <w:sz w:val="24"/>
          <w:szCs w:val="24"/>
          <w:lang w:eastAsia="en-IN"/>
        </w:rPr>
        <w:t>752 m, 748 m, and 721 m</w:t>
      </w:r>
      <w:r w:rsidRPr="002514E6">
        <w:rPr>
          <w:rFonts w:ascii="Times New Roman" w:eastAsia="Times New Roman" w:hAnsi="Times New Roman" w:cs="Times New Roman"/>
          <w:sz w:val="24"/>
          <w:szCs w:val="24"/>
          <w:lang w:eastAsia="en-IN"/>
        </w:rPr>
        <w:t xml:space="preserve">, </w:t>
      </w:r>
      <w:r w:rsidR="00AD0FC0" w:rsidRPr="002514E6">
        <w:rPr>
          <w:rFonts w:ascii="Times New Roman" w:eastAsia="Times New Roman" w:hAnsi="Times New Roman" w:cs="Times New Roman"/>
          <w:sz w:val="24"/>
          <w:szCs w:val="24"/>
          <w:lang w:eastAsia="en-IN"/>
        </w:rPr>
        <w:t xml:space="preserve">with the highest frequencies observed in the ranges </w:t>
      </w:r>
      <w:r w:rsidR="00AD0FC0" w:rsidRPr="002514E6">
        <w:rPr>
          <w:rFonts w:ascii="Times New Roman" w:eastAsia="Times New Roman" w:hAnsi="Times New Roman" w:cs="Times New Roman"/>
          <w:b/>
          <w:bCs/>
          <w:sz w:val="24"/>
          <w:szCs w:val="24"/>
          <w:lang w:eastAsia="en-IN"/>
        </w:rPr>
        <w:t>750–800 m (78</w:t>
      </w:r>
      <w:r w:rsidR="0067210E" w:rsidRPr="002514E6">
        <w:rPr>
          <w:rFonts w:ascii="Times New Roman" w:eastAsia="Times New Roman" w:hAnsi="Times New Roman" w:cs="Times New Roman"/>
          <w:b/>
          <w:bCs/>
          <w:sz w:val="24"/>
          <w:szCs w:val="24"/>
          <w:lang w:eastAsia="en-IN"/>
        </w:rPr>
        <w:t xml:space="preserve"> cocoons), 700–750 m (64 cocoons), and 700–750 m (71</w:t>
      </w:r>
      <w:r w:rsidR="00AD0FC0" w:rsidRPr="002514E6">
        <w:rPr>
          <w:rFonts w:ascii="Times New Roman" w:eastAsia="Times New Roman" w:hAnsi="Times New Roman" w:cs="Times New Roman"/>
          <w:b/>
          <w:bCs/>
          <w:sz w:val="24"/>
          <w:szCs w:val="24"/>
          <w:lang w:eastAsia="en-IN"/>
        </w:rPr>
        <w:t xml:space="preserve"> cocoons)</w:t>
      </w:r>
      <w:r w:rsidR="006249EA">
        <w:rPr>
          <w:rFonts w:ascii="Times New Roman" w:eastAsia="Times New Roman" w:hAnsi="Times New Roman" w:cs="Times New Roman"/>
          <w:b/>
          <w:bCs/>
          <w:sz w:val="24"/>
          <w:szCs w:val="24"/>
          <w:lang w:eastAsia="en-IN"/>
        </w:rPr>
        <w:t xml:space="preserve"> (Fig 2)</w:t>
      </w:r>
      <w:r w:rsidR="00AD0FC0" w:rsidRPr="002514E6">
        <w:rPr>
          <w:rFonts w:ascii="Times New Roman" w:eastAsia="Times New Roman" w:hAnsi="Times New Roman" w:cs="Times New Roman"/>
          <w:sz w:val="24"/>
          <w:szCs w:val="24"/>
          <w:lang w:eastAsia="en-IN"/>
        </w:rPr>
        <w:t xml:space="preserve">. </w:t>
      </w:r>
      <w:r w:rsidRPr="002514E6">
        <w:rPr>
          <w:rFonts w:ascii="Times New Roman" w:eastAsia="Times New Roman" w:hAnsi="Times New Roman" w:cs="Times New Roman"/>
          <w:sz w:val="24"/>
          <w:szCs w:val="24"/>
          <w:lang w:eastAsia="en-IN"/>
        </w:rPr>
        <w:t xml:space="preserve">In unfavourable seasons, the FL reduces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647 m and 661 m</w:t>
      </w:r>
      <w:r w:rsidRPr="002514E6">
        <w:rPr>
          <w:rFonts w:ascii="Times New Roman" w:eastAsia="Times New Roman" w:hAnsi="Times New Roman" w:cs="Times New Roman"/>
          <w:sz w:val="24"/>
          <w:szCs w:val="24"/>
          <w:lang w:eastAsia="en-IN"/>
        </w:rPr>
        <w:t xml:space="preserve">, </w:t>
      </w:r>
      <w:r w:rsidR="0067210E" w:rsidRPr="002514E6">
        <w:rPr>
          <w:rFonts w:ascii="Times New Roman" w:eastAsia="Times New Roman" w:hAnsi="Times New Roman" w:cs="Times New Roman"/>
          <w:sz w:val="24"/>
          <w:szCs w:val="24"/>
          <w:lang w:eastAsia="en-IN"/>
        </w:rPr>
        <w:t xml:space="preserve">and the highest frequencies in the ranges </w:t>
      </w:r>
      <w:r w:rsidR="0067210E" w:rsidRPr="002514E6">
        <w:rPr>
          <w:rFonts w:ascii="Times New Roman" w:eastAsia="Times New Roman" w:hAnsi="Times New Roman" w:cs="Times New Roman"/>
          <w:b/>
          <w:bCs/>
          <w:sz w:val="24"/>
          <w:szCs w:val="24"/>
          <w:lang w:eastAsia="en-IN"/>
        </w:rPr>
        <w:t>600–650 m (64 cocoons) and 600–650 m (60 cocoons)</w:t>
      </w:r>
      <w:r w:rsidRPr="002514E6">
        <w:rPr>
          <w:rFonts w:ascii="Times New Roman" w:eastAsia="Times New Roman" w:hAnsi="Times New Roman" w:cs="Times New Roman"/>
          <w:sz w:val="24"/>
          <w:szCs w:val="24"/>
          <w:lang w:eastAsia="en-IN"/>
        </w:rPr>
        <w:t>. These observations indicate that while multi-bi hybrids are less sensitive to seasonal changes compared to bivoltine cocoons, they also experience a decline in filament quality during unfavourable periods.</w:t>
      </w:r>
    </w:p>
    <w:p w14:paraId="5A0F8C0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bidi="ar-SA"/>
        </w:rPr>
        <w:drawing>
          <wp:inline distT="0" distB="0" distL="0" distR="0" wp14:anchorId="402612C4" wp14:editId="0FAAB8EE">
            <wp:extent cx="6057900" cy="3248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7CE867"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bidi="ar-SA"/>
        </w:rPr>
        <w:drawing>
          <wp:inline distT="0" distB="0" distL="0" distR="0" wp14:anchorId="23854021" wp14:editId="49F9F845">
            <wp:extent cx="5943600" cy="2914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EC7FCC"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Non-Broken Filament Length (NBFL) Analysis</w:t>
      </w:r>
    </w:p>
    <w:p w14:paraId="3EEFA0C8" w14:textId="79115948"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Non-broken filament length (NBFL) is another crucial parameter, as it directly affects reeling efficiency and silk quality. In favourable seasons, NBFL for bivoltine cocoons ranges between </w:t>
      </w:r>
      <w:r w:rsidRPr="002514E6">
        <w:rPr>
          <w:rFonts w:ascii="Times New Roman" w:eastAsia="Times New Roman" w:hAnsi="Times New Roman" w:cs="Times New Roman"/>
          <w:b/>
          <w:bCs/>
          <w:sz w:val="24"/>
          <w:szCs w:val="24"/>
          <w:lang w:eastAsia="en-IN"/>
        </w:rPr>
        <w:lastRenderedPageBreak/>
        <w:t>700 and 1000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866 m, 823 m, and 820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908 m, 858 m, and 817 m</w:t>
      </w:r>
      <w:r w:rsidRPr="002514E6">
        <w:rPr>
          <w:rFonts w:ascii="Times New Roman" w:eastAsia="Times New Roman" w:hAnsi="Times New Roman" w:cs="Times New Roman"/>
          <w:sz w:val="24"/>
          <w:szCs w:val="24"/>
          <w:lang w:eastAsia="en-IN"/>
        </w:rPr>
        <w:t xml:space="preserve">. During unfavourable seasons, the NBFL decreases significantly, ranging between </w:t>
      </w:r>
      <w:r w:rsidRPr="002514E6">
        <w:rPr>
          <w:rFonts w:ascii="Times New Roman" w:eastAsia="Times New Roman" w:hAnsi="Times New Roman" w:cs="Times New Roman"/>
          <w:b/>
          <w:bCs/>
          <w:sz w:val="24"/>
          <w:szCs w:val="24"/>
          <w:lang w:eastAsia="en-IN"/>
        </w:rPr>
        <w:t>500 and 850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678 m and 677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626 m and 636 m</w:t>
      </w:r>
      <w:r w:rsidR="00CE523D">
        <w:rPr>
          <w:rFonts w:ascii="Times New Roman" w:eastAsia="Times New Roman" w:hAnsi="Times New Roman" w:cs="Times New Roman"/>
          <w:b/>
          <w:bCs/>
          <w:sz w:val="24"/>
          <w:szCs w:val="24"/>
          <w:lang w:eastAsia="en-IN"/>
        </w:rPr>
        <w:t xml:space="preserve"> (Fig.3)</w:t>
      </w:r>
      <w:r w:rsidRPr="002514E6">
        <w:rPr>
          <w:rFonts w:ascii="Times New Roman" w:eastAsia="Times New Roman" w:hAnsi="Times New Roman" w:cs="Times New Roman"/>
          <w:sz w:val="24"/>
          <w:szCs w:val="24"/>
          <w:lang w:eastAsia="en-IN"/>
        </w:rPr>
        <w:t xml:space="preserve">. This reduction highlights the challenges of maintaining </w:t>
      </w:r>
      <w:r w:rsidR="00A760F1" w:rsidRPr="002514E6">
        <w:rPr>
          <w:rFonts w:ascii="Times New Roman" w:eastAsia="Times New Roman" w:hAnsi="Times New Roman" w:cs="Times New Roman"/>
          <w:sz w:val="24"/>
          <w:szCs w:val="24"/>
          <w:lang w:eastAsia="en-IN"/>
        </w:rPr>
        <w:t>quality if raw silk yarn and productivity</w:t>
      </w:r>
      <w:r w:rsidRPr="002514E6">
        <w:rPr>
          <w:rFonts w:ascii="Times New Roman" w:eastAsia="Times New Roman" w:hAnsi="Times New Roman" w:cs="Times New Roman"/>
          <w:sz w:val="24"/>
          <w:szCs w:val="24"/>
          <w:lang w:eastAsia="en-IN"/>
        </w:rPr>
        <w:t xml:space="preserve"> during unfavourable climatic conditions.</w:t>
      </w:r>
    </w:p>
    <w:p w14:paraId="09F7F32C" w14:textId="62DA15C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Similarly, for multi-bi hybrids, NBFL during favourable seasons ranges between </w:t>
      </w:r>
      <w:r w:rsidRPr="002514E6">
        <w:rPr>
          <w:rFonts w:ascii="Times New Roman" w:eastAsia="Times New Roman" w:hAnsi="Times New Roman" w:cs="Times New Roman"/>
          <w:b/>
          <w:bCs/>
          <w:sz w:val="24"/>
          <w:szCs w:val="24"/>
          <w:lang w:eastAsia="en-IN"/>
        </w:rPr>
        <w:t>600 and 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730 m, 726 m, and 703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730 m, 713 m, and 710 m</w:t>
      </w:r>
      <w:r w:rsidRPr="002514E6">
        <w:rPr>
          <w:rFonts w:ascii="Times New Roman" w:eastAsia="Times New Roman" w:hAnsi="Times New Roman" w:cs="Times New Roman"/>
          <w:sz w:val="24"/>
          <w:szCs w:val="24"/>
          <w:lang w:eastAsia="en-IN"/>
        </w:rPr>
        <w:t xml:space="preserve">. In unfavourable seasons, the NBFL drops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611 m and 619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610 m and 620 m</w:t>
      </w:r>
      <w:r w:rsidR="00CE523D">
        <w:rPr>
          <w:rFonts w:ascii="Times New Roman" w:eastAsia="Times New Roman" w:hAnsi="Times New Roman" w:cs="Times New Roman"/>
          <w:b/>
          <w:bCs/>
          <w:sz w:val="24"/>
          <w:szCs w:val="24"/>
          <w:lang w:eastAsia="en-IN"/>
        </w:rPr>
        <w:t xml:space="preserve"> (Fig. 4)</w:t>
      </w:r>
      <w:r w:rsidRPr="002514E6">
        <w:rPr>
          <w:rFonts w:ascii="Times New Roman" w:eastAsia="Times New Roman" w:hAnsi="Times New Roman" w:cs="Times New Roman"/>
          <w:sz w:val="24"/>
          <w:szCs w:val="24"/>
          <w:lang w:eastAsia="en-IN"/>
        </w:rPr>
        <w:t>. These results show that while multi-bi hybrids exhibit better stability compared to bivoltine cocoons, they are not entirely immune to environmental stress.</w:t>
      </w:r>
    </w:p>
    <w:p w14:paraId="0838A2A6"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Impact of Seasonal Variations</w:t>
      </w:r>
    </w:p>
    <w:p w14:paraId="7FC46E9A" w14:textId="107305F0"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Seasonal changes have a pronounced effect on cocoon quality, particularly for bivoltine silkworms, which are more delicate and sensitive to environmental fluctuations. The shell ratio, filament length, and NBFL all decrease during unfavourable seasons, resulting in poorer reeling performance. Reelability, defined as the percentage of reelable cocoons out of 100, drops from </w:t>
      </w:r>
      <w:r w:rsidRPr="002514E6">
        <w:rPr>
          <w:rFonts w:ascii="Times New Roman" w:eastAsia="Times New Roman" w:hAnsi="Times New Roman" w:cs="Times New Roman"/>
          <w:b/>
          <w:bCs/>
          <w:sz w:val="24"/>
          <w:szCs w:val="24"/>
          <w:lang w:eastAsia="en-IN"/>
        </w:rPr>
        <w:t>80% in favourable seasons to 60% in unfavourable seasons</w:t>
      </w:r>
      <w:r w:rsidRPr="002514E6">
        <w:rPr>
          <w:rFonts w:ascii="Times New Roman" w:eastAsia="Times New Roman" w:hAnsi="Times New Roman" w:cs="Times New Roman"/>
          <w:sz w:val="24"/>
          <w:szCs w:val="24"/>
          <w:lang w:eastAsia="en-IN"/>
        </w:rPr>
        <w:t xml:space="preserve"> for bivoltine cocoons. Multi-bi hybrids show a smaller decline, with reelability decreasing from </w:t>
      </w:r>
      <w:r w:rsidRPr="002514E6">
        <w:rPr>
          <w:rFonts w:ascii="Times New Roman" w:eastAsia="Times New Roman" w:hAnsi="Times New Roman" w:cs="Times New Roman"/>
          <w:b/>
          <w:bCs/>
          <w:sz w:val="24"/>
          <w:szCs w:val="24"/>
          <w:lang w:eastAsia="en-IN"/>
        </w:rPr>
        <w:t>76% to 68%</w:t>
      </w:r>
      <w:r w:rsidRPr="002514E6">
        <w:rPr>
          <w:rFonts w:ascii="Times New Roman" w:eastAsia="Times New Roman" w:hAnsi="Times New Roman" w:cs="Times New Roman"/>
          <w:sz w:val="24"/>
          <w:szCs w:val="24"/>
          <w:lang w:eastAsia="en-IN"/>
        </w:rPr>
        <w:t xml:space="preserve">. Raw silk recovery follows a similar trend, remaining above </w:t>
      </w:r>
      <w:r w:rsidRPr="002514E6">
        <w:rPr>
          <w:rFonts w:ascii="Times New Roman" w:eastAsia="Times New Roman" w:hAnsi="Times New Roman" w:cs="Times New Roman"/>
          <w:b/>
          <w:bCs/>
          <w:sz w:val="24"/>
          <w:szCs w:val="24"/>
          <w:lang w:eastAsia="en-IN"/>
        </w:rPr>
        <w:t>80% in favourable seasons</w:t>
      </w:r>
      <w:r w:rsidRPr="002514E6">
        <w:rPr>
          <w:rFonts w:ascii="Times New Roman" w:eastAsia="Times New Roman" w:hAnsi="Times New Roman" w:cs="Times New Roman"/>
          <w:sz w:val="24"/>
          <w:szCs w:val="24"/>
          <w:lang w:eastAsia="en-IN"/>
        </w:rPr>
        <w:t xml:space="preserve"> but dropping below </w:t>
      </w:r>
      <w:r w:rsidRPr="002514E6">
        <w:rPr>
          <w:rFonts w:ascii="Times New Roman" w:eastAsia="Times New Roman" w:hAnsi="Times New Roman" w:cs="Times New Roman"/>
          <w:b/>
          <w:bCs/>
          <w:sz w:val="24"/>
          <w:szCs w:val="24"/>
          <w:lang w:eastAsia="en-IN"/>
        </w:rPr>
        <w:t>60% in unfavourable periods</w:t>
      </w:r>
      <w:r w:rsidRPr="002514E6">
        <w:rPr>
          <w:rFonts w:ascii="Times New Roman" w:eastAsia="Times New Roman" w:hAnsi="Times New Roman" w:cs="Times New Roman"/>
          <w:sz w:val="24"/>
          <w:szCs w:val="24"/>
          <w:lang w:eastAsia="en-IN"/>
        </w:rPr>
        <w:t xml:space="preserve"> for both types.</w:t>
      </w:r>
      <w:r w:rsidR="002C3AF1">
        <w:rPr>
          <w:rFonts w:ascii="Times New Roman" w:eastAsia="Times New Roman" w:hAnsi="Times New Roman" w:cs="Times New Roman"/>
          <w:sz w:val="24"/>
          <w:szCs w:val="24"/>
          <w:lang w:eastAsia="en-IN"/>
        </w:rPr>
        <w:t xml:space="preserve"> </w:t>
      </w:r>
      <w:r w:rsidR="002879FA">
        <w:rPr>
          <w:rFonts w:ascii="Times New Roman" w:eastAsia="Times New Roman" w:hAnsi="Times New Roman" w:cs="Times New Roman"/>
          <w:sz w:val="24"/>
          <w:szCs w:val="24"/>
          <w:lang w:eastAsia="en-IN"/>
        </w:rPr>
        <w:t xml:space="preserve">Bivoltine cocoons and Multi Bi cocoons are shown in </w:t>
      </w:r>
      <w:r w:rsidR="002C3AF1">
        <w:rPr>
          <w:rFonts w:ascii="Times New Roman" w:eastAsia="Times New Roman" w:hAnsi="Times New Roman" w:cs="Times New Roman"/>
          <w:sz w:val="24"/>
          <w:szCs w:val="24"/>
          <w:lang w:eastAsia="en-IN"/>
        </w:rPr>
        <w:t>Figure</w:t>
      </w:r>
      <w:r w:rsidR="002879FA">
        <w:rPr>
          <w:rFonts w:ascii="Times New Roman" w:eastAsia="Times New Roman" w:hAnsi="Times New Roman" w:cs="Times New Roman"/>
          <w:sz w:val="24"/>
          <w:szCs w:val="24"/>
          <w:lang w:eastAsia="en-IN"/>
        </w:rPr>
        <w:t>s</w:t>
      </w:r>
      <w:r w:rsidR="002C3AF1">
        <w:rPr>
          <w:rFonts w:ascii="Times New Roman" w:eastAsia="Times New Roman" w:hAnsi="Times New Roman" w:cs="Times New Roman"/>
          <w:sz w:val="24"/>
          <w:szCs w:val="24"/>
          <w:lang w:eastAsia="en-IN"/>
        </w:rPr>
        <w:t xml:space="preserve"> 5 and 6</w:t>
      </w:r>
      <w:r w:rsidR="002879FA">
        <w:rPr>
          <w:rFonts w:ascii="Times New Roman" w:eastAsia="Times New Roman" w:hAnsi="Times New Roman" w:cs="Times New Roman"/>
          <w:sz w:val="24"/>
          <w:szCs w:val="24"/>
          <w:lang w:eastAsia="en-IN"/>
        </w:rPr>
        <w:t xml:space="preserve"> respectively.</w:t>
      </w:r>
      <w:r w:rsidR="002C3AF1">
        <w:rPr>
          <w:rFonts w:ascii="Times New Roman" w:eastAsia="Times New Roman" w:hAnsi="Times New Roman" w:cs="Times New Roman"/>
          <w:sz w:val="24"/>
          <w:szCs w:val="24"/>
          <w:lang w:eastAsia="en-IN"/>
        </w:rPr>
        <w:t xml:space="preserve"> </w:t>
      </w:r>
    </w:p>
    <w:p w14:paraId="2DD401E8"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bidi="ar-SA"/>
        </w:rPr>
        <w:drawing>
          <wp:inline distT="0" distB="0" distL="0" distR="0" wp14:anchorId="15B65772" wp14:editId="0F4564DE">
            <wp:extent cx="5810250" cy="3543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59F3C7" w14:textId="77777777" w:rsidR="00295A34" w:rsidRPr="002514E6" w:rsidRDefault="004452EE"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DE6151">
        <w:rPr>
          <w:noProof/>
          <w:lang w:val="en-US" w:bidi="ar-SA"/>
        </w:rPr>
        <w:lastRenderedPageBreak/>
        <w:drawing>
          <wp:anchor distT="0" distB="0" distL="114300" distR="114300" simplePos="0" relativeHeight="251660288" behindDoc="1" locked="0" layoutInCell="1" allowOverlap="1" wp14:anchorId="743B51D1" wp14:editId="22BEAF78">
            <wp:simplePos x="0" y="0"/>
            <wp:positionH relativeFrom="column">
              <wp:posOffset>3171825</wp:posOffset>
            </wp:positionH>
            <wp:positionV relativeFrom="paragraph">
              <wp:posOffset>3162300</wp:posOffset>
            </wp:positionV>
            <wp:extent cx="2962275" cy="2247900"/>
            <wp:effectExtent l="0" t="0" r="9525" b="0"/>
            <wp:wrapNone/>
            <wp:docPr id="11" name="Picture 11" descr="C:\Users\USER\OneDrive\Desktop\Ongoing\PCT Photos\IMG-20250125-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Desktop\Ongoing\PCT Photos\IMG-20250125-WA00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A34" w:rsidRPr="002514E6">
        <w:rPr>
          <w:rFonts w:ascii="Times New Roman" w:hAnsi="Times New Roman" w:cs="Times New Roman"/>
          <w:noProof/>
          <w:sz w:val="24"/>
          <w:szCs w:val="24"/>
          <w:lang w:val="en-US" w:bidi="ar-SA"/>
        </w:rPr>
        <w:drawing>
          <wp:inline distT="0" distB="0" distL="0" distR="0" wp14:anchorId="085E61D8" wp14:editId="27DC4761">
            <wp:extent cx="6172200" cy="3009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E9F29B" w14:textId="77777777" w:rsidR="00DE6151" w:rsidRPr="00DE6151" w:rsidRDefault="004452EE" w:rsidP="00DE6151">
      <w:pPr>
        <w:pStyle w:val="NormalWeb"/>
      </w:pPr>
      <w:r>
        <w:rPr>
          <w:noProof/>
          <w:lang w:val="en-US" w:eastAsia="en-US" w:bidi="ar-SA"/>
        </w:rPr>
        <mc:AlternateContent>
          <mc:Choice Requires="wps">
            <w:drawing>
              <wp:anchor distT="0" distB="0" distL="114300" distR="114300" simplePos="0" relativeHeight="251659264" behindDoc="0" locked="0" layoutInCell="1" allowOverlap="1" wp14:anchorId="48AB18A6" wp14:editId="66DD6BEC">
                <wp:simplePos x="0" y="0"/>
                <wp:positionH relativeFrom="column">
                  <wp:posOffset>-19050</wp:posOffset>
                </wp:positionH>
                <wp:positionV relativeFrom="paragraph">
                  <wp:posOffset>2241550</wp:posOffset>
                </wp:positionV>
                <wp:extent cx="3028950" cy="333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028950" cy="333375"/>
                        </a:xfrm>
                        <a:prstGeom prst="rect">
                          <a:avLst/>
                        </a:prstGeom>
                        <a:solidFill>
                          <a:schemeClr val="lt1"/>
                        </a:solidFill>
                        <a:ln w="6350">
                          <a:noFill/>
                        </a:ln>
                      </wps:spPr>
                      <wps:txbx>
                        <w:txbxContent>
                          <w:p w14:paraId="79DF9018" w14:textId="77777777" w:rsidR="00236718" w:rsidRPr="00236718" w:rsidRDefault="00236718" w:rsidP="00236718">
                            <w:pPr>
                              <w:jc w:val="center"/>
                              <w:rPr>
                                <w:sz w:val="24"/>
                                <w:szCs w:val="24"/>
                                <w:lang w:val="en-US"/>
                              </w:rPr>
                            </w:pPr>
                            <w:r w:rsidRPr="00236718">
                              <w:rPr>
                                <w:sz w:val="24"/>
                                <w:szCs w:val="24"/>
                                <w:lang w:val="en-US"/>
                              </w:rPr>
                              <w:t>Figure 5: Bivoltine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B18A6" id="_x0000_t202" coordsize="21600,21600" o:spt="202" path="m,l,21600r21600,l21600,xe">
                <v:stroke joinstyle="miter"/>
                <v:path gradientshapeok="t" o:connecttype="rect"/>
              </v:shapetype>
              <v:shape id="Text Box 10" o:spid="_x0000_s1026" type="#_x0000_t202" style="position:absolute;margin-left:-1.5pt;margin-top:176.5pt;width:238.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" fillcolor="white [3201]" stroked="f" strokeweight=".5pt">
                <v:textbox>
                  <w:txbxContent>
                    <w:p w14:paraId="79DF9018" w14:textId="77777777" w:rsidR="00236718" w:rsidRPr="00236718" w:rsidRDefault="00236718" w:rsidP="00236718">
                      <w:pPr>
                        <w:jc w:val="center"/>
                        <w:rPr>
                          <w:sz w:val="24"/>
                          <w:szCs w:val="24"/>
                          <w:lang w:val="en-US"/>
                        </w:rPr>
                      </w:pPr>
                      <w:r w:rsidRPr="00236718">
                        <w:rPr>
                          <w:sz w:val="24"/>
                          <w:szCs w:val="24"/>
                          <w:lang w:val="en-US"/>
                        </w:rPr>
                        <w:t>Figure 5: Bivoltine cocoons</w:t>
                      </w:r>
                    </w:p>
                  </w:txbxContent>
                </v:textbox>
              </v:shape>
            </w:pict>
          </mc:Fallback>
        </mc:AlternateContent>
      </w:r>
      <w:r w:rsidR="00DE6151">
        <w:rPr>
          <w:noProof/>
          <w:lang w:val="en-US" w:eastAsia="en-US" w:bidi="ar-SA"/>
        </w:rPr>
        <mc:AlternateContent>
          <mc:Choice Requires="wps">
            <w:drawing>
              <wp:anchor distT="0" distB="0" distL="114300" distR="114300" simplePos="0" relativeHeight="251662336" behindDoc="0" locked="0" layoutInCell="1" allowOverlap="1" wp14:anchorId="578231D9" wp14:editId="38BF2800">
                <wp:simplePos x="0" y="0"/>
                <wp:positionH relativeFrom="column">
                  <wp:posOffset>3429000</wp:posOffset>
                </wp:positionH>
                <wp:positionV relativeFrom="paragraph">
                  <wp:posOffset>2256790</wp:posOffset>
                </wp:positionV>
                <wp:extent cx="2612390" cy="3333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612390" cy="333375"/>
                        </a:xfrm>
                        <a:prstGeom prst="rect">
                          <a:avLst/>
                        </a:prstGeom>
                        <a:solidFill>
                          <a:schemeClr val="lt1"/>
                        </a:solidFill>
                        <a:ln w="6350">
                          <a:noFill/>
                        </a:ln>
                      </wps:spPr>
                      <wps:txbx>
                        <w:txbxContent>
                          <w:p w14:paraId="15828D58" w14:textId="77777777"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231D9" id="Text Box 12" o:spid="_x0000_s1027" type="#_x0000_t202" style="position:absolute;margin-left:270pt;margin-top:177.7pt;width:205.7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" fillcolor="white [3201]" stroked="f" strokeweight=".5pt">
                <v:textbox>
                  <w:txbxContent>
                    <w:p w14:paraId="15828D58" w14:textId="77777777"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v:textbox>
              </v:shape>
            </w:pict>
          </mc:Fallback>
        </mc:AlternateContent>
      </w:r>
      <w:r w:rsidR="00236718" w:rsidRPr="00236718">
        <w:rPr>
          <w:noProof/>
          <w:lang w:val="en-US" w:eastAsia="en-US" w:bidi="ar-SA"/>
        </w:rPr>
        <w:drawing>
          <wp:inline distT="0" distB="0" distL="0" distR="0" wp14:anchorId="186E5D7F" wp14:editId="5D058E47">
            <wp:extent cx="2924175" cy="2562020"/>
            <wp:effectExtent l="0" t="0" r="0" b="0"/>
            <wp:docPr id="9" name="Picture 9" descr="C:\Users\USER\OneDrive\Desktop\Ongoing\PCT Photos\IMG-20250125-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Ongoing\PCT Photos\IMG-20250125-WA004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5906"/>
                    <a:stretch/>
                  </pic:blipFill>
                  <pic:spPr bwMode="auto">
                    <a:xfrm>
                      <a:off x="0" y="0"/>
                      <a:ext cx="2935199" cy="2571679"/>
                    </a:xfrm>
                    <a:prstGeom prst="rect">
                      <a:avLst/>
                    </a:prstGeom>
                    <a:noFill/>
                    <a:ln>
                      <a:noFill/>
                    </a:ln>
                    <a:extLst>
                      <a:ext uri="{53640926-AAD7-44D8-BBD7-CCE9431645EC}">
                        <a14:shadowObscured xmlns:a14="http://schemas.microsoft.com/office/drawing/2010/main"/>
                      </a:ext>
                    </a:extLst>
                  </pic:spPr>
                </pic:pic>
              </a:graphicData>
            </a:graphic>
          </wp:inline>
        </w:drawing>
      </w:r>
      <w:r w:rsidR="00DE6151" w:rsidRPr="00DE6151">
        <w:t xml:space="preserve"> </w:t>
      </w:r>
    </w:p>
    <w:p w14:paraId="0C0D11EF"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Statistical Analysis</w:t>
      </w:r>
    </w:p>
    <w:p w14:paraId="6C75A755"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Based on data obtained from single cocoon reeling analysis, key statistical measures, including the mean, median, mode, standard deviation (SD), and skewness, were computed for filament length (FL) and non-broken filament length (NBFL). These statistical parameters provide insights into the variability and distribution of filament characteristics among different silkworm cocoon types.</w:t>
      </w:r>
    </w:p>
    <w:p w14:paraId="78A159D7"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results of these calculations are summarized in Tables 1 and 2 for bivoltine silkworm cocoons, while Tables 3 and 4 present the same parameters for multi-bi hybrid silkworm cocoons. Additionally, the cocoon characteristics, assessed prior to the reeling analysis, are displayed in Tables 5 and 6.</w:t>
      </w:r>
    </w:p>
    <w:p w14:paraId="610097F2"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 xml:space="preserve">A detailed examination of skewness, a measure of asymmetry in data distribution, reveals notable patterns. For bivoltine cocoons, skewness values are predominantly negative in all seasons except for the November–December period, suggesting a tendency towards shorter </w:t>
      </w:r>
      <w:r w:rsidRPr="00910DB3">
        <w:rPr>
          <w:rFonts w:ascii="Times New Roman" w:eastAsia="Times New Roman" w:hAnsi="Times New Roman" w:cs="Times New Roman"/>
          <w:sz w:val="24"/>
          <w:szCs w:val="24"/>
          <w:lang w:eastAsia="en-IN"/>
        </w:rPr>
        <w:lastRenderedPageBreak/>
        <w:t>filament lengths. This indicates that, under most conditions, the filament length distribution is skewed towards lower values. Conversely, multi-bi hybrid cocoons exhibit mostly positive skewness, except in the January–March and March–April periods, where skewness values are near zero, suggesting a more symmetrical distribution of filament lengths in these seasons.</w:t>
      </w:r>
    </w:p>
    <w:p w14:paraId="6ED20F14"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These observed trends indicate that unfavorable environmental conditions disproportionately affect bivoltine cocoons, reducing their quality and filament characteristics to levels comparable to those of multi-bi hybrid cocoons. This suggests that bivoltine varieties may be more sensitive to seasonal variations, whereas multi-bi hybrids demonstrate a relatively stable performance across different seasons.</w:t>
      </w:r>
    </w:p>
    <w:p w14:paraId="0B996F40"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findings highlight the importance of season-specific management strategies to mitigate the impact of environmental factors on filament characteristics, particularly for bivoltine silkworms, to ensure optimal cocoon quality and reeling efficiency.</w:t>
      </w:r>
    </w:p>
    <w:tbl>
      <w:tblPr>
        <w:tblW w:w="9021" w:type="dxa"/>
        <w:tblInd w:w="-5" w:type="dxa"/>
        <w:tblLook w:val="04A0" w:firstRow="1" w:lastRow="0" w:firstColumn="1" w:lastColumn="0" w:noHBand="0" w:noVBand="1"/>
      </w:tblPr>
      <w:tblGrid>
        <w:gridCol w:w="1977"/>
        <w:gridCol w:w="1420"/>
        <w:gridCol w:w="1459"/>
        <w:gridCol w:w="1765"/>
        <w:gridCol w:w="1176"/>
        <w:gridCol w:w="1224"/>
      </w:tblGrid>
      <w:tr w:rsidR="00295A34" w:rsidRPr="002514E6" w14:paraId="74863BCB"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4D9CD4"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 xml:space="preserve">Table 1. Bivoltine-Filament length </w:t>
            </w:r>
          </w:p>
        </w:tc>
      </w:tr>
      <w:tr w:rsidR="00A610F7" w:rsidRPr="002514E6" w14:paraId="33A563B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B0BF39"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A4DDE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66E0B0F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4F2D936"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0383DDC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74DF3FF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08E97E0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AEFF2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480AF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897</w:t>
            </w:r>
          </w:p>
        </w:tc>
        <w:tc>
          <w:tcPr>
            <w:tcW w:w="1459" w:type="dxa"/>
            <w:tcBorders>
              <w:top w:val="nil"/>
              <w:left w:val="nil"/>
              <w:bottom w:val="single" w:sz="4" w:space="0" w:color="auto"/>
              <w:right w:val="single" w:sz="4" w:space="0" w:color="auto"/>
            </w:tcBorders>
            <w:shd w:val="clear" w:color="auto" w:fill="auto"/>
            <w:noWrap/>
            <w:vAlign w:val="bottom"/>
            <w:hideMark/>
          </w:tcPr>
          <w:p w14:paraId="70D9E3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869</w:t>
            </w:r>
          </w:p>
        </w:tc>
        <w:tc>
          <w:tcPr>
            <w:tcW w:w="1765" w:type="dxa"/>
            <w:tcBorders>
              <w:top w:val="nil"/>
              <w:left w:val="nil"/>
              <w:bottom w:val="single" w:sz="4" w:space="0" w:color="auto"/>
              <w:right w:val="single" w:sz="4" w:space="0" w:color="auto"/>
            </w:tcBorders>
            <w:shd w:val="clear" w:color="auto" w:fill="auto"/>
            <w:noWrap/>
            <w:vAlign w:val="bottom"/>
            <w:hideMark/>
          </w:tcPr>
          <w:p w14:paraId="71F4A9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746</w:t>
            </w:r>
          </w:p>
        </w:tc>
        <w:tc>
          <w:tcPr>
            <w:tcW w:w="1176" w:type="dxa"/>
            <w:tcBorders>
              <w:top w:val="nil"/>
              <w:left w:val="nil"/>
              <w:bottom w:val="single" w:sz="4" w:space="0" w:color="auto"/>
              <w:right w:val="single" w:sz="4" w:space="0" w:color="auto"/>
            </w:tcBorders>
            <w:shd w:val="clear" w:color="auto" w:fill="auto"/>
            <w:noWrap/>
            <w:vAlign w:val="bottom"/>
            <w:hideMark/>
          </w:tcPr>
          <w:p w14:paraId="521577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c>
          <w:tcPr>
            <w:tcW w:w="1224" w:type="dxa"/>
            <w:tcBorders>
              <w:top w:val="nil"/>
              <w:left w:val="nil"/>
              <w:bottom w:val="single" w:sz="4" w:space="0" w:color="auto"/>
              <w:right w:val="single" w:sz="4" w:space="0" w:color="auto"/>
            </w:tcBorders>
            <w:shd w:val="clear" w:color="auto" w:fill="auto"/>
            <w:noWrap/>
            <w:vAlign w:val="bottom"/>
            <w:hideMark/>
          </w:tcPr>
          <w:p w14:paraId="1C83D75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867</w:t>
            </w:r>
          </w:p>
        </w:tc>
      </w:tr>
      <w:tr w:rsidR="00A610F7" w:rsidRPr="002514E6" w14:paraId="37DF1AF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9570D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0016EA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905</w:t>
            </w:r>
          </w:p>
        </w:tc>
        <w:tc>
          <w:tcPr>
            <w:tcW w:w="1459" w:type="dxa"/>
            <w:tcBorders>
              <w:top w:val="nil"/>
              <w:left w:val="nil"/>
              <w:bottom w:val="single" w:sz="4" w:space="0" w:color="auto"/>
              <w:right w:val="single" w:sz="4" w:space="0" w:color="auto"/>
            </w:tcBorders>
            <w:shd w:val="clear" w:color="auto" w:fill="auto"/>
            <w:noWrap/>
            <w:vAlign w:val="bottom"/>
            <w:hideMark/>
          </w:tcPr>
          <w:p w14:paraId="0A22CD2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871</w:t>
            </w:r>
          </w:p>
        </w:tc>
        <w:tc>
          <w:tcPr>
            <w:tcW w:w="1765" w:type="dxa"/>
            <w:tcBorders>
              <w:top w:val="nil"/>
              <w:left w:val="nil"/>
              <w:bottom w:val="single" w:sz="4" w:space="0" w:color="auto"/>
              <w:right w:val="single" w:sz="4" w:space="0" w:color="auto"/>
            </w:tcBorders>
            <w:shd w:val="clear" w:color="auto" w:fill="auto"/>
            <w:noWrap/>
            <w:vAlign w:val="bottom"/>
            <w:hideMark/>
          </w:tcPr>
          <w:p w14:paraId="7424A8A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176" w:type="dxa"/>
            <w:tcBorders>
              <w:top w:val="nil"/>
              <w:left w:val="nil"/>
              <w:bottom w:val="single" w:sz="4" w:space="0" w:color="auto"/>
              <w:right w:val="single" w:sz="4" w:space="0" w:color="auto"/>
            </w:tcBorders>
            <w:shd w:val="clear" w:color="auto" w:fill="auto"/>
            <w:noWrap/>
            <w:vAlign w:val="bottom"/>
            <w:hideMark/>
          </w:tcPr>
          <w:p w14:paraId="3D6779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719</w:t>
            </w:r>
          </w:p>
        </w:tc>
        <w:tc>
          <w:tcPr>
            <w:tcW w:w="1224" w:type="dxa"/>
            <w:tcBorders>
              <w:top w:val="nil"/>
              <w:left w:val="nil"/>
              <w:bottom w:val="single" w:sz="4" w:space="0" w:color="auto"/>
              <w:right w:val="single" w:sz="4" w:space="0" w:color="auto"/>
            </w:tcBorders>
            <w:shd w:val="clear" w:color="auto" w:fill="auto"/>
            <w:noWrap/>
            <w:vAlign w:val="bottom"/>
            <w:hideMark/>
          </w:tcPr>
          <w:p w14:paraId="45ADCE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r>
      <w:tr w:rsidR="00A610F7" w:rsidRPr="002514E6" w14:paraId="37BA8746"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1963B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3A127CD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917</w:t>
            </w:r>
          </w:p>
        </w:tc>
        <w:tc>
          <w:tcPr>
            <w:tcW w:w="1459" w:type="dxa"/>
            <w:tcBorders>
              <w:top w:val="nil"/>
              <w:left w:val="nil"/>
              <w:bottom w:val="single" w:sz="4" w:space="0" w:color="auto"/>
              <w:right w:val="single" w:sz="4" w:space="0" w:color="auto"/>
            </w:tcBorders>
            <w:shd w:val="clear" w:color="auto" w:fill="auto"/>
            <w:noWrap/>
            <w:vAlign w:val="bottom"/>
            <w:hideMark/>
          </w:tcPr>
          <w:p w14:paraId="724BB0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874</w:t>
            </w:r>
          </w:p>
        </w:tc>
        <w:tc>
          <w:tcPr>
            <w:tcW w:w="1765" w:type="dxa"/>
            <w:tcBorders>
              <w:top w:val="nil"/>
              <w:left w:val="nil"/>
              <w:bottom w:val="single" w:sz="4" w:space="0" w:color="auto"/>
              <w:right w:val="single" w:sz="4" w:space="0" w:color="auto"/>
            </w:tcBorders>
            <w:shd w:val="clear" w:color="auto" w:fill="auto"/>
            <w:noWrap/>
            <w:vAlign w:val="bottom"/>
            <w:hideMark/>
          </w:tcPr>
          <w:p w14:paraId="5CC69B2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743</w:t>
            </w:r>
          </w:p>
        </w:tc>
        <w:tc>
          <w:tcPr>
            <w:tcW w:w="1176" w:type="dxa"/>
            <w:tcBorders>
              <w:top w:val="nil"/>
              <w:left w:val="nil"/>
              <w:bottom w:val="single" w:sz="4" w:space="0" w:color="auto"/>
              <w:right w:val="single" w:sz="4" w:space="0" w:color="auto"/>
            </w:tcBorders>
            <w:shd w:val="clear" w:color="auto" w:fill="auto"/>
            <w:noWrap/>
            <w:vAlign w:val="bottom"/>
            <w:hideMark/>
          </w:tcPr>
          <w:p w14:paraId="4A3AA54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693</w:t>
            </w:r>
          </w:p>
        </w:tc>
        <w:tc>
          <w:tcPr>
            <w:tcW w:w="1224" w:type="dxa"/>
            <w:tcBorders>
              <w:top w:val="nil"/>
              <w:left w:val="nil"/>
              <w:bottom w:val="single" w:sz="4" w:space="0" w:color="auto"/>
              <w:right w:val="single" w:sz="4" w:space="0" w:color="auto"/>
            </w:tcBorders>
            <w:shd w:val="clear" w:color="auto" w:fill="auto"/>
            <w:noWrap/>
            <w:vAlign w:val="bottom"/>
            <w:hideMark/>
          </w:tcPr>
          <w:p w14:paraId="46E419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857</w:t>
            </w:r>
          </w:p>
        </w:tc>
      </w:tr>
      <w:tr w:rsidR="00A610F7" w:rsidRPr="002514E6" w14:paraId="2F7CA6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9E4587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182233A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52.08</w:t>
            </w:r>
          </w:p>
        </w:tc>
        <w:tc>
          <w:tcPr>
            <w:tcW w:w="1459" w:type="dxa"/>
            <w:tcBorders>
              <w:top w:val="nil"/>
              <w:left w:val="nil"/>
              <w:bottom w:val="single" w:sz="4" w:space="0" w:color="auto"/>
              <w:right w:val="single" w:sz="4" w:space="0" w:color="auto"/>
            </w:tcBorders>
            <w:shd w:val="clear" w:color="auto" w:fill="auto"/>
            <w:noWrap/>
            <w:vAlign w:val="bottom"/>
            <w:hideMark/>
          </w:tcPr>
          <w:p w14:paraId="732576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53.75</w:t>
            </w:r>
          </w:p>
        </w:tc>
        <w:tc>
          <w:tcPr>
            <w:tcW w:w="1765" w:type="dxa"/>
            <w:tcBorders>
              <w:top w:val="nil"/>
              <w:left w:val="nil"/>
              <w:bottom w:val="single" w:sz="4" w:space="0" w:color="auto"/>
              <w:right w:val="single" w:sz="4" w:space="0" w:color="auto"/>
            </w:tcBorders>
            <w:shd w:val="clear" w:color="auto" w:fill="auto"/>
            <w:noWrap/>
            <w:vAlign w:val="bottom"/>
            <w:hideMark/>
          </w:tcPr>
          <w:p w14:paraId="7F3B046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65.99</w:t>
            </w:r>
          </w:p>
        </w:tc>
        <w:tc>
          <w:tcPr>
            <w:tcW w:w="1176" w:type="dxa"/>
            <w:tcBorders>
              <w:top w:val="nil"/>
              <w:left w:val="nil"/>
              <w:bottom w:val="single" w:sz="4" w:space="0" w:color="auto"/>
              <w:right w:val="single" w:sz="4" w:space="0" w:color="auto"/>
            </w:tcBorders>
            <w:shd w:val="clear" w:color="auto" w:fill="auto"/>
            <w:noWrap/>
            <w:vAlign w:val="bottom"/>
            <w:hideMark/>
          </w:tcPr>
          <w:p w14:paraId="162416C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71.05</w:t>
            </w:r>
          </w:p>
        </w:tc>
        <w:tc>
          <w:tcPr>
            <w:tcW w:w="1224" w:type="dxa"/>
            <w:tcBorders>
              <w:top w:val="nil"/>
              <w:left w:val="nil"/>
              <w:bottom w:val="single" w:sz="4" w:space="0" w:color="auto"/>
              <w:right w:val="single" w:sz="4" w:space="0" w:color="auto"/>
            </w:tcBorders>
            <w:shd w:val="clear" w:color="auto" w:fill="auto"/>
            <w:noWrap/>
            <w:vAlign w:val="bottom"/>
            <w:hideMark/>
          </w:tcPr>
          <w:p w14:paraId="018A3E1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56.15</w:t>
            </w:r>
          </w:p>
        </w:tc>
      </w:tr>
      <w:tr w:rsidR="00A610F7" w:rsidRPr="002514E6" w14:paraId="5458BDCB"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0CC53C"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0F765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-0.48</w:t>
            </w:r>
          </w:p>
        </w:tc>
        <w:tc>
          <w:tcPr>
            <w:tcW w:w="1459" w:type="dxa"/>
            <w:tcBorders>
              <w:top w:val="nil"/>
              <w:left w:val="nil"/>
              <w:bottom w:val="single" w:sz="4" w:space="0" w:color="auto"/>
              <w:right w:val="single" w:sz="4" w:space="0" w:color="auto"/>
            </w:tcBorders>
            <w:shd w:val="clear" w:color="auto" w:fill="auto"/>
            <w:noWrap/>
            <w:vAlign w:val="bottom"/>
            <w:hideMark/>
          </w:tcPr>
          <w:p w14:paraId="5DF8FC7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765" w:type="dxa"/>
            <w:tcBorders>
              <w:top w:val="nil"/>
              <w:left w:val="nil"/>
              <w:bottom w:val="single" w:sz="4" w:space="0" w:color="auto"/>
              <w:right w:val="single" w:sz="4" w:space="0" w:color="auto"/>
            </w:tcBorders>
            <w:shd w:val="clear" w:color="auto" w:fill="auto"/>
            <w:noWrap/>
            <w:vAlign w:val="bottom"/>
            <w:hideMark/>
          </w:tcPr>
          <w:p w14:paraId="33FA9D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176" w:type="dxa"/>
            <w:tcBorders>
              <w:top w:val="nil"/>
              <w:left w:val="nil"/>
              <w:bottom w:val="single" w:sz="4" w:space="0" w:color="auto"/>
              <w:right w:val="single" w:sz="4" w:space="0" w:color="auto"/>
            </w:tcBorders>
            <w:shd w:val="clear" w:color="auto" w:fill="auto"/>
            <w:noWrap/>
            <w:vAlign w:val="bottom"/>
            <w:hideMark/>
          </w:tcPr>
          <w:p w14:paraId="307FC9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224" w:type="dxa"/>
            <w:tcBorders>
              <w:top w:val="nil"/>
              <w:left w:val="nil"/>
              <w:bottom w:val="single" w:sz="4" w:space="0" w:color="auto"/>
              <w:right w:val="single" w:sz="4" w:space="0" w:color="auto"/>
            </w:tcBorders>
            <w:shd w:val="clear" w:color="auto" w:fill="auto"/>
            <w:noWrap/>
            <w:vAlign w:val="bottom"/>
            <w:hideMark/>
          </w:tcPr>
          <w:p w14:paraId="314F901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2.38</w:t>
            </w:r>
          </w:p>
        </w:tc>
      </w:tr>
      <w:tr w:rsidR="00295A34" w:rsidRPr="002514E6" w14:paraId="2551CD8C"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75E7FD"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2. Bivoltine-Non Broken filament length</w:t>
            </w:r>
          </w:p>
        </w:tc>
      </w:tr>
      <w:tr w:rsidR="00A610F7" w:rsidRPr="002514E6" w14:paraId="36E4E2D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47386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4C426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19D3C7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8259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363ED60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3A61E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B4359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DFF3E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7B9DBB6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866</w:t>
            </w:r>
          </w:p>
        </w:tc>
        <w:tc>
          <w:tcPr>
            <w:tcW w:w="1459" w:type="dxa"/>
            <w:tcBorders>
              <w:top w:val="nil"/>
              <w:left w:val="nil"/>
              <w:bottom w:val="single" w:sz="4" w:space="0" w:color="auto"/>
              <w:right w:val="single" w:sz="4" w:space="0" w:color="auto"/>
            </w:tcBorders>
            <w:shd w:val="clear" w:color="auto" w:fill="auto"/>
            <w:noWrap/>
            <w:vAlign w:val="bottom"/>
            <w:hideMark/>
          </w:tcPr>
          <w:p w14:paraId="6D2BB60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c>
          <w:tcPr>
            <w:tcW w:w="1765" w:type="dxa"/>
            <w:tcBorders>
              <w:top w:val="nil"/>
              <w:left w:val="nil"/>
              <w:bottom w:val="single" w:sz="4" w:space="0" w:color="auto"/>
              <w:right w:val="single" w:sz="4" w:space="0" w:color="auto"/>
            </w:tcBorders>
            <w:shd w:val="clear" w:color="auto" w:fill="auto"/>
            <w:noWrap/>
            <w:vAlign w:val="bottom"/>
            <w:hideMark/>
          </w:tcPr>
          <w:p w14:paraId="40F454A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678</w:t>
            </w:r>
          </w:p>
        </w:tc>
        <w:tc>
          <w:tcPr>
            <w:tcW w:w="1176" w:type="dxa"/>
            <w:tcBorders>
              <w:top w:val="nil"/>
              <w:left w:val="nil"/>
              <w:bottom w:val="single" w:sz="4" w:space="0" w:color="auto"/>
              <w:right w:val="single" w:sz="4" w:space="0" w:color="auto"/>
            </w:tcBorders>
            <w:shd w:val="clear" w:color="auto" w:fill="auto"/>
            <w:noWrap/>
            <w:vAlign w:val="bottom"/>
            <w:hideMark/>
          </w:tcPr>
          <w:p w14:paraId="7860B0E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677</w:t>
            </w:r>
          </w:p>
        </w:tc>
        <w:tc>
          <w:tcPr>
            <w:tcW w:w="1224" w:type="dxa"/>
            <w:tcBorders>
              <w:top w:val="nil"/>
              <w:left w:val="nil"/>
              <w:bottom w:val="single" w:sz="4" w:space="0" w:color="auto"/>
              <w:right w:val="single" w:sz="4" w:space="0" w:color="auto"/>
            </w:tcBorders>
            <w:shd w:val="clear" w:color="auto" w:fill="auto"/>
            <w:noWrap/>
            <w:vAlign w:val="bottom"/>
            <w:hideMark/>
          </w:tcPr>
          <w:p w14:paraId="30709C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820</w:t>
            </w:r>
          </w:p>
        </w:tc>
      </w:tr>
      <w:tr w:rsidR="00A610F7" w:rsidRPr="002514E6" w14:paraId="6339CD2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010B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1D9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877</w:t>
            </w:r>
          </w:p>
        </w:tc>
        <w:tc>
          <w:tcPr>
            <w:tcW w:w="1459" w:type="dxa"/>
            <w:tcBorders>
              <w:top w:val="nil"/>
              <w:left w:val="nil"/>
              <w:bottom w:val="single" w:sz="4" w:space="0" w:color="auto"/>
              <w:right w:val="single" w:sz="4" w:space="0" w:color="auto"/>
            </w:tcBorders>
            <w:shd w:val="clear" w:color="auto" w:fill="auto"/>
            <w:noWrap/>
            <w:vAlign w:val="bottom"/>
            <w:hideMark/>
          </w:tcPr>
          <w:p w14:paraId="68D56E1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w:t>
            </w:r>
          </w:p>
        </w:tc>
        <w:tc>
          <w:tcPr>
            <w:tcW w:w="1765" w:type="dxa"/>
            <w:tcBorders>
              <w:top w:val="nil"/>
              <w:left w:val="nil"/>
              <w:bottom w:val="single" w:sz="4" w:space="0" w:color="auto"/>
              <w:right w:val="single" w:sz="4" w:space="0" w:color="auto"/>
            </w:tcBorders>
            <w:shd w:val="clear" w:color="auto" w:fill="auto"/>
            <w:noWrap/>
            <w:vAlign w:val="bottom"/>
            <w:hideMark/>
          </w:tcPr>
          <w:p w14:paraId="5EEC992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681</w:t>
            </w:r>
          </w:p>
        </w:tc>
        <w:tc>
          <w:tcPr>
            <w:tcW w:w="1176" w:type="dxa"/>
            <w:tcBorders>
              <w:top w:val="nil"/>
              <w:left w:val="nil"/>
              <w:bottom w:val="single" w:sz="4" w:space="0" w:color="auto"/>
              <w:right w:val="single" w:sz="4" w:space="0" w:color="auto"/>
            </w:tcBorders>
            <w:shd w:val="clear" w:color="auto" w:fill="auto"/>
            <w:noWrap/>
            <w:vAlign w:val="bottom"/>
            <w:hideMark/>
          </w:tcPr>
          <w:p w14:paraId="35BC6D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680</w:t>
            </w:r>
          </w:p>
        </w:tc>
        <w:tc>
          <w:tcPr>
            <w:tcW w:w="1224" w:type="dxa"/>
            <w:tcBorders>
              <w:top w:val="nil"/>
              <w:left w:val="nil"/>
              <w:bottom w:val="single" w:sz="4" w:space="0" w:color="auto"/>
              <w:right w:val="single" w:sz="4" w:space="0" w:color="auto"/>
            </w:tcBorders>
            <w:shd w:val="clear" w:color="auto" w:fill="auto"/>
            <w:noWrap/>
            <w:vAlign w:val="bottom"/>
            <w:hideMark/>
          </w:tcPr>
          <w:p w14:paraId="18C546C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818</w:t>
            </w:r>
          </w:p>
        </w:tc>
      </w:tr>
      <w:tr w:rsidR="00A610F7" w:rsidRPr="002514E6" w14:paraId="18FB695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7F871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266D585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908</w:t>
            </w:r>
          </w:p>
        </w:tc>
        <w:tc>
          <w:tcPr>
            <w:tcW w:w="1459" w:type="dxa"/>
            <w:tcBorders>
              <w:top w:val="nil"/>
              <w:left w:val="nil"/>
              <w:bottom w:val="single" w:sz="4" w:space="0" w:color="auto"/>
              <w:right w:val="single" w:sz="4" w:space="0" w:color="auto"/>
            </w:tcBorders>
            <w:shd w:val="clear" w:color="auto" w:fill="auto"/>
            <w:noWrap/>
            <w:vAlign w:val="bottom"/>
            <w:hideMark/>
          </w:tcPr>
          <w:p w14:paraId="4BE3C2A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858</w:t>
            </w:r>
          </w:p>
        </w:tc>
        <w:tc>
          <w:tcPr>
            <w:tcW w:w="1765" w:type="dxa"/>
            <w:tcBorders>
              <w:top w:val="nil"/>
              <w:left w:val="nil"/>
              <w:bottom w:val="single" w:sz="4" w:space="0" w:color="auto"/>
              <w:right w:val="single" w:sz="4" w:space="0" w:color="auto"/>
            </w:tcBorders>
            <w:shd w:val="clear" w:color="auto" w:fill="auto"/>
            <w:noWrap/>
            <w:vAlign w:val="bottom"/>
            <w:hideMark/>
          </w:tcPr>
          <w:p w14:paraId="7BB026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c>
          <w:tcPr>
            <w:tcW w:w="1176" w:type="dxa"/>
            <w:tcBorders>
              <w:top w:val="nil"/>
              <w:left w:val="nil"/>
              <w:bottom w:val="single" w:sz="4" w:space="0" w:color="auto"/>
              <w:right w:val="single" w:sz="4" w:space="0" w:color="auto"/>
            </w:tcBorders>
            <w:shd w:val="clear" w:color="auto" w:fill="auto"/>
            <w:noWrap/>
            <w:vAlign w:val="bottom"/>
            <w:hideMark/>
          </w:tcPr>
          <w:p w14:paraId="2FD47DF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682</w:t>
            </w:r>
          </w:p>
        </w:tc>
        <w:tc>
          <w:tcPr>
            <w:tcW w:w="1224" w:type="dxa"/>
            <w:tcBorders>
              <w:top w:val="nil"/>
              <w:left w:val="nil"/>
              <w:bottom w:val="single" w:sz="4" w:space="0" w:color="auto"/>
              <w:right w:val="single" w:sz="4" w:space="0" w:color="auto"/>
            </w:tcBorders>
            <w:shd w:val="clear" w:color="auto" w:fill="auto"/>
            <w:noWrap/>
            <w:vAlign w:val="bottom"/>
            <w:hideMark/>
          </w:tcPr>
          <w:p w14:paraId="05F166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817</w:t>
            </w:r>
          </w:p>
        </w:tc>
      </w:tr>
      <w:tr w:rsidR="00A610F7" w:rsidRPr="002514E6" w14:paraId="00D1E71F"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05C8B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8F1C33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66.04</w:t>
            </w:r>
          </w:p>
        </w:tc>
        <w:tc>
          <w:tcPr>
            <w:tcW w:w="1459" w:type="dxa"/>
            <w:tcBorders>
              <w:top w:val="nil"/>
              <w:left w:val="nil"/>
              <w:bottom w:val="single" w:sz="4" w:space="0" w:color="auto"/>
              <w:right w:val="single" w:sz="4" w:space="0" w:color="auto"/>
            </w:tcBorders>
            <w:shd w:val="clear" w:color="auto" w:fill="auto"/>
            <w:noWrap/>
            <w:vAlign w:val="bottom"/>
            <w:hideMark/>
          </w:tcPr>
          <w:p w14:paraId="6DDBBBD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74.12</w:t>
            </w:r>
          </w:p>
        </w:tc>
        <w:tc>
          <w:tcPr>
            <w:tcW w:w="1765" w:type="dxa"/>
            <w:tcBorders>
              <w:top w:val="nil"/>
              <w:left w:val="nil"/>
              <w:bottom w:val="single" w:sz="4" w:space="0" w:color="auto"/>
              <w:right w:val="single" w:sz="4" w:space="0" w:color="auto"/>
            </w:tcBorders>
            <w:shd w:val="clear" w:color="auto" w:fill="auto"/>
            <w:noWrap/>
            <w:vAlign w:val="bottom"/>
            <w:hideMark/>
          </w:tcPr>
          <w:p w14:paraId="21C16B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82.88</w:t>
            </w:r>
          </w:p>
        </w:tc>
        <w:tc>
          <w:tcPr>
            <w:tcW w:w="1176" w:type="dxa"/>
            <w:tcBorders>
              <w:top w:val="nil"/>
              <w:left w:val="nil"/>
              <w:bottom w:val="single" w:sz="4" w:space="0" w:color="auto"/>
              <w:right w:val="single" w:sz="4" w:space="0" w:color="auto"/>
            </w:tcBorders>
            <w:shd w:val="clear" w:color="auto" w:fill="auto"/>
            <w:noWrap/>
            <w:vAlign w:val="bottom"/>
            <w:hideMark/>
          </w:tcPr>
          <w:p w14:paraId="145896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70.96</w:t>
            </w:r>
          </w:p>
        </w:tc>
        <w:tc>
          <w:tcPr>
            <w:tcW w:w="1224" w:type="dxa"/>
            <w:tcBorders>
              <w:top w:val="nil"/>
              <w:left w:val="nil"/>
              <w:bottom w:val="single" w:sz="4" w:space="0" w:color="auto"/>
              <w:right w:val="single" w:sz="4" w:space="0" w:color="auto"/>
            </w:tcBorders>
            <w:shd w:val="clear" w:color="auto" w:fill="auto"/>
            <w:noWrap/>
            <w:vAlign w:val="bottom"/>
            <w:hideMark/>
          </w:tcPr>
          <w:p w14:paraId="259C861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58.09</w:t>
            </w:r>
          </w:p>
        </w:tc>
      </w:tr>
      <w:tr w:rsidR="00A610F7" w:rsidRPr="002514E6" w14:paraId="5DFF4B9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F9C48E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9A5D2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-0.50</w:t>
            </w:r>
          </w:p>
        </w:tc>
        <w:tc>
          <w:tcPr>
            <w:tcW w:w="1459" w:type="dxa"/>
            <w:tcBorders>
              <w:top w:val="nil"/>
              <w:left w:val="nil"/>
              <w:bottom w:val="single" w:sz="4" w:space="0" w:color="auto"/>
              <w:right w:val="single" w:sz="4" w:space="0" w:color="auto"/>
            </w:tcBorders>
            <w:shd w:val="clear" w:color="auto" w:fill="auto"/>
            <w:noWrap/>
            <w:vAlign w:val="bottom"/>
            <w:hideMark/>
          </w:tcPr>
          <w:p w14:paraId="6985DB3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765" w:type="dxa"/>
            <w:tcBorders>
              <w:top w:val="nil"/>
              <w:left w:val="nil"/>
              <w:bottom w:val="single" w:sz="4" w:space="0" w:color="auto"/>
              <w:right w:val="single" w:sz="4" w:space="0" w:color="auto"/>
            </w:tcBorders>
            <w:shd w:val="clear" w:color="auto" w:fill="auto"/>
            <w:noWrap/>
            <w:vAlign w:val="bottom"/>
            <w:hideMark/>
          </w:tcPr>
          <w:p w14:paraId="4F38107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-0.14</w:t>
            </w:r>
          </w:p>
        </w:tc>
        <w:tc>
          <w:tcPr>
            <w:tcW w:w="1176" w:type="dxa"/>
            <w:tcBorders>
              <w:top w:val="nil"/>
              <w:left w:val="nil"/>
              <w:bottom w:val="single" w:sz="4" w:space="0" w:color="auto"/>
              <w:right w:val="single" w:sz="4" w:space="0" w:color="auto"/>
            </w:tcBorders>
            <w:shd w:val="clear" w:color="auto" w:fill="auto"/>
            <w:noWrap/>
            <w:vAlign w:val="bottom"/>
            <w:hideMark/>
          </w:tcPr>
          <w:p w14:paraId="34DCA19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-0.12</w:t>
            </w:r>
          </w:p>
        </w:tc>
        <w:tc>
          <w:tcPr>
            <w:tcW w:w="1224" w:type="dxa"/>
            <w:tcBorders>
              <w:top w:val="nil"/>
              <w:left w:val="nil"/>
              <w:bottom w:val="single" w:sz="4" w:space="0" w:color="auto"/>
              <w:right w:val="single" w:sz="4" w:space="0" w:color="auto"/>
            </w:tcBorders>
            <w:shd w:val="clear" w:color="auto" w:fill="auto"/>
            <w:noWrap/>
            <w:vAlign w:val="bottom"/>
            <w:hideMark/>
          </w:tcPr>
          <w:p w14:paraId="0F30CB9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0.09</w:t>
            </w:r>
          </w:p>
        </w:tc>
      </w:tr>
      <w:tr w:rsidR="00295A34" w:rsidRPr="002514E6" w14:paraId="0A5C1F8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04346E"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3. Multi x Bi Hybrid-Filament length</w:t>
            </w:r>
          </w:p>
        </w:tc>
      </w:tr>
      <w:tr w:rsidR="00A610F7" w:rsidRPr="002514E6" w14:paraId="7DA5666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B314C8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52183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51778D6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7279AF9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4153278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E1F30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203FF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D56DA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8102DE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752</w:t>
            </w:r>
          </w:p>
        </w:tc>
        <w:tc>
          <w:tcPr>
            <w:tcW w:w="1459" w:type="dxa"/>
            <w:tcBorders>
              <w:top w:val="nil"/>
              <w:left w:val="nil"/>
              <w:bottom w:val="single" w:sz="4" w:space="0" w:color="auto"/>
              <w:right w:val="single" w:sz="4" w:space="0" w:color="auto"/>
            </w:tcBorders>
            <w:shd w:val="clear" w:color="auto" w:fill="auto"/>
            <w:noWrap/>
            <w:vAlign w:val="bottom"/>
            <w:hideMark/>
          </w:tcPr>
          <w:p w14:paraId="3FBD2DC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57926D6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647</w:t>
            </w:r>
          </w:p>
        </w:tc>
        <w:tc>
          <w:tcPr>
            <w:tcW w:w="1176" w:type="dxa"/>
            <w:tcBorders>
              <w:top w:val="nil"/>
              <w:left w:val="nil"/>
              <w:bottom w:val="single" w:sz="4" w:space="0" w:color="auto"/>
              <w:right w:val="single" w:sz="4" w:space="0" w:color="auto"/>
            </w:tcBorders>
            <w:shd w:val="clear" w:color="auto" w:fill="auto"/>
            <w:noWrap/>
            <w:vAlign w:val="bottom"/>
            <w:hideMark/>
          </w:tcPr>
          <w:p w14:paraId="277D070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661</w:t>
            </w:r>
          </w:p>
        </w:tc>
        <w:tc>
          <w:tcPr>
            <w:tcW w:w="1224" w:type="dxa"/>
            <w:tcBorders>
              <w:top w:val="nil"/>
              <w:left w:val="nil"/>
              <w:bottom w:val="single" w:sz="4" w:space="0" w:color="auto"/>
              <w:right w:val="single" w:sz="4" w:space="0" w:color="auto"/>
            </w:tcBorders>
            <w:shd w:val="clear" w:color="auto" w:fill="auto"/>
            <w:noWrap/>
            <w:vAlign w:val="bottom"/>
            <w:hideMark/>
          </w:tcPr>
          <w:p w14:paraId="028276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r>
      <w:tr w:rsidR="00A610F7" w:rsidRPr="002514E6" w14:paraId="3672A05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6E3F1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77923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755</w:t>
            </w:r>
          </w:p>
        </w:tc>
        <w:tc>
          <w:tcPr>
            <w:tcW w:w="1459" w:type="dxa"/>
            <w:tcBorders>
              <w:top w:val="nil"/>
              <w:left w:val="nil"/>
              <w:bottom w:val="single" w:sz="4" w:space="0" w:color="auto"/>
              <w:right w:val="single" w:sz="4" w:space="0" w:color="auto"/>
            </w:tcBorders>
            <w:shd w:val="clear" w:color="auto" w:fill="auto"/>
            <w:noWrap/>
            <w:vAlign w:val="bottom"/>
            <w:hideMark/>
          </w:tcPr>
          <w:p w14:paraId="643277D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749</w:t>
            </w:r>
          </w:p>
        </w:tc>
        <w:tc>
          <w:tcPr>
            <w:tcW w:w="1765" w:type="dxa"/>
            <w:tcBorders>
              <w:top w:val="nil"/>
              <w:left w:val="nil"/>
              <w:bottom w:val="single" w:sz="4" w:space="0" w:color="auto"/>
              <w:right w:val="single" w:sz="4" w:space="0" w:color="auto"/>
            </w:tcBorders>
            <w:shd w:val="clear" w:color="auto" w:fill="auto"/>
            <w:noWrap/>
            <w:vAlign w:val="bottom"/>
            <w:hideMark/>
          </w:tcPr>
          <w:p w14:paraId="7F2D589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640</w:t>
            </w:r>
          </w:p>
        </w:tc>
        <w:tc>
          <w:tcPr>
            <w:tcW w:w="1176" w:type="dxa"/>
            <w:tcBorders>
              <w:top w:val="nil"/>
              <w:left w:val="nil"/>
              <w:bottom w:val="single" w:sz="4" w:space="0" w:color="auto"/>
              <w:right w:val="single" w:sz="4" w:space="0" w:color="auto"/>
            </w:tcBorders>
            <w:shd w:val="clear" w:color="auto" w:fill="auto"/>
            <w:noWrap/>
            <w:vAlign w:val="bottom"/>
            <w:hideMark/>
          </w:tcPr>
          <w:p w14:paraId="09AC63A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c>
          <w:tcPr>
            <w:tcW w:w="1224" w:type="dxa"/>
            <w:tcBorders>
              <w:top w:val="nil"/>
              <w:left w:val="nil"/>
              <w:bottom w:val="single" w:sz="4" w:space="0" w:color="auto"/>
              <w:right w:val="single" w:sz="4" w:space="0" w:color="auto"/>
            </w:tcBorders>
            <w:shd w:val="clear" w:color="auto" w:fill="auto"/>
            <w:noWrap/>
            <w:vAlign w:val="bottom"/>
            <w:hideMark/>
          </w:tcPr>
          <w:p w14:paraId="357722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696</w:t>
            </w:r>
          </w:p>
        </w:tc>
      </w:tr>
      <w:tr w:rsidR="00A610F7" w:rsidRPr="002514E6" w14:paraId="69B845A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67E641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19D3174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764</w:t>
            </w:r>
          </w:p>
        </w:tc>
        <w:tc>
          <w:tcPr>
            <w:tcW w:w="1459" w:type="dxa"/>
            <w:tcBorders>
              <w:top w:val="nil"/>
              <w:left w:val="nil"/>
              <w:bottom w:val="single" w:sz="4" w:space="0" w:color="auto"/>
              <w:right w:val="single" w:sz="4" w:space="0" w:color="auto"/>
            </w:tcBorders>
            <w:shd w:val="clear" w:color="auto" w:fill="auto"/>
            <w:noWrap/>
            <w:vAlign w:val="bottom"/>
            <w:hideMark/>
          </w:tcPr>
          <w:p w14:paraId="5230025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16D6826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626</w:t>
            </w:r>
          </w:p>
        </w:tc>
        <w:tc>
          <w:tcPr>
            <w:tcW w:w="1176" w:type="dxa"/>
            <w:tcBorders>
              <w:top w:val="nil"/>
              <w:left w:val="nil"/>
              <w:bottom w:val="single" w:sz="4" w:space="0" w:color="auto"/>
              <w:right w:val="single" w:sz="4" w:space="0" w:color="auto"/>
            </w:tcBorders>
            <w:shd w:val="clear" w:color="auto" w:fill="auto"/>
            <w:noWrap/>
            <w:vAlign w:val="bottom"/>
            <w:hideMark/>
          </w:tcPr>
          <w:p w14:paraId="3E553EC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636</w:t>
            </w:r>
          </w:p>
        </w:tc>
        <w:tc>
          <w:tcPr>
            <w:tcW w:w="1224" w:type="dxa"/>
            <w:tcBorders>
              <w:top w:val="nil"/>
              <w:left w:val="nil"/>
              <w:bottom w:val="single" w:sz="4" w:space="0" w:color="auto"/>
              <w:right w:val="single" w:sz="4" w:space="0" w:color="auto"/>
            </w:tcBorders>
            <w:shd w:val="clear" w:color="auto" w:fill="auto"/>
            <w:noWrap/>
            <w:vAlign w:val="bottom"/>
            <w:hideMark/>
          </w:tcPr>
          <w:p w14:paraId="67560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r>
      <w:tr w:rsidR="00A610F7" w:rsidRPr="002514E6" w14:paraId="2464916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D54028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AF3165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49.20</w:t>
            </w:r>
          </w:p>
        </w:tc>
        <w:tc>
          <w:tcPr>
            <w:tcW w:w="1459" w:type="dxa"/>
            <w:tcBorders>
              <w:top w:val="nil"/>
              <w:left w:val="nil"/>
              <w:bottom w:val="single" w:sz="4" w:space="0" w:color="auto"/>
              <w:right w:val="single" w:sz="4" w:space="0" w:color="auto"/>
            </w:tcBorders>
            <w:shd w:val="clear" w:color="auto" w:fill="auto"/>
            <w:noWrap/>
            <w:vAlign w:val="bottom"/>
            <w:hideMark/>
          </w:tcPr>
          <w:p w14:paraId="5AAC109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58.07</w:t>
            </w:r>
          </w:p>
        </w:tc>
        <w:tc>
          <w:tcPr>
            <w:tcW w:w="1765" w:type="dxa"/>
            <w:tcBorders>
              <w:top w:val="nil"/>
              <w:left w:val="nil"/>
              <w:bottom w:val="single" w:sz="4" w:space="0" w:color="auto"/>
              <w:right w:val="single" w:sz="4" w:space="0" w:color="auto"/>
            </w:tcBorders>
            <w:shd w:val="clear" w:color="auto" w:fill="auto"/>
            <w:noWrap/>
            <w:vAlign w:val="bottom"/>
            <w:hideMark/>
          </w:tcPr>
          <w:p w14:paraId="16066C8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63.35</w:t>
            </w:r>
          </w:p>
        </w:tc>
        <w:tc>
          <w:tcPr>
            <w:tcW w:w="1176" w:type="dxa"/>
            <w:tcBorders>
              <w:top w:val="nil"/>
              <w:left w:val="nil"/>
              <w:bottom w:val="single" w:sz="4" w:space="0" w:color="auto"/>
              <w:right w:val="single" w:sz="4" w:space="0" w:color="auto"/>
            </w:tcBorders>
            <w:shd w:val="clear" w:color="auto" w:fill="auto"/>
            <w:noWrap/>
            <w:vAlign w:val="bottom"/>
            <w:hideMark/>
          </w:tcPr>
          <w:p w14:paraId="0F7DEC1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58.52</w:t>
            </w:r>
          </w:p>
        </w:tc>
        <w:tc>
          <w:tcPr>
            <w:tcW w:w="1224" w:type="dxa"/>
            <w:tcBorders>
              <w:top w:val="nil"/>
              <w:left w:val="nil"/>
              <w:bottom w:val="single" w:sz="4" w:space="0" w:color="auto"/>
              <w:right w:val="single" w:sz="4" w:space="0" w:color="auto"/>
            </w:tcBorders>
            <w:shd w:val="clear" w:color="auto" w:fill="auto"/>
            <w:noWrap/>
            <w:vAlign w:val="bottom"/>
            <w:hideMark/>
          </w:tcPr>
          <w:p w14:paraId="6CD78DB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56.96</w:t>
            </w:r>
          </w:p>
        </w:tc>
      </w:tr>
      <w:tr w:rsidR="00A610F7" w:rsidRPr="002514E6" w14:paraId="7AF21DE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129FF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0333BDE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-0.19</w:t>
            </w:r>
          </w:p>
        </w:tc>
        <w:tc>
          <w:tcPr>
            <w:tcW w:w="1459" w:type="dxa"/>
            <w:tcBorders>
              <w:top w:val="nil"/>
              <w:left w:val="nil"/>
              <w:bottom w:val="single" w:sz="4" w:space="0" w:color="auto"/>
              <w:right w:val="single" w:sz="4" w:space="0" w:color="auto"/>
            </w:tcBorders>
            <w:shd w:val="clear" w:color="auto" w:fill="auto"/>
            <w:noWrap/>
            <w:vAlign w:val="bottom"/>
            <w:hideMark/>
          </w:tcPr>
          <w:p w14:paraId="7309491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-0.05</w:t>
            </w:r>
          </w:p>
        </w:tc>
        <w:tc>
          <w:tcPr>
            <w:tcW w:w="1765" w:type="dxa"/>
            <w:tcBorders>
              <w:top w:val="nil"/>
              <w:left w:val="nil"/>
              <w:bottom w:val="single" w:sz="4" w:space="0" w:color="auto"/>
              <w:right w:val="single" w:sz="4" w:space="0" w:color="auto"/>
            </w:tcBorders>
            <w:shd w:val="clear" w:color="auto" w:fill="auto"/>
            <w:noWrap/>
            <w:vAlign w:val="bottom"/>
            <w:hideMark/>
          </w:tcPr>
          <w:p w14:paraId="4644FE9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c>
          <w:tcPr>
            <w:tcW w:w="1176" w:type="dxa"/>
            <w:tcBorders>
              <w:top w:val="nil"/>
              <w:left w:val="nil"/>
              <w:bottom w:val="single" w:sz="4" w:space="0" w:color="auto"/>
              <w:right w:val="single" w:sz="4" w:space="0" w:color="auto"/>
            </w:tcBorders>
            <w:shd w:val="clear" w:color="auto" w:fill="auto"/>
            <w:noWrap/>
            <w:vAlign w:val="bottom"/>
            <w:hideMark/>
          </w:tcPr>
          <w:p w14:paraId="5FE71F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0.35</w:t>
            </w:r>
          </w:p>
        </w:tc>
        <w:tc>
          <w:tcPr>
            <w:tcW w:w="1224" w:type="dxa"/>
            <w:tcBorders>
              <w:top w:val="nil"/>
              <w:left w:val="nil"/>
              <w:bottom w:val="single" w:sz="4" w:space="0" w:color="auto"/>
              <w:right w:val="single" w:sz="4" w:space="0" w:color="auto"/>
            </w:tcBorders>
            <w:shd w:val="clear" w:color="auto" w:fill="auto"/>
            <w:noWrap/>
            <w:vAlign w:val="bottom"/>
            <w:hideMark/>
          </w:tcPr>
          <w:p w14:paraId="40AE54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1.31</w:t>
            </w:r>
          </w:p>
        </w:tc>
      </w:tr>
      <w:tr w:rsidR="00295A34" w:rsidRPr="002514E6" w14:paraId="123DCBF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72DAB9"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4. Multi x Bi Hybrid-Non broken filament length</w:t>
            </w:r>
          </w:p>
        </w:tc>
      </w:tr>
      <w:tr w:rsidR="001720CA" w:rsidRPr="002514E6" w14:paraId="5472305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7C5A32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102D3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BA4477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0857677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1C283C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4EA614A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1720CA" w:rsidRPr="002514E6" w14:paraId="5217E5A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B4665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C827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23977D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726</w:t>
            </w:r>
          </w:p>
        </w:tc>
        <w:tc>
          <w:tcPr>
            <w:tcW w:w="1765" w:type="dxa"/>
            <w:tcBorders>
              <w:top w:val="nil"/>
              <w:left w:val="nil"/>
              <w:bottom w:val="single" w:sz="4" w:space="0" w:color="auto"/>
              <w:right w:val="single" w:sz="4" w:space="0" w:color="auto"/>
            </w:tcBorders>
            <w:shd w:val="clear" w:color="auto" w:fill="auto"/>
            <w:noWrap/>
            <w:vAlign w:val="bottom"/>
            <w:hideMark/>
          </w:tcPr>
          <w:p w14:paraId="05AFAB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611</w:t>
            </w:r>
          </w:p>
        </w:tc>
        <w:tc>
          <w:tcPr>
            <w:tcW w:w="1176" w:type="dxa"/>
            <w:tcBorders>
              <w:top w:val="nil"/>
              <w:left w:val="nil"/>
              <w:bottom w:val="single" w:sz="4" w:space="0" w:color="auto"/>
              <w:right w:val="single" w:sz="4" w:space="0" w:color="auto"/>
            </w:tcBorders>
            <w:shd w:val="clear" w:color="auto" w:fill="auto"/>
            <w:noWrap/>
            <w:vAlign w:val="bottom"/>
            <w:hideMark/>
          </w:tcPr>
          <w:p w14:paraId="3F4A794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619</w:t>
            </w:r>
          </w:p>
        </w:tc>
        <w:tc>
          <w:tcPr>
            <w:tcW w:w="1224" w:type="dxa"/>
            <w:tcBorders>
              <w:top w:val="nil"/>
              <w:left w:val="nil"/>
              <w:bottom w:val="single" w:sz="4" w:space="0" w:color="auto"/>
              <w:right w:val="single" w:sz="4" w:space="0" w:color="auto"/>
            </w:tcBorders>
            <w:shd w:val="clear" w:color="auto" w:fill="auto"/>
            <w:noWrap/>
            <w:vAlign w:val="bottom"/>
            <w:hideMark/>
          </w:tcPr>
          <w:p w14:paraId="271B019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703</w:t>
            </w:r>
          </w:p>
        </w:tc>
      </w:tr>
      <w:tr w:rsidR="001720CA" w:rsidRPr="002514E6" w14:paraId="1262EDC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9D2FB0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2DF646C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729</w:t>
            </w:r>
          </w:p>
        </w:tc>
        <w:tc>
          <w:tcPr>
            <w:tcW w:w="1459" w:type="dxa"/>
            <w:tcBorders>
              <w:top w:val="nil"/>
              <w:left w:val="nil"/>
              <w:bottom w:val="single" w:sz="4" w:space="0" w:color="auto"/>
              <w:right w:val="single" w:sz="4" w:space="0" w:color="auto"/>
            </w:tcBorders>
            <w:shd w:val="clear" w:color="auto" w:fill="auto"/>
            <w:noWrap/>
            <w:vAlign w:val="bottom"/>
            <w:hideMark/>
          </w:tcPr>
          <w:p w14:paraId="5C06933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725</w:t>
            </w:r>
          </w:p>
        </w:tc>
        <w:tc>
          <w:tcPr>
            <w:tcW w:w="1765" w:type="dxa"/>
            <w:tcBorders>
              <w:top w:val="nil"/>
              <w:left w:val="nil"/>
              <w:bottom w:val="single" w:sz="4" w:space="0" w:color="auto"/>
              <w:right w:val="single" w:sz="4" w:space="0" w:color="auto"/>
            </w:tcBorders>
            <w:shd w:val="clear" w:color="auto" w:fill="auto"/>
            <w:noWrap/>
            <w:vAlign w:val="bottom"/>
            <w:hideMark/>
          </w:tcPr>
          <w:p w14:paraId="034A8B0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608</w:t>
            </w:r>
          </w:p>
        </w:tc>
        <w:tc>
          <w:tcPr>
            <w:tcW w:w="1176" w:type="dxa"/>
            <w:tcBorders>
              <w:top w:val="nil"/>
              <w:left w:val="nil"/>
              <w:bottom w:val="single" w:sz="4" w:space="0" w:color="auto"/>
              <w:right w:val="single" w:sz="4" w:space="0" w:color="auto"/>
            </w:tcBorders>
            <w:shd w:val="clear" w:color="auto" w:fill="auto"/>
            <w:noWrap/>
            <w:vAlign w:val="bottom"/>
            <w:hideMark/>
          </w:tcPr>
          <w:p w14:paraId="5DC49AE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618</w:t>
            </w:r>
          </w:p>
        </w:tc>
        <w:tc>
          <w:tcPr>
            <w:tcW w:w="1224" w:type="dxa"/>
            <w:tcBorders>
              <w:top w:val="nil"/>
              <w:left w:val="nil"/>
              <w:bottom w:val="single" w:sz="4" w:space="0" w:color="auto"/>
              <w:right w:val="single" w:sz="4" w:space="0" w:color="auto"/>
            </w:tcBorders>
            <w:shd w:val="clear" w:color="auto" w:fill="auto"/>
            <w:noWrap/>
            <w:vAlign w:val="bottom"/>
            <w:hideMark/>
          </w:tcPr>
          <w:p w14:paraId="5A7695F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r>
      <w:tr w:rsidR="001720CA" w:rsidRPr="002514E6" w14:paraId="540D00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847EF9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7ABF2B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12F892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713</w:t>
            </w:r>
          </w:p>
        </w:tc>
        <w:tc>
          <w:tcPr>
            <w:tcW w:w="1765" w:type="dxa"/>
            <w:tcBorders>
              <w:top w:val="nil"/>
              <w:left w:val="nil"/>
              <w:bottom w:val="single" w:sz="4" w:space="0" w:color="auto"/>
              <w:right w:val="single" w:sz="4" w:space="0" w:color="auto"/>
            </w:tcBorders>
            <w:shd w:val="clear" w:color="auto" w:fill="auto"/>
            <w:noWrap/>
            <w:vAlign w:val="bottom"/>
            <w:hideMark/>
          </w:tcPr>
          <w:p w14:paraId="650CC37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w:t>
            </w:r>
          </w:p>
        </w:tc>
        <w:tc>
          <w:tcPr>
            <w:tcW w:w="1176" w:type="dxa"/>
            <w:tcBorders>
              <w:top w:val="nil"/>
              <w:left w:val="nil"/>
              <w:bottom w:val="single" w:sz="4" w:space="0" w:color="auto"/>
              <w:right w:val="single" w:sz="4" w:space="0" w:color="auto"/>
            </w:tcBorders>
            <w:shd w:val="clear" w:color="auto" w:fill="auto"/>
            <w:noWrap/>
            <w:vAlign w:val="bottom"/>
            <w:hideMark/>
          </w:tcPr>
          <w:p w14:paraId="35B323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620</w:t>
            </w:r>
          </w:p>
        </w:tc>
        <w:tc>
          <w:tcPr>
            <w:tcW w:w="1224" w:type="dxa"/>
            <w:tcBorders>
              <w:top w:val="nil"/>
              <w:left w:val="nil"/>
              <w:bottom w:val="single" w:sz="4" w:space="0" w:color="auto"/>
              <w:right w:val="single" w:sz="4" w:space="0" w:color="auto"/>
            </w:tcBorders>
            <w:shd w:val="clear" w:color="auto" w:fill="auto"/>
            <w:noWrap/>
            <w:vAlign w:val="bottom"/>
            <w:hideMark/>
          </w:tcPr>
          <w:p w14:paraId="346CFC0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r>
      <w:tr w:rsidR="001720CA" w:rsidRPr="002514E6" w14:paraId="6653CAC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B8FB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2F2565E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61.03</w:t>
            </w:r>
          </w:p>
        </w:tc>
        <w:tc>
          <w:tcPr>
            <w:tcW w:w="1459" w:type="dxa"/>
            <w:tcBorders>
              <w:top w:val="nil"/>
              <w:left w:val="nil"/>
              <w:bottom w:val="single" w:sz="4" w:space="0" w:color="auto"/>
              <w:right w:val="single" w:sz="4" w:space="0" w:color="auto"/>
            </w:tcBorders>
            <w:shd w:val="clear" w:color="auto" w:fill="auto"/>
            <w:noWrap/>
            <w:vAlign w:val="bottom"/>
            <w:hideMark/>
          </w:tcPr>
          <w:p w14:paraId="48C3238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59.67</w:t>
            </w:r>
          </w:p>
        </w:tc>
        <w:tc>
          <w:tcPr>
            <w:tcW w:w="1765" w:type="dxa"/>
            <w:tcBorders>
              <w:top w:val="nil"/>
              <w:left w:val="nil"/>
              <w:bottom w:val="single" w:sz="4" w:space="0" w:color="auto"/>
              <w:right w:val="single" w:sz="4" w:space="0" w:color="auto"/>
            </w:tcBorders>
            <w:shd w:val="clear" w:color="auto" w:fill="auto"/>
            <w:noWrap/>
            <w:vAlign w:val="bottom"/>
            <w:hideMark/>
          </w:tcPr>
          <w:p w14:paraId="0136353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62.24</w:t>
            </w:r>
          </w:p>
        </w:tc>
        <w:tc>
          <w:tcPr>
            <w:tcW w:w="1176" w:type="dxa"/>
            <w:tcBorders>
              <w:top w:val="nil"/>
              <w:left w:val="nil"/>
              <w:bottom w:val="single" w:sz="4" w:space="0" w:color="auto"/>
              <w:right w:val="single" w:sz="4" w:space="0" w:color="auto"/>
            </w:tcBorders>
            <w:shd w:val="clear" w:color="auto" w:fill="auto"/>
            <w:noWrap/>
            <w:vAlign w:val="bottom"/>
            <w:hideMark/>
          </w:tcPr>
          <w:p w14:paraId="17A3D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49.85</w:t>
            </w:r>
          </w:p>
        </w:tc>
        <w:tc>
          <w:tcPr>
            <w:tcW w:w="1224" w:type="dxa"/>
            <w:tcBorders>
              <w:top w:val="nil"/>
              <w:left w:val="nil"/>
              <w:bottom w:val="single" w:sz="4" w:space="0" w:color="auto"/>
              <w:right w:val="single" w:sz="4" w:space="0" w:color="auto"/>
            </w:tcBorders>
            <w:shd w:val="clear" w:color="auto" w:fill="auto"/>
            <w:noWrap/>
            <w:vAlign w:val="bottom"/>
            <w:hideMark/>
          </w:tcPr>
          <w:p w14:paraId="02DCA93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51.17</w:t>
            </w:r>
          </w:p>
        </w:tc>
      </w:tr>
      <w:tr w:rsidR="001720CA" w:rsidRPr="002514E6" w14:paraId="7BCD8BB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796194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1455AD9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0.04</w:t>
            </w:r>
          </w:p>
        </w:tc>
        <w:tc>
          <w:tcPr>
            <w:tcW w:w="1459" w:type="dxa"/>
            <w:tcBorders>
              <w:top w:val="nil"/>
              <w:left w:val="nil"/>
              <w:bottom w:val="single" w:sz="4" w:space="0" w:color="auto"/>
              <w:right w:val="single" w:sz="4" w:space="0" w:color="auto"/>
            </w:tcBorders>
            <w:shd w:val="clear" w:color="auto" w:fill="auto"/>
            <w:noWrap/>
            <w:vAlign w:val="bottom"/>
            <w:hideMark/>
          </w:tcPr>
          <w:p w14:paraId="35F03A3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0.06</w:t>
            </w:r>
          </w:p>
        </w:tc>
        <w:tc>
          <w:tcPr>
            <w:tcW w:w="1765" w:type="dxa"/>
            <w:tcBorders>
              <w:top w:val="nil"/>
              <w:left w:val="nil"/>
              <w:bottom w:val="single" w:sz="4" w:space="0" w:color="auto"/>
              <w:right w:val="single" w:sz="4" w:space="0" w:color="auto"/>
            </w:tcBorders>
            <w:shd w:val="clear" w:color="auto" w:fill="auto"/>
            <w:noWrap/>
            <w:vAlign w:val="bottom"/>
            <w:hideMark/>
          </w:tcPr>
          <w:p w14:paraId="5BF52B3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0.17</w:t>
            </w:r>
          </w:p>
        </w:tc>
        <w:tc>
          <w:tcPr>
            <w:tcW w:w="1176" w:type="dxa"/>
            <w:tcBorders>
              <w:top w:val="nil"/>
              <w:left w:val="nil"/>
              <w:bottom w:val="single" w:sz="4" w:space="0" w:color="auto"/>
              <w:right w:val="single" w:sz="4" w:space="0" w:color="auto"/>
            </w:tcBorders>
            <w:shd w:val="clear" w:color="auto" w:fill="auto"/>
            <w:noWrap/>
            <w:vAlign w:val="bottom"/>
            <w:hideMark/>
          </w:tcPr>
          <w:p w14:paraId="6787A6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0.03</w:t>
            </w:r>
          </w:p>
        </w:tc>
        <w:tc>
          <w:tcPr>
            <w:tcW w:w="1224" w:type="dxa"/>
            <w:tcBorders>
              <w:top w:val="nil"/>
              <w:left w:val="nil"/>
              <w:bottom w:val="single" w:sz="4" w:space="0" w:color="auto"/>
              <w:right w:val="single" w:sz="4" w:space="0" w:color="auto"/>
            </w:tcBorders>
            <w:shd w:val="clear" w:color="auto" w:fill="auto"/>
            <w:noWrap/>
            <w:vAlign w:val="bottom"/>
            <w:hideMark/>
          </w:tcPr>
          <w:p w14:paraId="5A07E44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2.83</w:t>
            </w:r>
          </w:p>
        </w:tc>
      </w:tr>
    </w:tbl>
    <w:p w14:paraId="1775414C"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tbl>
      <w:tblPr>
        <w:tblW w:w="9072" w:type="dxa"/>
        <w:tblInd w:w="-5" w:type="dxa"/>
        <w:tblLook w:val="04A0" w:firstRow="1" w:lastRow="0" w:firstColumn="1" w:lastColumn="0" w:noHBand="0" w:noVBand="1"/>
      </w:tblPr>
      <w:tblGrid>
        <w:gridCol w:w="1985"/>
        <w:gridCol w:w="1417"/>
        <w:gridCol w:w="1418"/>
        <w:gridCol w:w="1701"/>
        <w:gridCol w:w="1417"/>
        <w:gridCol w:w="1134"/>
      </w:tblGrid>
      <w:tr w:rsidR="00295A34" w:rsidRPr="002514E6" w14:paraId="058610C8"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56D069" w14:textId="77777777" w:rsidR="00295A34" w:rsidRPr="002514E6" w:rsidRDefault="008F50F5" w:rsidP="001A1BF1">
            <w:pPr>
              <w:spacing w:after="0" w:line="240" w:lineRule="auto"/>
              <w:jc w:val="center"/>
              <w:rPr>
                <w:rFonts w:ascii="Times New Roman" w:eastAsia="Times New Roman" w:hAnsi="Times New Roman" w:cs="Times New Roman"/>
                <w:color w:val="000000"/>
                <w:sz w:val="24"/>
                <w:szCs w:val="24"/>
                <w:lang w:eastAsia="en-IN"/>
              </w:rPr>
            </w:pPr>
            <w:r w:rsidRPr="000033DE">
              <w:rPr>
                <w:rFonts w:ascii="Times New Roman" w:eastAsia="Times New Roman" w:hAnsi="Times New Roman" w:cs="Times New Roman"/>
                <w:b/>
                <w:bCs/>
                <w:color w:val="000000"/>
                <w:sz w:val="24"/>
                <w:szCs w:val="24"/>
                <w:lang w:eastAsia="en-IN"/>
              </w:rPr>
              <w:t>Table 5. Bivoltine</w:t>
            </w:r>
            <w:r>
              <w:rPr>
                <w:rFonts w:ascii="Times New Roman" w:eastAsia="Times New Roman" w:hAnsi="Times New Roman" w:cs="Times New Roman"/>
                <w:b/>
                <w:bCs/>
                <w:color w:val="000000"/>
                <w:sz w:val="24"/>
                <w:szCs w:val="24"/>
                <w:lang w:eastAsia="en-IN"/>
              </w:rPr>
              <w:t xml:space="preserve"> cocoon characteristics</w:t>
            </w:r>
          </w:p>
        </w:tc>
      </w:tr>
      <w:tr w:rsidR="00295A34" w:rsidRPr="002514E6" w14:paraId="07DA141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33E8AD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605C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38D0302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25D3B70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4620B11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6F360E9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295A34" w:rsidRPr="002514E6" w14:paraId="234360F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41856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70A7B2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6C761DE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1.94</w:t>
            </w:r>
          </w:p>
        </w:tc>
        <w:tc>
          <w:tcPr>
            <w:tcW w:w="1701" w:type="dxa"/>
            <w:tcBorders>
              <w:top w:val="nil"/>
              <w:left w:val="nil"/>
              <w:bottom w:val="single" w:sz="4" w:space="0" w:color="auto"/>
              <w:right w:val="single" w:sz="4" w:space="0" w:color="auto"/>
            </w:tcBorders>
            <w:shd w:val="clear" w:color="auto" w:fill="auto"/>
            <w:noWrap/>
            <w:vAlign w:val="bottom"/>
            <w:hideMark/>
          </w:tcPr>
          <w:p w14:paraId="0A64FF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5FA8E05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1.52</w:t>
            </w:r>
          </w:p>
        </w:tc>
        <w:tc>
          <w:tcPr>
            <w:tcW w:w="1134" w:type="dxa"/>
            <w:tcBorders>
              <w:top w:val="nil"/>
              <w:left w:val="nil"/>
              <w:bottom w:val="single" w:sz="4" w:space="0" w:color="auto"/>
              <w:right w:val="single" w:sz="4" w:space="0" w:color="auto"/>
            </w:tcBorders>
            <w:shd w:val="clear" w:color="auto" w:fill="auto"/>
            <w:noWrap/>
            <w:vAlign w:val="bottom"/>
            <w:hideMark/>
          </w:tcPr>
          <w:p w14:paraId="6CB2D2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r w:rsidR="00295A34" w:rsidRPr="002514E6" w14:paraId="69CC0CAF"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AEC523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071B5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0.37</w:t>
            </w:r>
          </w:p>
        </w:tc>
        <w:tc>
          <w:tcPr>
            <w:tcW w:w="1418" w:type="dxa"/>
            <w:tcBorders>
              <w:top w:val="nil"/>
              <w:left w:val="nil"/>
              <w:bottom w:val="single" w:sz="4" w:space="0" w:color="auto"/>
              <w:right w:val="single" w:sz="4" w:space="0" w:color="auto"/>
            </w:tcBorders>
            <w:shd w:val="clear" w:color="auto" w:fill="auto"/>
            <w:noWrap/>
            <w:vAlign w:val="bottom"/>
            <w:hideMark/>
          </w:tcPr>
          <w:p w14:paraId="3F83D5B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0.36</w:t>
            </w:r>
          </w:p>
        </w:tc>
        <w:tc>
          <w:tcPr>
            <w:tcW w:w="1701" w:type="dxa"/>
            <w:tcBorders>
              <w:top w:val="nil"/>
              <w:left w:val="nil"/>
              <w:bottom w:val="single" w:sz="4" w:space="0" w:color="auto"/>
              <w:right w:val="single" w:sz="4" w:space="0" w:color="auto"/>
            </w:tcBorders>
            <w:shd w:val="clear" w:color="auto" w:fill="auto"/>
            <w:noWrap/>
            <w:vAlign w:val="bottom"/>
            <w:hideMark/>
          </w:tcPr>
          <w:p w14:paraId="3FAB51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0.26</w:t>
            </w:r>
          </w:p>
        </w:tc>
        <w:tc>
          <w:tcPr>
            <w:tcW w:w="1417" w:type="dxa"/>
            <w:tcBorders>
              <w:top w:val="nil"/>
              <w:left w:val="nil"/>
              <w:bottom w:val="single" w:sz="4" w:space="0" w:color="auto"/>
              <w:right w:val="single" w:sz="4" w:space="0" w:color="auto"/>
            </w:tcBorders>
            <w:shd w:val="clear" w:color="auto" w:fill="auto"/>
            <w:noWrap/>
            <w:vAlign w:val="bottom"/>
            <w:hideMark/>
          </w:tcPr>
          <w:p w14:paraId="2A61C0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0.23</w:t>
            </w:r>
          </w:p>
        </w:tc>
        <w:tc>
          <w:tcPr>
            <w:tcW w:w="1134" w:type="dxa"/>
            <w:tcBorders>
              <w:top w:val="nil"/>
              <w:left w:val="nil"/>
              <w:bottom w:val="single" w:sz="4" w:space="0" w:color="auto"/>
              <w:right w:val="single" w:sz="4" w:space="0" w:color="auto"/>
            </w:tcBorders>
            <w:shd w:val="clear" w:color="auto" w:fill="auto"/>
            <w:noWrap/>
            <w:vAlign w:val="bottom"/>
            <w:hideMark/>
          </w:tcPr>
          <w:p w14:paraId="032CD3F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0.41</w:t>
            </w:r>
          </w:p>
        </w:tc>
      </w:tr>
      <w:tr w:rsidR="00295A34" w:rsidRPr="002514E6" w14:paraId="0395E2E7"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0F75A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7020B3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19.36</w:t>
            </w:r>
          </w:p>
        </w:tc>
        <w:tc>
          <w:tcPr>
            <w:tcW w:w="1418" w:type="dxa"/>
            <w:tcBorders>
              <w:top w:val="nil"/>
              <w:left w:val="nil"/>
              <w:bottom w:val="single" w:sz="4" w:space="0" w:color="auto"/>
              <w:right w:val="single" w:sz="4" w:space="0" w:color="auto"/>
            </w:tcBorders>
            <w:shd w:val="clear" w:color="auto" w:fill="auto"/>
            <w:noWrap/>
            <w:vAlign w:val="bottom"/>
            <w:hideMark/>
          </w:tcPr>
          <w:p w14:paraId="319116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18.35</w:t>
            </w:r>
          </w:p>
        </w:tc>
        <w:tc>
          <w:tcPr>
            <w:tcW w:w="1701" w:type="dxa"/>
            <w:tcBorders>
              <w:top w:val="nil"/>
              <w:left w:val="nil"/>
              <w:bottom w:val="single" w:sz="4" w:space="0" w:color="auto"/>
              <w:right w:val="single" w:sz="4" w:space="0" w:color="auto"/>
            </w:tcBorders>
            <w:shd w:val="clear" w:color="auto" w:fill="auto"/>
            <w:noWrap/>
            <w:vAlign w:val="bottom"/>
            <w:hideMark/>
          </w:tcPr>
          <w:p w14:paraId="2612360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16.02</w:t>
            </w:r>
          </w:p>
        </w:tc>
        <w:tc>
          <w:tcPr>
            <w:tcW w:w="1417" w:type="dxa"/>
            <w:tcBorders>
              <w:top w:val="nil"/>
              <w:left w:val="nil"/>
              <w:bottom w:val="single" w:sz="4" w:space="0" w:color="auto"/>
              <w:right w:val="single" w:sz="4" w:space="0" w:color="auto"/>
            </w:tcBorders>
            <w:shd w:val="clear" w:color="auto" w:fill="auto"/>
            <w:noWrap/>
            <w:vAlign w:val="bottom"/>
            <w:hideMark/>
          </w:tcPr>
          <w:p w14:paraId="23AECB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15.45</w:t>
            </w:r>
          </w:p>
        </w:tc>
        <w:tc>
          <w:tcPr>
            <w:tcW w:w="1134" w:type="dxa"/>
            <w:tcBorders>
              <w:top w:val="nil"/>
              <w:left w:val="nil"/>
              <w:bottom w:val="single" w:sz="4" w:space="0" w:color="auto"/>
              <w:right w:val="single" w:sz="4" w:space="0" w:color="auto"/>
            </w:tcBorders>
            <w:shd w:val="clear" w:color="auto" w:fill="auto"/>
            <w:noWrap/>
            <w:vAlign w:val="bottom"/>
            <w:hideMark/>
          </w:tcPr>
          <w:p w14:paraId="03D4538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19.52</w:t>
            </w:r>
          </w:p>
        </w:tc>
      </w:tr>
      <w:tr w:rsidR="00295A34" w:rsidRPr="002514E6" w14:paraId="65285A69"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2E5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15EC699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2.13</w:t>
            </w:r>
          </w:p>
        </w:tc>
        <w:tc>
          <w:tcPr>
            <w:tcW w:w="1418" w:type="dxa"/>
            <w:tcBorders>
              <w:top w:val="nil"/>
              <w:left w:val="nil"/>
              <w:bottom w:val="single" w:sz="4" w:space="0" w:color="auto"/>
              <w:right w:val="single" w:sz="4" w:space="0" w:color="auto"/>
            </w:tcBorders>
            <w:shd w:val="clear" w:color="auto" w:fill="auto"/>
            <w:noWrap/>
            <w:vAlign w:val="bottom"/>
            <w:hideMark/>
          </w:tcPr>
          <w:p w14:paraId="299C4AF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2.19</w:t>
            </w:r>
          </w:p>
        </w:tc>
        <w:tc>
          <w:tcPr>
            <w:tcW w:w="1701" w:type="dxa"/>
            <w:tcBorders>
              <w:top w:val="nil"/>
              <w:left w:val="nil"/>
              <w:bottom w:val="single" w:sz="4" w:space="0" w:color="auto"/>
              <w:right w:val="single" w:sz="4" w:space="0" w:color="auto"/>
            </w:tcBorders>
            <w:shd w:val="clear" w:color="auto" w:fill="auto"/>
            <w:noWrap/>
            <w:vAlign w:val="bottom"/>
            <w:hideMark/>
          </w:tcPr>
          <w:p w14:paraId="6BF559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w:t>
            </w:r>
          </w:p>
        </w:tc>
        <w:tc>
          <w:tcPr>
            <w:tcW w:w="1417" w:type="dxa"/>
            <w:tcBorders>
              <w:top w:val="nil"/>
              <w:left w:val="nil"/>
              <w:bottom w:val="single" w:sz="4" w:space="0" w:color="auto"/>
              <w:right w:val="single" w:sz="4" w:space="0" w:color="auto"/>
            </w:tcBorders>
            <w:shd w:val="clear" w:color="auto" w:fill="auto"/>
            <w:noWrap/>
            <w:vAlign w:val="bottom"/>
            <w:hideMark/>
          </w:tcPr>
          <w:p w14:paraId="3E7EEB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1.89</w:t>
            </w:r>
          </w:p>
        </w:tc>
        <w:tc>
          <w:tcPr>
            <w:tcW w:w="1134" w:type="dxa"/>
            <w:tcBorders>
              <w:top w:val="nil"/>
              <w:left w:val="nil"/>
              <w:bottom w:val="single" w:sz="4" w:space="0" w:color="auto"/>
              <w:right w:val="single" w:sz="4" w:space="0" w:color="auto"/>
            </w:tcBorders>
            <w:shd w:val="clear" w:color="auto" w:fill="auto"/>
            <w:noWrap/>
            <w:vAlign w:val="bottom"/>
            <w:hideMark/>
          </w:tcPr>
          <w:p w14:paraId="262499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2.22</w:t>
            </w:r>
          </w:p>
        </w:tc>
      </w:tr>
      <w:tr w:rsidR="00295A34" w:rsidRPr="002514E6" w14:paraId="030D5AF0"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82162C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D871EC"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973297"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7CAC1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E3A5AE"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57F98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r>
      <w:tr w:rsidR="008F50F5" w:rsidRPr="002514E6" w14:paraId="197CB446"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664BF5" w14:textId="77777777" w:rsidR="008F50F5" w:rsidRPr="000033DE" w:rsidRDefault="008F50F5" w:rsidP="008F50F5">
            <w:pPr>
              <w:spacing w:after="0" w:line="240" w:lineRule="auto"/>
              <w:jc w:val="center"/>
              <w:rPr>
                <w:rFonts w:ascii="Times New Roman" w:eastAsia="Times New Roman" w:hAnsi="Times New Roman" w:cs="Times New Roman"/>
                <w:b/>
                <w:bCs/>
                <w:color w:val="000000"/>
                <w:sz w:val="24"/>
                <w:szCs w:val="24"/>
                <w:lang w:eastAsia="en-IN"/>
              </w:rPr>
            </w:pPr>
            <w:r w:rsidRPr="000033DE">
              <w:rPr>
                <w:rFonts w:ascii="Times New Roman" w:eastAsia="Times New Roman" w:hAnsi="Times New Roman" w:cs="Times New Roman"/>
                <w:b/>
                <w:bCs/>
                <w:color w:val="000000"/>
                <w:sz w:val="24"/>
                <w:szCs w:val="24"/>
                <w:lang w:eastAsia="en-IN"/>
              </w:rPr>
              <w:t xml:space="preserve">Table 6. </w:t>
            </w:r>
            <w:r>
              <w:rPr>
                <w:rFonts w:ascii="Times New Roman" w:eastAsia="Times New Roman" w:hAnsi="Times New Roman" w:cs="Times New Roman"/>
                <w:b/>
                <w:bCs/>
                <w:color w:val="000000"/>
                <w:sz w:val="24"/>
                <w:szCs w:val="24"/>
                <w:lang w:eastAsia="en-IN"/>
              </w:rPr>
              <w:t>Multi Bi h</w:t>
            </w:r>
            <w:r w:rsidRPr="000033DE">
              <w:rPr>
                <w:rFonts w:ascii="Times New Roman" w:eastAsia="Times New Roman" w:hAnsi="Times New Roman" w:cs="Times New Roman"/>
                <w:b/>
                <w:bCs/>
                <w:color w:val="000000"/>
                <w:sz w:val="24"/>
                <w:szCs w:val="24"/>
                <w:lang w:eastAsia="en-IN"/>
              </w:rPr>
              <w:t>ybrid</w:t>
            </w:r>
            <w:r>
              <w:rPr>
                <w:rFonts w:ascii="Times New Roman" w:eastAsia="Times New Roman" w:hAnsi="Times New Roman" w:cs="Times New Roman"/>
                <w:b/>
                <w:bCs/>
                <w:color w:val="000000"/>
                <w:sz w:val="24"/>
                <w:szCs w:val="24"/>
                <w:lang w:eastAsia="en-IN"/>
              </w:rPr>
              <w:t xml:space="preserve"> cocoon characterises</w:t>
            </w:r>
          </w:p>
        </w:tc>
      </w:tr>
      <w:tr w:rsidR="008F50F5" w:rsidRPr="002514E6" w14:paraId="2CAABDD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01CA9BC" w14:textId="77777777" w:rsidR="008F50F5" w:rsidRPr="002514E6" w:rsidRDefault="008F50F5" w:rsidP="008F50F5">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A8760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47C3BCA2"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3B287C8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1B3D18B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11E8D7C8"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8F50F5" w:rsidRPr="002514E6" w14:paraId="5ECE3EB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D41C51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4F31B62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1.79</w:t>
            </w:r>
          </w:p>
        </w:tc>
        <w:tc>
          <w:tcPr>
            <w:tcW w:w="1418" w:type="dxa"/>
            <w:tcBorders>
              <w:top w:val="nil"/>
              <w:left w:val="nil"/>
              <w:bottom w:val="single" w:sz="4" w:space="0" w:color="auto"/>
              <w:right w:val="single" w:sz="4" w:space="0" w:color="auto"/>
            </w:tcBorders>
            <w:shd w:val="clear" w:color="auto" w:fill="auto"/>
            <w:noWrap/>
            <w:vAlign w:val="bottom"/>
            <w:hideMark/>
          </w:tcPr>
          <w:p w14:paraId="4124D61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1.72</w:t>
            </w:r>
          </w:p>
        </w:tc>
        <w:tc>
          <w:tcPr>
            <w:tcW w:w="1701" w:type="dxa"/>
            <w:tcBorders>
              <w:top w:val="nil"/>
              <w:left w:val="nil"/>
              <w:bottom w:val="single" w:sz="4" w:space="0" w:color="auto"/>
              <w:right w:val="single" w:sz="4" w:space="0" w:color="auto"/>
            </w:tcBorders>
            <w:shd w:val="clear" w:color="auto" w:fill="auto"/>
            <w:noWrap/>
            <w:vAlign w:val="bottom"/>
            <w:hideMark/>
          </w:tcPr>
          <w:p w14:paraId="3D373DB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1.51</w:t>
            </w:r>
          </w:p>
        </w:tc>
        <w:tc>
          <w:tcPr>
            <w:tcW w:w="1417" w:type="dxa"/>
            <w:tcBorders>
              <w:top w:val="nil"/>
              <w:left w:val="nil"/>
              <w:bottom w:val="single" w:sz="4" w:space="0" w:color="auto"/>
              <w:right w:val="single" w:sz="4" w:space="0" w:color="auto"/>
            </w:tcBorders>
            <w:shd w:val="clear" w:color="auto" w:fill="auto"/>
            <w:noWrap/>
            <w:vAlign w:val="bottom"/>
            <w:hideMark/>
          </w:tcPr>
          <w:p w14:paraId="0B46DF1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1.46</w:t>
            </w:r>
          </w:p>
        </w:tc>
        <w:tc>
          <w:tcPr>
            <w:tcW w:w="1134" w:type="dxa"/>
            <w:tcBorders>
              <w:top w:val="nil"/>
              <w:left w:val="nil"/>
              <w:bottom w:val="single" w:sz="4" w:space="0" w:color="auto"/>
              <w:right w:val="single" w:sz="4" w:space="0" w:color="auto"/>
            </w:tcBorders>
            <w:shd w:val="clear" w:color="auto" w:fill="auto"/>
            <w:noWrap/>
            <w:vAlign w:val="bottom"/>
            <w:hideMark/>
          </w:tcPr>
          <w:p w14:paraId="38E9076A"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1.84</w:t>
            </w:r>
          </w:p>
        </w:tc>
      </w:tr>
      <w:tr w:rsidR="008F50F5" w:rsidRPr="002514E6" w14:paraId="01A220C2"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94961E1"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7F3CB5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0.29</w:t>
            </w:r>
          </w:p>
        </w:tc>
        <w:tc>
          <w:tcPr>
            <w:tcW w:w="1418" w:type="dxa"/>
            <w:tcBorders>
              <w:top w:val="nil"/>
              <w:left w:val="nil"/>
              <w:bottom w:val="single" w:sz="4" w:space="0" w:color="auto"/>
              <w:right w:val="single" w:sz="4" w:space="0" w:color="auto"/>
            </w:tcBorders>
            <w:shd w:val="clear" w:color="auto" w:fill="auto"/>
            <w:noWrap/>
            <w:vAlign w:val="bottom"/>
            <w:hideMark/>
          </w:tcPr>
          <w:p w14:paraId="57052105"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0.27</w:t>
            </w:r>
          </w:p>
        </w:tc>
        <w:tc>
          <w:tcPr>
            <w:tcW w:w="1701" w:type="dxa"/>
            <w:tcBorders>
              <w:top w:val="nil"/>
              <w:left w:val="nil"/>
              <w:bottom w:val="single" w:sz="4" w:space="0" w:color="auto"/>
              <w:right w:val="single" w:sz="4" w:space="0" w:color="auto"/>
            </w:tcBorders>
            <w:shd w:val="clear" w:color="auto" w:fill="auto"/>
            <w:noWrap/>
            <w:vAlign w:val="bottom"/>
            <w:hideMark/>
          </w:tcPr>
          <w:p w14:paraId="7AD09DF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417" w:type="dxa"/>
            <w:tcBorders>
              <w:top w:val="nil"/>
              <w:left w:val="nil"/>
              <w:bottom w:val="single" w:sz="4" w:space="0" w:color="auto"/>
              <w:right w:val="single" w:sz="4" w:space="0" w:color="auto"/>
            </w:tcBorders>
            <w:shd w:val="clear" w:color="auto" w:fill="auto"/>
            <w:noWrap/>
            <w:vAlign w:val="bottom"/>
            <w:hideMark/>
          </w:tcPr>
          <w:p w14:paraId="304A3008"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29216811"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r>
      <w:tr w:rsidR="008F50F5" w:rsidRPr="002514E6" w14:paraId="3EBB57CD"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3CF5804"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04706B5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16.40</w:t>
            </w:r>
          </w:p>
        </w:tc>
        <w:tc>
          <w:tcPr>
            <w:tcW w:w="1418" w:type="dxa"/>
            <w:tcBorders>
              <w:top w:val="nil"/>
              <w:left w:val="nil"/>
              <w:bottom w:val="single" w:sz="4" w:space="0" w:color="auto"/>
              <w:right w:val="single" w:sz="4" w:space="0" w:color="auto"/>
            </w:tcBorders>
            <w:shd w:val="clear" w:color="auto" w:fill="auto"/>
            <w:noWrap/>
            <w:vAlign w:val="bottom"/>
            <w:hideMark/>
          </w:tcPr>
          <w:p w14:paraId="67D3D94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15.92</w:t>
            </w:r>
          </w:p>
        </w:tc>
        <w:tc>
          <w:tcPr>
            <w:tcW w:w="1701" w:type="dxa"/>
            <w:tcBorders>
              <w:top w:val="nil"/>
              <w:left w:val="nil"/>
              <w:bottom w:val="single" w:sz="4" w:space="0" w:color="auto"/>
              <w:right w:val="single" w:sz="4" w:space="0" w:color="auto"/>
            </w:tcBorders>
            <w:shd w:val="clear" w:color="auto" w:fill="auto"/>
            <w:noWrap/>
            <w:vAlign w:val="bottom"/>
            <w:hideMark/>
          </w:tcPr>
          <w:p w14:paraId="45425FDD"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13.68</w:t>
            </w:r>
          </w:p>
        </w:tc>
        <w:tc>
          <w:tcPr>
            <w:tcW w:w="1417" w:type="dxa"/>
            <w:tcBorders>
              <w:top w:val="nil"/>
              <w:left w:val="nil"/>
              <w:bottom w:val="single" w:sz="4" w:space="0" w:color="auto"/>
              <w:right w:val="single" w:sz="4" w:space="0" w:color="auto"/>
            </w:tcBorders>
            <w:shd w:val="clear" w:color="auto" w:fill="auto"/>
            <w:noWrap/>
            <w:vAlign w:val="bottom"/>
            <w:hideMark/>
          </w:tcPr>
          <w:p w14:paraId="1E64858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13.56</w:t>
            </w:r>
          </w:p>
        </w:tc>
        <w:tc>
          <w:tcPr>
            <w:tcW w:w="1134" w:type="dxa"/>
            <w:tcBorders>
              <w:top w:val="nil"/>
              <w:left w:val="nil"/>
              <w:bottom w:val="single" w:sz="4" w:space="0" w:color="auto"/>
              <w:right w:val="single" w:sz="4" w:space="0" w:color="auto"/>
            </w:tcBorders>
            <w:shd w:val="clear" w:color="auto" w:fill="auto"/>
            <w:noWrap/>
            <w:vAlign w:val="bottom"/>
            <w:hideMark/>
          </w:tcPr>
          <w:p w14:paraId="1163DA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17.13</w:t>
            </w:r>
          </w:p>
        </w:tc>
      </w:tr>
      <w:tr w:rsidR="008F50F5" w:rsidRPr="002514E6" w14:paraId="6C4DC995"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4242F69"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6B3BA41C"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1.98</w:t>
            </w:r>
          </w:p>
        </w:tc>
        <w:tc>
          <w:tcPr>
            <w:tcW w:w="1418" w:type="dxa"/>
            <w:tcBorders>
              <w:top w:val="nil"/>
              <w:left w:val="nil"/>
              <w:bottom w:val="single" w:sz="4" w:space="0" w:color="auto"/>
              <w:right w:val="single" w:sz="4" w:space="0" w:color="auto"/>
            </w:tcBorders>
            <w:shd w:val="clear" w:color="auto" w:fill="auto"/>
            <w:noWrap/>
            <w:vAlign w:val="bottom"/>
            <w:hideMark/>
          </w:tcPr>
          <w:p w14:paraId="6A13C59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139163E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4BB2EB3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1.85</w:t>
            </w:r>
          </w:p>
        </w:tc>
        <w:tc>
          <w:tcPr>
            <w:tcW w:w="1134" w:type="dxa"/>
            <w:tcBorders>
              <w:top w:val="nil"/>
              <w:left w:val="nil"/>
              <w:bottom w:val="single" w:sz="4" w:space="0" w:color="auto"/>
              <w:right w:val="single" w:sz="4" w:space="0" w:color="auto"/>
            </w:tcBorders>
            <w:shd w:val="clear" w:color="auto" w:fill="auto"/>
            <w:noWrap/>
            <w:vAlign w:val="bottom"/>
            <w:hideMark/>
          </w:tcPr>
          <w:p w14:paraId="29F66357"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bl>
    <w:p w14:paraId="7F3B562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p w14:paraId="2266290F" w14:textId="77777777" w:rsidR="00642ADC" w:rsidRDefault="00642ADC" w:rsidP="00642ADC">
      <w:pPr>
        <w:pStyle w:val="NormalWeb"/>
        <w:jc w:val="both"/>
      </w:pPr>
      <w:r>
        <w:t>NBFL is a crucial parameter for determining the optimal reeling machine speed, directly influencing production rates while maintaining the desired silk yarn quality. For instance, in producing 20–22 denier silk yarn, the reeling process typically requires 10 cocoons per end. Maintaining consistent feeding of these cocoons is critical to achieving uniform quality and high efficiency. Skilled reeling workers play an essential role in managing this process, as their ability to sustain consistent feeding directly correlates with reeling performance.</w:t>
      </w:r>
    </w:p>
    <w:p w14:paraId="4441F226" w14:textId="77777777" w:rsidR="00642ADC" w:rsidRDefault="00642ADC" w:rsidP="00642ADC">
      <w:pPr>
        <w:pStyle w:val="NormalWeb"/>
        <w:jc w:val="both"/>
      </w:pPr>
      <w:r>
        <w:t>The relationship between NBFL, feeding rate, and reeling speed is mathematically expressed as:</w:t>
      </w:r>
    </w:p>
    <w:p w14:paraId="30F38382" w14:textId="77777777" w:rsidR="00295A34" w:rsidRPr="00642ADC" w:rsidRDefault="00295A34" w:rsidP="00295A34">
      <w:pPr>
        <w:pStyle w:val="NormalWeb"/>
        <w:rPr>
          <w:lang w:val="en-US"/>
        </w:rPr>
      </w:pPr>
      <m:oMathPara>
        <m:oMath>
          <m:r>
            <w:rPr>
              <w:rFonts w:ascii="Cambria Math" w:hAnsi="Cambria Math"/>
              <w:lang w:val="en-US"/>
            </w:rPr>
            <m:t>Reeling Speed</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 xml:space="preserve">NBFL x No. of feeding ends (pcs/min/man) </m:t>
              </m:r>
            </m:num>
            <m:den>
              <m:r>
                <m:rPr>
                  <m:sty m:val="p"/>
                </m:rPr>
                <w:rPr>
                  <w:rFonts w:ascii="Cambria Math" w:hAnsi="Cambria Math"/>
                  <w:lang w:val="en-US"/>
                </w:rPr>
                <m:t xml:space="preserve">Average No. of cocoons per yarn end x Number of reels handled by reeler </m:t>
              </m:r>
            </m:den>
          </m:f>
        </m:oMath>
      </m:oMathPara>
    </w:p>
    <w:p w14:paraId="0908D4B1" w14:textId="67EAD3ED" w:rsidR="00642ADC" w:rsidRPr="00610543" w:rsidRDefault="00642ADC" w:rsidP="00656AA5">
      <w:pPr>
        <w:pStyle w:val="NormalWeb"/>
        <w:jc w:val="both"/>
      </w:pPr>
      <w:r>
        <w:t>Performance data for bivoltine hybrids (Sk6 x Sk7) and multi-bi hybrids (NxSk6 x Sk7) across different seasons highlight the influence of NBFL on reeling speed</w:t>
      </w:r>
      <w:r w:rsidR="0017102B">
        <w:t xml:space="preserve"> (Table 7)</w:t>
      </w:r>
      <w:r>
        <w:t>:</w:t>
      </w:r>
    </w:p>
    <w:tbl>
      <w:tblPr>
        <w:tblW w:w="8676" w:type="dxa"/>
        <w:jc w:val="center"/>
        <w:tblLook w:val="04A0" w:firstRow="1" w:lastRow="0" w:firstColumn="1" w:lastColumn="0" w:noHBand="0" w:noVBand="1"/>
      </w:tblPr>
      <w:tblGrid>
        <w:gridCol w:w="2346"/>
        <w:gridCol w:w="1266"/>
        <w:gridCol w:w="1266"/>
        <w:gridCol w:w="1266"/>
        <w:gridCol w:w="1266"/>
        <w:gridCol w:w="1266"/>
      </w:tblGrid>
      <w:tr w:rsidR="0090595D" w:rsidRPr="00BB19E3" w14:paraId="13FC6556" w14:textId="77777777" w:rsidTr="001A1BF1">
        <w:trPr>
          <w:trHeight w:val="308"/>
          <w:jc w:val="center"/>
        </w:trPr>
        <w:tc>
          <w:tcPr>
            <w:tcW w:w="86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D44233" w14:textId="77777777" w:rsidR="0090595D" w:rsidRPr="00642ADC" w:rsidRDefault="0090595D" w:rsidP="001A1BF1">
            <w:pPr>
              <w:spacing w:after="0" w:line="240" w:lineRule="auto"/>
              <w:jc w:val="center"/>
              <w:rPr>
                <w:rFonts w:ascii="Times New Roman" w:eastAsia="Times New Roman" w:hAnsi="Times New Roman" w:cs="Times New Roman"/>
                <w:b/>
                <w:bCs/>
                <w:color w:val="000000"/>
                <w:szCs w:val="22"/>
                <w:lang w:eastAsia="en-IN"/>
              </w:rPr>
            </w:pPr>
            <w:r>
              <w:rPr>
                <w:rFonts w:ascii="Times New Roman" w:eastAsia="Times New Roman" w:hAnsi="Times New Roman" w:cs="Times New Roman"/>
                <w:b/>
                <w:bCs/>
                <w:color w:val="000000"/>
                <w:szCs w:val="22"/>
                <w:lang w:eastAsia="en-IN"/>
              </w:rPr>
              <w:t>Table 7. Reeling Speed with respect to NBFL</w:t>
            </w:r>
          </w:p>
        </w:tc>
      </w:tr>
      <w:tr w:rsidR="0090595D" w:rsidRPr="00BB19E3" w14:paraId="2A3D7CA6" w14:textId="77777777" w:rsidTr="001A1BF1">
        <w:trPr>
          <w:trHeight w:val="308"/>
          <w:jc w:val="center"/>
        </w:trPr>
        <w:tc>
          <w:tcPr>
            <w:tcW w:w="2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60A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N=10</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6316474"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Jan-Mar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FE771E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Mar-Apr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0AB5B6"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Jun-Jul</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EA09C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Aug-Sept</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3868232"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Nov-Dec</w:t>
            </w:r>
          </w:p>
        </w:tc>
      </w:tr>
      <w:tr w:rsidR="0090595D" w:rsidRPr="00BB19E3" w14:paraId="46A4C72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3E3C6E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245209D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104</w:t>
            </w:r>
          </w:p>
        </w:tc>
        <w:tc>
          <w:tcPr>
            <w:tcW w:w="1266" w:type="dxa"/>
            <w:tcBorders>
              <w:top w:val="nil"/>
              <w:left w:val="nil"/>
              <w:bottom w:val="single" w:sz="4" w:space="0" w:color="auto"/>
              <w:right w:val="single" w:sz="4" w:space="0" w:color="auto"/>
            </w:tcBorders>
            <w:shd w:val="clear" w:color="auto" w:fill="auto"/>
            <w:noWrap/>
            <w:vAlign w:val="center"/>
            <w:hideMark/>
          </w:tcPr>
          <w:p w14:paraId="7A4F93D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99</w:t>
            </w:r>
          </w:p>
        </w:tc>
        <w:tc>
          <w:tcPr>
            <w:tcW w:w="1266" w:type="dxa"/>
            <w:tcBorders>
              <w:top w:val="nil"/>
              <w:left w:val="nil"/>
              <w:bottom w:val="single" w:sz="4" w:space="0" w:color="auto"/>
              <w:right w:val="single" w:sz="4" w:space="0" w:color="auto"/>
            </w:tcBorders>
            <w:shd w:val="clear" w:color="auto" w:fill="auto"/>
            <w:noWrap/>
            <w:vAlign w:val="center"/>
            <w:hideMark/>
          </w:tcPr>
          <w:p w14:paraId="59E7245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136A5FB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72E7EE1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98</w:t>
            </w:r>
          </w:p>
        </w:tc>
      </w:tr>
      <w:tr w:rsidR="0090595D" w:rsidRPr="00BB19E3" w14:paraId="26B6BD78"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3A7A3B27"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7E3C224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88</w:t>
            </w:r>
          </w:p>
        </w:tc>
        <w:tc>
          <w:tcPr>
            <w:tcW w:w="1266" w:type="dxa"/>
            <w:tcBorders>
              <w:top w:val="nil"/>
              <w:left w:val="nil"/>
              <w:bottom w:val="single" w:sz="4" w:space="0" w:color="auto"/>
              <w:right w:val="single" w:sz="4" w:space="0" w:color="auto"/>
            </w:tcBorders>
            <w:shd w:val="clear" w:color="auto" w:fill="auto"/>
            <w:noWrap/>
            <w:vAlign w:val="center"/>
            <w:hideMark/>
          </w:tcPr>
          <w:p w14:paraId="63FBF933"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87</w:t>
            </w:r>
          </w:p>
        </w:tc>
        <w:tc>
          <w:tcPr>
            <w:tcW w:w="1266" w:type="dxa"/>
            <w:tcBorders>
              <w:top w:val="nil"/>
              <w:left w:val="nil"/>
              <w:bottom w:val="single" w:sz="4" w:space="0" w:color="auto"/>
              <w:right w:val="single" w:sz="4" w:space="0" w:color="auto"/>
            </w:tcBorders>
            <w:shd w:val="clear" w:color="auto" w:fill="auto"/>
            <w:noWrap/>
            <w:vAlign w:val="center"/>
            <w:hideMark/>
          </w:tcPr>
          <w:p w14:paraId="5493F9A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73</w:t>
            </w:r>
          </w:p>
        </w:tc>
        <w:tc>
          <w:tcPr>
            <w:tcW w:w="1266" w:type="dxa"/>
            <w:tcBorders>
              <w:top w:val="nil"/>
              <w:left w:val="nil"/>
              <w:bottom w:val="single" w:sz="4" w:space="0" w:color="auto"/>
              <w:right w:val="single" w:sz="4" w:space="0" w:color="auto"/>
            </w:tcBorders>
            <w:shd w:val="clear" w:color="auto" w:fill="auto"/>
            <w:noWrap/>
            <w:vAlign w:val="center"/>
            <w:hideMark/>
          </w:tcPr>
          <w:p w14:paraId="4BDDA3F5"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74</w:t>
            </w:r>
          </w:p>
        </w:tc>
        <w:tc>
          <w:tcPr>
            <w:tcW w:w="1266" w:type="dxa"/>
            <w:tcBorders>
              <w:top w:val="nil"/>
              <w:left w:val="nil"/>
              <w:bottom w:val="single" w:sz="4" w:space="0" w:color="auto"/>
              <w:right w:val="single" w:sz="4" w:space="0" w:color="auto"/>
            </w:tcBorders>
            <w:shd w:val="clear" w:color="auto" w:fill="auto"/>
            <w:noWrap/>
            <w:vAlign w:val="center"/>
            <w:hideMark/>
          </w:tcPr>
          <w:p w14:paraId="10E7C67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84</w:t>
            </w:r>
          </w:p>
        </w:tc>
      </w:tr>
      <w:tr w:rsidR="0090595D" w:rsidRPr="00BB19E3" w14:paraId="0BFD8B0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4B8F7B6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N=08</w:t>
            </w:r>
          </w:p>
        </w:tc>
        <w:tc>
          <w:tcPr>
            <w:tcW w:w="1266" w:type="dxa"/>
            <w:tcBorders>
              <w:top w:val="nil"/>
              <w:left w:val="nil"/>
              <w:bottom w:val="single" w:sz="4" w:space="0" w:color="auto"/>
              <w:right w:val="single" w:sz="4" w:space="0" w:color="auto"/>
            </w:tcBorders>
            <w:shd w:val="clear" w:color="auto" w:fill="auto"/>
            <w:noWrap/>
            <w:vAlign w:val="center"/>
            <w:hideMark/>
          </w:tcPr>
          <w:p w14:paraId="5A7F3F2B"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Jan-Mar</w:t>
            </w:r>
          </w:p>
        </w:tc>
        <w:tc>
          <w:tcPr>
            <w:tcW w:w="1266" w:type="dxa"/>
            <w:tcBorders>
              <w:top w:val="nil"/>
              <w:left w:val="nil"/>
              <w:bottom w:val="single" w:sz="4" w:space="0" w:color="auto"/>
              <w:right w:val="single" w:sz="4" w:space="0" w:color="auto"/>
            </w:tcBorders>
            <w:shd w:val="clear" w:color="auto" w:fill="auto"/>
            <w:noWrap/>
            <w:vAlign w:val="center"/>
            <w:hideMark/>
          </w:tcPr>
          <w:p w14:paraId="5EA73966"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Mar-Apr</w:t>
            </w:r>
          </w:p>
        </w:tc>
        <w:tc>
          <w:tcPr>
            <w:tcW w:w="1266" w:type="dxa"/>
            <w:tcBorders>
              <w:top w:val="nil"/>
              <w:left w:val="nil"/>
              <w:bottom w:val="single" w:sz="4" w:space="0" w:color="auto"/>
              <w:right w:val="single" w:sz="4" w:space="0" w:color="auto"/>
            </w:tcBorders>
            <w:shd w:val="clear" w:color="auto" w:fill="auto"/>
            <w:noWrap/>
            <w:vAlign w:val="center"/>
            <w:hideMark/>
          </w:tcPr>
          <w:p w14:paraId="5051E3A8"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Jun-Jul</w:t>
            </w:r>
          </w:p>
        </w:tc>
        <w:tc>
          <w:tcPr>
            <w:tcW w:w="1266" w:type="dxa"/>
            <w:tcBorders>
              <w:top w:val="nil"/>
              <w:left w:val="nil"/>
              <w:bottom w:val="single" w:sz="4" w:space="0" w:color="auto"/>
              <w:right w:val="single" w:sz="4" w:space="0" w:color="auto"/>
            </w:tcBorders>
            <w:shd w:val="clear" w:color="auto" w:fill="auto"/>
            <w:noWrap/>
            <w:vAlign w:val="center"/>
            <w:hideMark/>
          </w:tcPr>
          <w:p w14:paraId="7097898E"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Aug-Sept</w:t>
            </w:r>
          </w:p>
        </w:tc>
        <w:tc>
          <w:tcPr>
            <w:tcW w:w="1266" w:type="dxa"/>
            <w:tcBorders>
              <w:top w:val="nil"/>
              <w:left w:val="nil"/>
              <w:bottom w:val="single" w:sz="4" w:space="0" w:color="auto"/>
              <w:right w:val="single" w:sz="4" w:space="0" w:color="auto"/>
            </w:tcBorders>
            <w:shd w:val="clear" w:color="auto" w:fill="auto"/>
            <w:noWrap/>
            <w:vAlign w:val="center"/>
            <w:hideMark/>
          </w:tcPr>
          <w:p w14:paraId="00851183"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Nov-Dec</w:t>
            </w:r>
          </w:p>
        </w:tc>
      </w:tr>
      <w:tr w:rsidR="0090595D" w:rsidRPr="00BB19E3" w14:paraId="2CAF6CD0"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8CC885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7996E79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130</w:t>
            </w:r>
          </w:p>
        </w:tc>
        <w:tc>
          <w:tcPr>
            <w:tcW w:w="1266" w:type="dxa"/>
            <w:tcBorders>
              <w:top w:val="nil"/>
              <w:left w:val="nil"/>
              <w:bottom w:val="single" w:sz="4" w:space="0" w:color="auto"/>
              <w:right w:val="single" w:sz="4" w:space="0" w:color="auto"/>
            </w:tcBorders>
            <w:shd w:val="clear" w:color="auto" w:fill="auto"/>
            <w:noWrap/>
            <w:vAlign w:val="center"/>
            <w:hideMark/>
          </w:tcPr>
          <w:p w14:paraId="2D3FE26A"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c>
          <w:tcPr>
            <w:tcW w:w="1266" w:type="dxa"/>
            <w:tcBorders>
              <w:top w:val="nil"/>
              <w:left w:val="nil"/>
              <w:bottom w:val="single" w:sz="4" w:space="0" w:color="auto"/>
              <w:right w:val="single" w:sz="4" w:space="0" w:color="auto"/>
            </w:tcBorders>
            <w:shd w:val="clear" w:color="auto" w:fill="auto"/>
            <w:noWrap/>
            <w:vAlign w:val="center"/>
            <w:hideMark/>
          </w:tcPr>
          <w:p w14:paraId="06DDC81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0552BE9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5265F68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r>
      <w:tr w:rsidR="0090595D" w:rsidRPr="00BB19E3" w14:paraId="0BD2A12D"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60EE443F"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2FBD192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110</w:t>
            </w:r>
          </w:p>
        </w:tc>
        <w:tc>
          <w:tcPr>
            <w:tcW w:w="1266" w:type="dxa"/>
            <w:tcBorders>
              <w:top w:val="nil"/>
              <w:left w:val="nil"/>
              <w:bottom w:val="single" w:sz="4" w:space="0" w:color="auto"/>
              <w:right w:val="single" w:sz="4" w:space="0" w:color="auto"/>
            </w:tcBorders>
            <w:shd w:val="clear" w:color="auto" w:fill="auto"/>
            <w:noWrap/>
            <w:vAlign w:val="center"/>
            <w:hideMark/>
          </w:tcPr>
          <w:p w14:paraId="047BA998"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109</w:t>
            </w:r>
          </w:p>
        </w:tc>
        <w:tc>
          <w:tcPr>
            <w:tcW w:w="1266" w:type="dxa"/>
            <w:tcBorders>
              <w:top w:val="nil"/>
              <w:left w:val="nil"/>
              <w:bottom w:val="single" w:sz="4" w:space="0" w:color="auto"/>
              <w:right w:val="single" w:sz="4" w:space="0" w:color="auto"/>
            </w:tcBorders>
            <w:shd w:val="clear" w:color="auto" w:fill="auto"/>
            <w:noWrap/>
            <w:vAlign w:val="center"/>
            <w:hideMark/>
          </w:tcPr>
          <w:p w14:paraId="1725E25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92</w:t>
            </w:r>
          </w:p>
        </w:tc>
        <w:tc>
          <w:tcPr>
            <w:tcW w:w="1266" w:type="dxa"/>
            <w:tcBorders>
              <w:top w:val="nil"/>
              <w:left w:val="nil"/>
              <w:bottom w:val="single" w:sz="4" w:space="0" w:color="auto"/>
              <w:right w:val="single" w:sz="4" w:space="0" w:color="auto"/>
            </w:tcBorders>
            <w:shd w:val="clear" w:color="auto" w:fill="auto"/>
            <w:noWrap/>
            <w:vAlign w:val="center"/>
            <w:hideMark/>
          </w:tcPr>
          <w:p w14:paraId="23681CD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93</w:t>
            </w:r>
          </w:p>
        </w:tc>
        <w:tc>
          <w:tcPr>
            <w:tcW w:w="1266" w:type="dxa"/>
            <w:tcBorders>
              <w:top w:val="nil"/>
              <w:left w:val="nil"/>
              <w:bottom w:val="single" w:sz="4" w:space="0" w:color="auto"/>
              <w:right w:val="single" w:sz="4" w:space="0" w:color="auto"/>
            </w:tcBorders>
            <w:shd w:val="clear" w:color="auto" w:fill="auto"/>
            <w:noWrap/>
            <w:vAlign w:val="center"/>
            <w:hideMark/>
          </w:tcPr>
          <w:p w14:paraId="6C2613C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105</w:t>
            </w:r>
          </w:p>
        </w:tc>
      </w:tr>
    </w:tbl>
    <w:p w14:paraId="2A7DFF02" w14:textId="77777777" w:rsidR="00642ADC" w:rsidRDefault="00642ADC" w:rsidP="00211974">
      <w:pPr>
        <w:pStyle w:val="NormalWeb"/>
        <w:jc w:val="both"/>
      </w:pPr>
      <w:r>
        <w:lastRenderedPageBreak/>
        <w:t xml:space="preserve">According to the </w:t>
      </w:r>
      <w:r>
        <w:rPr>
          <w:rStyle w:val="Emphasis"/>
        </w:rPr>
        <w:t>Reeling and Testing Manual</w:t>
      </w:r>
      <w:r>
        <w:t xml:space="preserve"> by Yong-Woo Lee, a skilled reeling worker can consistently feed 12–14 cocoon ends per minute, which serves as a benchmark for reeling speed calculations under standard conditions. This benchmark enables reeling units to optimize their operations for both bivoltine and multi-bi hybrid cocoons.</w:t>
      </w:r>
    </w:p>
    <w:p w14:paraId="3EACCA64" w14:textId="77777777" w:rsidR="00E42994" w:rsidRPr="002C7C31" w:rsidRDefault="00E42994" w:rsidP="00E42994">
      <w:pPr>
        <w:spacing w:before="100" w:beforeAutospacing="1" w:after="100" w:afterAutospacing="1" w:line="240" w:lineRule="auto"/>
        <w:jc w:val="both"/>
        <w:rPr>
          <w:rFonts w:ascii="Times New Roman" w:hAnsi="Times New Roman" w:cs="Times New Roman"/>
          <w:b/>
          <w:bCs/>
          <w:sz w:val="36"/>
          <w:szCs w:val="36"/>
        </w:rPr>
      </w:pPr>
      <w:r w:rsidRPr="002C7C31">
        <w:rPr>
          <w:rFonts w:ascii="Times New Roman" w:hAnsi="Times New Roman" w:cs="Times New Roman"/>
          <w:b/>
          <w:bCs/>
          <w:sz w:val="36"/>
          <w:szCs w:val="36"/>
        </w:rPr>
        <w:t>Conclusion</w:t>
      </w:r>
    </w:p>
    <w:p w14:paraId="05DD2FEE" w14:textId="2FDE1121" w:rsidR="00237729" w:rsidRPr="00237729" w:rsidRDefault="003A5A33" w:rsidP="003A5A33">
      <w:pPr>
        <w:pStyle w:val="NormalWeb"/>
      </w:pPr>
      <w:r>
        <w:t xml:space="preserve">The automation of post-cocoon processing, including cocoon stifling, cutting, silk reeling, and spinning, has led to improved efficiency, enhanced quality, and reduced production costs. Consequently, maintaining high cocoon quality has become essential for achieving superior silk output and maximizing productivity (Marak, 2024).  </w:t>
      </w:r>
      <w:r w:rsidR="00237729" w:rsidRPr="00237729">
        <w:t>NBFL is the most important quality characteristic of reeling cocoons, as it helps predict the achievable production speed. The NBFL value depends on the breed of the silkworm—bivoltine silkworms have a higher filament length (FL), resulting in higher NBFL if the number of breaks is minimal. In contrast, the multi-bi hybrid has a lower NBFL.</w:t>
      </w:r>
    </w:p>
    <w:p w14:paraId="11846986" w14:textId="77777777" w:rsidR="00237729" w:rsidRPr="00237729" w:rsidRDefault="00237729" w:rsidP="00237729">
      <w:pPr>
        <w:pStyle w:val="NormalWeb"/>
        <w:jc w:val="both"/>
      </w:pPr>
      <w:r w:rsidRPr="00237729">
        <w:t>Seasons with temperatures below 30°C and relative humidity (RH) around 70% or lower are favorable for silkworm health. Temperatures above this threshold start to negatively impact silkworm health and silk gland function, leading to higher mortality, reduced FL, and lower crystallinity. High humidity during spinning also affects silk quality.</w:t>
      </w:r>
    </w:p>
    <w:p w14:paraId="1FD0E5AA" w14:textId="77777777" w:rsidR="00237729" w:rsidRPr="00237729" w:rsidRDefault="00237729" w:rsidP="00237729">
      <w:pPr>
        <w:pStyle w:val="NormalWeb"/>
        <w:jc w:val="both"/>
      </w:pPr>
      <w:r w:rsidRPr="00237729">
        <w:t>A lower NBFL means more frequent breaks, requiring additional feedings within the same period. For bivoltine cocoons, the highest frequency range for NBFL is above 800 meters during January–February and November–December. This indicates that during favorable seasons, a reeler can achieve an approximate production speed of 100 meters per minute (mpm), whereas in unfavorable seasons, it may drop to around 80 mpm, leading to a 20% production loss due to raw material quality.</w:t>
      </w:r>
    </w:p>
    <w:p w14:paraId="2C077623" w14:textId="77777777" w:rsidR="00237729" w:rsidRPr="00237729" w:rsidRDefault="00237729" w:rsidP="00237729">
      <w:pPr>
        <w:pStyle w:val="NormalWeb"/>
        <w:jc w:val="both"/>
      </w:pPr>
      <w:r w:rsidRPr="00237729">
        <w:t>For multi-bi hybrids, production is lower in the January–February, March–April, and November–December crops, while in the remaining two seasons, the NBFL value is almost at par. This allows reelers to select raw materials based on price and demand.</w:t>
      </w:r>
    </w:p>
    <w:p w14:paraId="354BEC37" w14:textId="77777777" w:rsidR="00E42994" w:rsidRDefault="00E42994" w:rsidP="00E42994">
      <w:pPr>
        <w:pStyle w:val="NormalWeb"/>
        <w:jc w:val="both"/>
      </w:pPr>
      <w:r>
        <w:t xml:space="preserve">This alignment ensures consistent silk quality and efficiency, even under variable seasonal conditions. The adoption of such optimized reeling practices is vital for sustaining the competitiveness of the silk reeling industry in the </w:t>
      </w:r>
      <w:r w:rsidR="00296CEB">
        <w:t>northeastern</w:t>
      </w:r>
      <w:r>
        <w:t xml:space="preserve"> region.</w:t>
      </w:r>
    </w:p>
    <w:p w14:paraId="742F6C5F" w14:textId="77777777" w:rsidR="00C029D4" w:rsidRDefault="00C029D4" w:rsidP="00E42994">
      <w:pPr>
        <w:pStyle w:val="NormalWeb"/>
        <w:jc w:val="both"/>
      </w:pPr>
    </w:p>
    <w:p w14:paraId="57ECA5C9" w14:textId="77777777" w:rsidR="00C029D4" w:rsidRPr="00C029D4" w:rsidRDefault="00C029D4" w:rsidP="00C029D4">
      <w:pPr>
        <w:spacing w:after="200" w:line="276" w:lineRule="auto"/>
        <w:outlineLvl w:val="0"/>
        <w:rPr>
          <w:rFonts w:ascii="Arial" w:eastAsia="Calibri" w:hAnsi="Arial" w:cs="Arial"/>
          <w:b/>
          <w:sz w:val="20"/>
          <w:highlight w:val="yellow"/>
          <w:lang w:val="en-US" w:bidi="ar-SA"/>
        </w:rPr>
      </w:pPr>
      <w:r w:rsidRPr="00C029D4">
        <w:rPr>
          <w:rFonts w:ascii="Arial" w:eastAsia="Calibri" w:hAnsi="Arial" w:cs="Arial"/>
          <w:b/>
          <w:sz w:val="20"/>
          <w:highlight w:val="yellow"/>
          <w:lang w:val="en-US" w:bidi="ar-SA"/>
        </w:rPr>
        <w:t>Disclaimer</w:t>
      </w:r>
    </w:p>
    <w:p w14:paraId="2CA0F22D" w14:textId="77777777" w:rsidR="00C029D4" w:rsidRPr="00C029D4" w:rsidRDefault="00C029D4" w:rsidP="00C029D4">
      <w:pPr>
        <w:spacing w:after="200" w:line="276" w:lineRule="auto"/>
        <w:rPr>
          <w:rFonts w:ascii="Arial" w:eastAsia="Calibri" w:hAnsi="Arial" w:cs="Arial"/>
          <w:sz w:val="20"/>
          <w:lang w:val="en-US" w:bidi="ar-SA"/>
        </w:rPr>
      </w:pPr>
      <w:r w:rsidRPr="00C029D4">
        <w:rPr>
          <w:rFonts w:ascii="Arial" w:eastAsia="Calibri" w:hAnsi="Arial" w:cs="Arial"/>
          <w:sz w:val="20"/>
          <w:lang w:val="en-US" w:bidi="ar-SA"/>
        </w:rPr>
        <w:t xml:space="preserve">This paper is an extended version of a </w:t>
      </w:r>
      <w:r w:rsidRPr="00C029D4">
        <w:rPr>
          <w:rFonts w:ascii="Arial" w:eastAsia="Calibri" w:hAnsi="Arial" w:cs="Arial"/>
          <w:color w:val="FF0000"/>
          <w:sz w:val="20"/>
          <w:lang w:val="en-US" w:bidi="ar-SA"/>
        </w:rPr>
        <w:t xml:space="preserve">preprint </w:t>
      </w:r>
      <w:r w:rsidRPr="00C029D4">
        <w:rPr>
          <w:rFonts w:ascii="Arial" w:eastAsia="Calibri" w:hAnsi="Arial" w:cs="Arial"/>
          <w:sz w:val="20"/>
          <w:lang w:val="en-US" w:bidi="ar-SA"/>
        </w:rPr>
        <w:t xml:space="preserve"> document of the same author.</w:t>
      </w:r>
    </w:p>
    <w:p w14:paraId="3577803D" w14:textId="77777777" w:rsidR="00C029D4" w:rsidRPr="00C029D4" w:rsidRDefault="00C029D4" w:rsidP="00C029D4">
      <w:pPr>
        <w:spacing w:after="200" w:line="276" w:lineRule="auto"/>
        <w:rPr>
          <w:rFonts w:ascii="Arial" w:eastAsia="Calibri" w:hAnsi="Arial" w:cs="Arial"/>
          <w:sz w:val="20"/>
          <w:lang w:val="en-US" w:bidi="ar-SA"/>
        </w:rPr>
      </w:pPr>
      <w:r w:rsidRPr="00C029D4">
        <w:rPr>
          <w:rFonts w:ascii="Arial" w:eastAsia="Calibri" w:hAnsi="Arial" w:cs="Arial"/>
          <w:sz w:val="20"/>
          <w:lang w:val="en-US" w:bidi="ar-SA"/>
        </w:rPr>
        <w:t xml:space="preserve">The </w:t>
      </w:r>
      <w:r w:rsidRPr="00C029D4">
        <w:rPr>
          <w:rFonts w:ascii="Arial" w:eastAsia="Calibri" w:hAnsi="Arial" w:cs="Arial"/>
          <w:color w:val="FF0000"/>
          <w:sz w:val="20"/>
          <w:lang w:val="en-US" w:bidi="ar-SA"/>
        </w:rPr>
        <w:t xml:space="preserve">preprint  </w:t>
      </w:r>
      <w:r w:rsidRPr="00C029D4">
        <w:rPr>
          <w:rFonts w:ascii="Arial" w:eastAsia="Calibri" w:hAnsi="Arial" w:cs="Arial"/>
          <w:sz w:val="20"/>
          <w:lang w:val="en-US" w:bidi="ar-SA"/>
        </w:rPr>
        <w:t xml:space="preserve">document is available in this link: </w:t>
      </w:r>
      <w:hyperlink r:id="rId15" w:history="1">
        <w:r w:rsidRPr="00C029D4">
          <w:rPr>
            <w:rFonts w:ascii="Arial" w:eastAsia="Calibri" w:hAnsi="Arial" w:cs="Arial"/>
            <w:color w:val="0000FF"/>
            <w:sz w:val="20"/>
            <w:u w:val="single"/>
            <w:lang w:val="en-US" w:bidi="ar-SA"/>
          </w:rPr>
          <w:t>https://www.preprints.org/manuscript/202503.0446/v1</w:t>
        </w:r>
      </w:hyperlink>
      <w:r w:rsidRPr="00C029D4">
        <w:rPr>
          <w:rFonts w:ascii="Arial" w:eastAsia="Calibri" w:hAnsi="Arial" w:cs="Arial"/>
          <w:sz w:val="20"/>
          <w:lang w:val="en-US" w:bidi="ar-SA"/>
        </w:rPr>
        <w:t xml:space="preserve"> </w:t>
      </w:r>
    </w:p>
    <w:p w14:paraId="447F8079" w14:textId="77777777" w:rsidR="00C029D4" w:rsidRPr="00C029D4" w:rsidRDefault="00C029D4" w:rsidP="00C029D4">
      <w:pPr>
        <w:spacing w:after="200" w:line="276" w:lineRule="auto"/>
        <w:rPr>
          <w:rFonts w:ascii="Arial" w:eastAsia="Calibri" w:hAnsi="Arial" w:cs="Arial"/>
          <w:sz w:val="18"/>
          <w:lang w:val="en-US" w:bidi="ar-SA"/>
        </w:rPr>
      </w:pPr>
      <w:r w:rsidRPr="00C029D4">
        <w:rPr>
          <w:rFonts w:ascii="Arial" w:eastAsia="Calibri" w:hAnsi="Arial" w:cs="Arial"/>
          <w:sz w:val="18"/>
          <w:highlight w:val="yellow"/>
          <w:lang w:val="en-US" w:bidi="ar-SA"/>
        </w:rPr>
        <w:t>[As per journal policy, preprint /repository article</w:t>
      </w:r>
      <w:r w:rsidRPr="00C029D4">
        <w:rPr>
          <w:rFonts w:ascii="Arial" w:eastAsia="Calibri" w:hAnsi="Arial" w:cs="Arial"/>
          <w:sz w:val="18"/>
          <w:lang w:val="en-US" w:bidi="ar-SA"/>
        </w:rPr>
        <w:t xml:space="preserve"> </w:t>
      </w:r>
      <w:r w:rsidRPr="00C029D4">
        <w:rPr>
          <w:rFonts w:ascii="Arial" w:eastAsia="Calibri" w:hAnsi="Arial" w:cs="Arial"/>
          <w:sz w:val="18"/>
          <w:highlight w:val="yellow"/>
          <w:lang w:val="en-US" w:bidi="ar-SA"/>
        </w:rPr>
        <w:t>can be published as a journal article, provided it is not published in any other journal]</w:t>
      </w:r>
    </w:p>
    <w:p w14:paraId="4C381578" w14:textId="77777777" w:rsidR="00C029D4" w:rsidRDefault="00C029D4" w:rsidP="00E42994">
      <w:pPr>
        <w:pStyle w:val="NormalWeb"/>
        <w:jc w:val="both"/>
      </w:pPr>
    </w:p>
    <w:p w14:paraId="3CB1C91B" w14:textId="77777777" w:rsidR="00360F14" w:rsidRPr="00360F14" w:rsidRDefault="00360F14" w:rsidP="00360F1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360F14">
        <w:rPr>
          <w:rFonts w:ascii="Times New Roman" w:hAnsi="Times New Roman" w:cs="Times New Roman"/>
          <w:b/>
          <w:bCs/>
          <w:sz w:val="32"/>
          <w:szCs w:val="32"/>
          <w:lang w:val="en-US"/>
        </w:rPr>
        <w:t>Disclosure statement</w:t>
      </w:r>
    </w:p>
    <w:p w14:paraId="0B7CE375" w14:textId="1D071AB1" w:rsidR="00360F14" w:rsidRDefault="00360F14" w:rsidP="00360F14">
      <w:pPr>
        <w:pStyle w:val="NormalWeb"/>
        <w:jc w:val="both"/>
      </w:pPr>
      <w:r w:rsidRPr="00360F14">
        <w:lastRenderedPageBreak/>
        <w:t>No potential conflict of interest was reported by the authors.</w:t>
      </w:r>
    </w:p>
    <w:p w14:paraId="3497BFEF" w14:textId="3CAB002D" w:rsidR="00460F42" w:rsidRDefault="00460F42" w:rsidP="00360F14">
      <w:pPr>
        <w:pStyle w:val="NormalWeb"/>
        <w:jc w:val="both"/>
      </w:pPr>
    </w:p>
    <w:p w14:paraId="3B8C5508" w14:textId="77777777" w:rsidR="00460F42" w:rsidRPr="00EC3A45" w:rsidRDefault="00460F42" w:rsidP="00EC3A45">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EC3A45">
        <w:rPr>
          <w:rFonts w:ascii="Times New Roman" w:hAnsi="Times New Roman" w:cs="Times New Roman"/>
          <w:b/>
          <w:bCs/>
          <w:sz w:val="32"/>
          <w:szCs w:val="32"/>
          <w:lang w:val="en-US"/>
        </w:rPr>
        <w:t>Disclaimer (Artificial intelligence)</w:t>
      </w:r>
    </w:p>
    <w:p w14:paraId="1A5C620C" w14:textId="77777777" w:rsidR="00460F42" w:rsidRPr="00EC3A45" w:rsidRDefault="00460F42" w:rsidP="00EC3A45">
      <w:pPr>
        <w:pStyle w:val="NormalWeb"/>
        <w:jc w:val="both"/>
      </w:pPr>
      <w:r w:rsidRPr="00EC3A45">
        <w:t xml:space="preserve">Author(s) hereby declare that NO generative AI technologies such as Large Language Models (ChatGPT, COPILOT, etc.) and text-to-image generators have been used during the writing or editing of this manuscript. </w:t>
      </w:r>
    </w:p>
    <w:p w14:paraId="652A2C31" w14:textId="77777777" w:rsidR="00460F42" w:rsidRPr="00394842" w:rsidRDefault="00460F42" w:rsidP="00460F42">
      <w:pPr>
        <w:rPr>
          <w:highlight w:val="yellow"/>
        </w:rPr>
      </w:pPr>
    </w:p>
    <w:p w14:paraId="512EC064" w14:textId="77777777" w:rsidR="00295A34" w:rsidRPr="00610543" w:rsidRDefault="00295A34" w:rsidP="00295A3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610543">
        <w:rPr>
          <w:rFonts w:ascii="Times New Roman" w:hAnsi="Times New Roman" w:cs="Times New Roman"/>
          <w:b/>
          <w:bCs/>
          <w:sz w:val="32"/>
          <w:szCs w:val="32"/>
          <w:lang w:val="en-US"/>
        </w:rPr>
        <w:t>References:</w:t>
      </w:r>
    </w:p>
    <w:p w14:paraId="0997A1B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K. (2016). Technological advancements in silk reeling: A case study of modernization in sericulture. </w:t>
      </w:r>
      <w:r w:rsidRPr="000D312E">
        <w:rPr>
          <w:rFonts w:ascii="Times New Roman" w:eastAsia="Times New Roman" w:hAnsi="Times New Roman" w:cs="Times New Roman"/>
          <w:i/>
          <w:iCs/>
          <w:sz w:val="24"/>
          <w:szCs w:val="24"/>
          <w:lang w:val="en-US"/>
        </w:rPr>
        <w:t>Journal of Sericulture Research, 12</w:t>
      </w:r>
      <w:r w:rsidRPr="000D312E">
        <w:rPr>
          <w:rFonts w:ascii="Times New Roman" w:eastAsia="Times New Roman" w:hAnsi="Times New Roman" w:cs="Times New Roman"/>
          <w:sz w:val="24"/>
          <w:szCs w:val="24"/>
          <w:lang w:val="en-US"/>
        </w:rPr>
        <w:t>(3), 45–58.</w:t>
      </w:r>
    </w:p>
    <w:p w14:paraId="19236D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M. A., Hossain, M. S., &amp; Islam, M. S. (2016). Study on comparative reeling performance of multi-end reeling machine and cottage basin reeling machine for qualitative and quantitative improvement of raw silk production. </w:t>
      </w:r>
      <w:r w:rsidRPr="000D312E">
        <w:rPr>
          <w:rFonts w:ascii="Times New Roman" w:eastAsia="Times New Roman" w:hAnsi="Times New Roman" w:cs="Times New Roman"/>
          <w:i/>
          <w:iCs/>
          <w:sz w:val="24"/>
          <w:szCs w:val="24"/>
          <w:lang w:val="en-US"/>
        </w:rPr>
        <w:t>Elixir Applied Chemistry, 95</w:t>
      </w:r>
      <w:r w:rsidRPr="000D312E">
        <w:rPr>
          <w:rFonts w:ascii="Times New Roman" w:eastAsia="Times New Roman" w:hAnsi="Times New Roman" w:cs="Times New Roman"/>
          <w:sz w:val="24"/>
          <w:szCs w:val="24"/>
          <w:lang w:val="en-US"/>
        </w:rPr>
        <w:t>, 41180–41183.</w:t>
      </w:r>
    </w:p>
    <w:p w14:paraId="7F27E6C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Akahane, T., &amp; Tsubouchi, K. (1994). Reelability and water content of cocoon layer during the spinning stage. </w:t>
      </w:r>
      <w:r w:rsidRPr="000D312E">
        <w:rPr>
          <w:rFonts w:ascii="Times New Roman" w:eastAsia="Times New Roman" w:hAnsi="Times New Roman" w:cs="Times New Roman"/>
          <w:i/>
          <w:iCs/>
          <w:sz w:val="24"/>
          <w:szCs w:val="24"/>
          <w:lang w:val="en-US"/>
        </w:rPr>
        <w:t>Journal of Sericultural Science of Japan, 63</w:t>
      </w:r>
      <w:r w:rsidRPr="000D312E">
        <w:rPr>
          <w:rFonts w:ascii="Times New Roman" w:eastAsia="Times New Roman" w:hAnsi="Times New Roman" w:cs="Times New Roman"/>
          <w:sz w:val="24"/>
          <w:szCs w:val="24"/>
          <w:lang w:val="en-US"/>
        </w:rPr>
        <w:t>(3), 229–234.</w:t>
      </w:r>
    </w:p>
    <w:p w14:paraId="38CE01A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Akash, C., Kunal, S., Majumdar, M., &amp; Kumar, V. (2020). Studies on performances of bivoltine hybrids SK6 × SK7 and its reciprocal crosses during April crop in West Bengal. </w:t>
      </w:r>
      <w:r w:rsidRPr="000D312E">
        <w:rPr>
          <w:rFonts w:ascii="Times New Roman" w:eastAsia="Times New Roman" w:hAnsi="Times New Roman" w:cs="Times New Roman"/>
          <w:i/>
          <w:iCs/>
          <w:sz w:val="24"/>
          <w:szCs w:val="24"/>
          <w:lang w:val="en-US"/>
        </w:rPr>
        <w:t>International Journal of Advanced Research in Biological Sciences, 7</w:t>
      </w:r>
      <w:r w:rsidRPr="000D312E">
        <w:rPr>
          <w:rFonts w:ascii="Times New Roman" w:eastAsia="Times New Roman" w:hAnsi="Times New Roman" w:cs="Times New Roman"/>
          <w:sz w:val="24"/>
          <w:szCs w:val="24"/>
          <w:lang w:val="en-US"/>
        </w:rPr>
        <w:t>(6), 134–140.</w:t>
      </w:r>
    </w:p>
    <w:p w14:paraId="5222C3C7"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ASTM International. (2015). </w:t>
      </w:r>
      <w:r w:rsidRPr="000D312E">
        <w:rPr>
          <w:rFonts w:ascii="Times New Roman" w:eastAsia="Times New Roman" w:hAnsi="Times New Roman" w:cs="Times New Roman"/>
          <w:i/>
          <w:iCs/>
          <w:sz w:val="24"/>
          <w:szCs w:val="24"/>
          <w:lang w:val="en-US"/>
        </w:rPr>
        <w:t>ASTM D1776/1776M: Standard practice for conditioning and testing of textiles</w:t>
      </w:r>
      <w:r w:rsidRPr="000D312E">
        <w:rPr>
          <w:rFonts w:ascii="Times New Roman" w:eastAsia="Times New Roman" w:hAnsi="Times New Roman" w:cs="Times New Roman"/>
          <w:sz w:val="24"/>
          <w:szCs w:val="24"/>
          <w:lang w:val="en-US"/>
        </w:rPr>
        <w:t xml:space="preserve"> (pp. 418–422). ASTM International.</w:t>
      </w:r>
    </w:p>
    <w:p w14:paraId="1ABD8E2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Chakraborty, S. (2020). Sericulture development in West Bengal: Recent trends and challenges. </w:t>
      </w:r>
      <w:r w:rsidRPr="000D312E">
        <w:rPr>
          <w:rFonts w:ascii="Times New Roman" w:eastAsia="Times New Roman" w:hAnsi="Times New Roman" w:cs="Times New Roman"/>
          <w:i/>
          <w:iCs/>
          <w:sz w:val="24"/>
          <w:szCs w:val="24"/>
          <w:lang w:val="en-US"/>
        </w:rPr>
        <w:t>West Bengal State Government Report, 2023–24.</w:t>
      </w:r>
    </w:p>
    <w:p w14:paraId="75030E02"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(2018). Reeling efficiency and cocoon quality assessment in modern silk production units. </w:t>
      </w:r>
      <w:r w:rsidRPr="000D312E">
        <w:rPr>
          <w:rFonts w:ascii="Times New Roman" w:eastAsia="Times New Roman" w:hAnsi="Times New Roman" w:cs="Times New Roman"/>
          <w:i/>
          <w:iCs/>
          <w:sz w:val="24"/>
          <w:szCs w:val="24"/>
          <w:lang w:val="en-US"/>
        </w:rPr>
        <w:t>Indian Journal of Sericulture, 19</w:t>
      </w:r>
      <w:r w:rsidRPr="000D312E">
        <w:rPr>
          <w:rFonts w:ascii="Times New Roman" w:eastAsia="Times New Roman" w:hAnsi="Times New Roman" w:cs="Times New Roman"/>
          <w:sz w:val="24"/>
          <w:szCs w:val="24"/>
          <w:lang w:val="en-US"/>
        </w:rPr>
        <w:t>(2), 102–117.</w:t>
      </w:r>
    </w:p>
    <w:p w14:paraId="113D6A80"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Munshi, R., &amp; Chakravorty, D. (2018). Studies on the distribution of filament length and non-broken filament length for tropical tasar and muga silk cocoons vis-à-vis mulberry silk cocoons. </w:t>
      </w:r>
      <w:r w:rsidRPr="000D312E">
        <w:rPr>
          <w:rFonts w:ascii="Times New Roman" w:eastAsia="Times New Roman" w:hAnsi="Times New Roman" w:cs="Times New Roman"/>
          <w:i/>
          <w:iCs/>
          <w:sz w:val="24"/>
          <w:szCs w:val="24"/>
          <w:lang w:val="en-US"/>
        </w:rPr>
        <w:t>The Journal of the Textile Institute, 109</w:t>
      </w:r>
      <w:r w:rsidRPr="000D312E">
        <w:rPr>
          <w:rFonts w:ascii="Times New Roman" w:eastAsia="Times New Roman" w:hAnsi="Times New Roman" w:cs="Times New Roman"/>
          <w:sz w:val="24"/>
          <w:szCs w:val="24"/>
          <w:lang w:val="en-US"/>
        </w:rPr>
        <w:t>(2), 1–6.</w:t>
      </w:r>
    </w:p>
    <w:p w14:paraId="7C2B691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R., Das, S., Gulrajani, M. L., &amp; Sen, K. (1997). A study on the progressive change in characteristics of the bave (filament) along its length in mulberry and tasar cocoons. </w:t>
      </w:r>
      <w:r w:rsidRPr="000D312E">
        <w:rPr>
          <w:rFonts w:ascii="Times New Roman" w:eastAsia="Times New Roman" w:hAnsi="Times New Roman" w:cs="Times New Roman"/>
          <w:i/>
          <w:iCs/>
          <w:sz w:val="24"/>
          <w:szCs w:val="24"/>
          <w:lang w:val="en-US"/>
        </w:rPr>
        <w:t>Sericologia, 37</w:t>
      </w:r>
      <w:r w:rsidRPr="000D312E">
        <w:rPr>
          <w:rFonts w:ascii="Times New Roman" w:eastAsia="Times New Roman" w:hAnsi="Times New Roman" w:cs="Times New Roman"/>
          <w:sz w:val="24"/>
          <w:szCs w:val="24"/>
          <w:lang w:val="en-US"/>
        </w:rPr>
        <w:t>(2), 263–270.</w:t>
      </w:r>
    </w:p>
    <w:p w14:paraId="286AB6B3"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(2012). Hybridization in silkworm breeding: Enhancing quality and resilience in sericulture. </w:t>
      </w:r>
      <w:r w:rsidRPr="000D312E">
        <w:rPr>
          <w:rFonts w:ascii="Times New Roman" w:eastAsia="Times New Roman" w:hAnsi="Times New Roman" w:cs="Times New Roman"/>
          <w:i/>
          <w:iCs/>
          <w:sz w:val="24"/>
          <w:szCs w:val="24"/>
          <w:lang w:val="en-US"/>
        </w:rPr>
        <w:t>International Journal of Sericulture Studies, 9</w:t>
      </w:r>
      <w:r w:rsidRPr="000D312E">
        <w:rPr>
          <w:rFonts w:ascii="Times New Roman" w:eastAsia="Times New Roman" w:hAnsi="Times New Roman" w:cs="Times New Roman"/>
          <w:sz w:val="24"/>
          <w:szCs w:val="24"/>
          <w:lang w:val="en-US"/>
        </w:rPr>
        <w:t>(4), 55–73.</w:t>
      </w:r>
    </w:p>
    <w:p w14:paraId="20EFBEE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Kulkarni, S. B., Rao, P. R. M., Gopinath, O. K., &amp; Nirmal Kumar, S. (2011). Evaluation and selection of superior bivoltine hybrids of the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for tropics through large-scale in-house testing. </w:t>
      </w:r>
      <w:r w:rsidRPr="000D312E">
        <w:rPr>
          <w:rFonts w:ascii="Times New Roman" w:eastAsia="Times New Roman" w:hAnsi="Times New Roman" w:cs="Times New Roman"/>
          <w:i/>
          <w:iCs/>
          <w:sz w:val="24"/>
          <w:szCs w:val="24"/>
          <w:lang w:val="en-US"/>
        </w:rPr>
        <w:t>International Journal of Plant, Animal and Environmental Sciences, 1</w:t>
      </w:r>
      <w:r w:rsidRPr="000D312E">
        <w:rPr>
          <w:rFonts w:ascii="Times New Roman" w:eastAsia="Times New Roman" w:hAnsi="Times New Roman" w:cs="Times New Roman"/>
          <w:sz w:val="24"/>
          <w:szCs w:val="24"/>
          <w:lang w:val="en-US"/>
        </w:rPr>
        <w:t>(3), 16–22.</w:t>
      </w:r>
    </w:p>
    <w:p w14:paraId="287A8D04" w14:textId="5D3923CA" w:rsid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Gowda, B. N., &amp; Reddy, N. M. (2007). Influence of different environmental conditions on cocoon parameters and their effects on reeling performance of bivoltine hybrids of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w:t>
      </w:r>
      <w:r w:rsidRPr="000D312E">
        <w:rPr>
          <w:rFonts w:ascii="Times New Roman" w:eastAsia="Times New Roman" w:hAnsi="Times New Roman" w:cs="Times New Roman"/>
          <w:i/>
          <w:iCs/>
          <w:sz w:val="24"/>
          <w:szCs w:val="24"/>
          <w:lang w:val="en-US"/>
        </w:rPr>
        <w:t>International Journal of Industrial Entomology, 14</w:t>
      </w:r>
      <w:r w:rsidRPr="000D312E">
        <w:rPr>
          <w:rFonts w:ascii="Times New Roman" w:eastAsia="Times New Roman" w:hAnsi="Times New Roman" w:cs="Times New Roman"/>
          <w:sz w:val="24"/>
          <w:szCs w:val="24"/>
          <w:lang w:val="en-US"/>
        </w:rPr>
        <w:t>(1), 15–21.</w:t>
      </w:r>
    </w:p>
    <w:p w14:paraId="2D6F0307" w14:textId="2D542F24" w:rsidR="00D23326" w:rsidRPr="00D23326" w:rsidRDefault="00D23326"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D23326">
        <w:rPr>
          <w:rStyle w:val="Strong"/>
          <w:rFonts w:ascii="Times New Roman" w:hAnsi="Times New Roman" w:cs="Times New Roman"/>
          <w:b w:val="0"/>
          <w:bCs w:val="0"/>
          <w:sz w:val="24"/>
          <w:szCs w:val="24"/>
        </w:rPr>
        <w:lastRenderedPageBreak/>
        <w:t>Gowrisankar, R., Dasari, S., &amp; Anas, M. (2023).</w:t>
      </w:r>
      <w:r w:rsidRPr="00D23326">
        <w:rPr>
          <w:rFonts w:ascii="Times New Roman" w:hAnsi="Times New Roman" w:cs="Times New Roman"/>
          <w:sz w:val="24"/>
          <w:szCs w:val="24"/>
        </w:rPr>
        <w:t xml:space="preserve"> Silk reeling techniques: Exploring traditional and advanced methods. </w:t>
      </w:r>
      <w:r w:rsidRPr="00D23326">
        <w:rPr>
          <w:rStyle w:val="Emphasis"/>
          <w:rFonts w:ascii="Times New Roman" w:hAnsi="Times New Roman" w:cs="Times New Roman"/>
          <w:sz w:val="24"/>
          <w:szCs w:val="24"/>
        </w:rPr>
        <w:t>Journal of Experimental Agriculture International</w:t>
      </w:r>
      <w:r w:rsidRPr="00D23326">
        <w:rPr>
          <w:rFonts w:ascii="Times New Roman" w:hAnsi="Times New Roman" w:cs="Times New Roman"/>
          <w:sz w:val="24"/>
          <w:szCs w:val="24"/>
        </w:rPr>
        <w:t xml:space="preserve">, </w:t>
      </w:r>
      <w:r w:rsidRPr="00D23326">
        <w:rPr>
          <w:rStyle w:val="Emphasis"/>
          <w:rFonts w:ascii="Times New Roman" w:hAnsi="Times New Roman" w:cs="Times New Roman"/>
          <w:sz w:val="24"/>
          <w:szCs w:val="24"/>
        </w:rPr>
        <w:t>45</w:t>
      </w:r>
      <w:r w:rsidR="000536CF">
        <w:rPr>
          <w:rFonts w:ascii="Times New Roman" w:hAnsi="Times New Roman" w:cs="Times New Roman"/>
          <w:sz w:val="24"/>
          <w:szCs w:val="24"/>
        </w:rPr>
        <w:t>(9).</w:t>
      </w:r>
    </w:p>
    <w:p w14:paraId="00808CAD" w14:textId="4CC14488"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International Sericulture Research Institute. (2017). Advancements in reeling technology: The role of automation in silk production. </w:t>
      </w:r>
      <w:r w:rsidRPr="000D312E">
        <w:rPr>
          <w:rFonts w:ascii="Times New Roman" w:eastAsia="Times New Roman" w:hAnsi="Times New Roman" w:cs="Times New Roman"/>
          <w:i/>
          <w:iCs/>
          <w:sz w:val="24"/>
          <w:szCs w:val="24"/>
          <w:lang w:val="en-US"/>
        </w:rPr>
        <w:t>ISRI Technical Bulletin, 15</w:t>
      </w:r>
      <w:r w:rsidRPr="000D312E">
        <w:rPr>
          <w:rFonts w:ascii="Times New Roman" w:eastAsia="Times New Roman" w:hAnsi="Times New Roman" w:cs="Times New Roman"/>
          <w:sz w:val="24"/>
          <w:szCs w:val="24"/>
          <w:lang w:val="en-US"/>
        </w:rPr>
        <w:t>(1), 78–92.</w:t>
      </w:r>
    </w:p>
    <w:p w14:paraId="5EA1817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Iizuka, E. (1980). Structure of silk yarn: Biological and physical aspects, mechanism of silk spinning. In A. Gopal (Trans.), D. Mahadevappa (Ed.), </w:t>
      </w:r>
      <w:r w:rsidRPr="000D312E">
        <w:rPr>
          <w:rFonts w:ascii="Times New Roman" w:eastAsia="Times New Roman" w:hAnsi="Times New Roman" w:cs="Times New Roman"/>
          <w:i/>
          <w:iCs/>
          <w:sz w:val="24"/>
          <w:szCs w:val="24"/>
          <w:lang w:val="en-US"/>
        </w:rPr>
        <w:t>Tsuneda, Shinshu University</w:t>
      </w:r>
      <w:r w:rsidRPr="000D312E">
        <w:rPr>
          <w:rFonts w:ascii="Times New Roman" w:eastAsia="Times New Roman" w:hAnsi="Times New Roman" w:cs="Times New Roman"/>
          <w:sz w:val="24"/>
          <w:szCs w:val="24"/>
          <w:lang w:val="en-US"/>
        </w:rPr>
        <w:t xml:space="preserve"> (pp. 336–337). Matsumoto: Tsuneda.</w:t>
      </w:r>
    </w:p>
    <w:p w14:paraId="74F1A4E6" w14:textId="1B8037A2" w:rsid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Lee, Y. (1999). </w:t>
      </w:r>
      <w:r w:rsidRPr="000D312E">
        <w:rPr>
          <w:rFonts w:ascii="Times New Roman" w:eastAsia="Times New Roman" w:hAnsi="Times New Roman" w:cs="Times New Roman"/>
          <w:i/>
          <w:iCs/>
          <w:sz w:val="24"/>
          <w:szCs w:val="24"/>
          <w:lang w:val="en-US"/>
        </w:rPr>
        <w:t>Raw silk reeling: Reeling and testing manual</w:t>
      </w:r>
      <w:r w:rsidRPr="000D312E">
        <w:rPr>
          <w:rFonts w:ascii="Times New Roman" w:eastAsia="Times New Roman" w:hAnsi="Times New Roman" w:cs="Times New Roman"/>
          <w:sz w:val="24"/>
          <w:szCs w:val="24"/>
          <w:lang w:val="en-US"/>
        </w:rPr>
        <w:t xml:space="preserve"> (No. 136, p. 61). Food &amp; Agriculture Organization of the United Nations.</w:t>
      </w:r>
    </w:p>
    <w:p w14:paraId="377E271E" w14:textId="77777777" w:rsidR="006F5176" w:rsidRPr="004D512C" w:rsidRDefault="006F5176" w:rsidP="00273A6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4D512C">
        <w:rPr>
          <w:rStyle w:val="Strong"/>
          <w:rFonts w:ascii="Times New Roman" w:hAnsi="Times New Roman" w:cs="Times New Roman"/>
          <w:sz w:val="24"/>
          <w:szCs w:val="24"/>
        </w:rPr>
        <w:t>Marak, M., Singha, T. A., &amp; Saikia, D. (2024).</w:t>
      </w:r>
      <w:r w:rsidRPr="004D512C">
        <w:rPr>
          <w:rFonts w:ascii="Times New Roman" w:hAnsi="Times New Roman" w:cs="Times New Roman"/>
          <w:sz w:val="24"/>
          <w:szCs w:val="24"/>
        </w:rPr>
        <w:t xml:space="preserve"> Mechanization in sericulture: An overview. </w:t>
      </w:r>
      <w:r w:rsidRPr="004D512C">
        <w:rPr>
          <w:rStyle w:val="Emphasis"/>
          <w:rFonts w:ascii="Times New Roman" w:hAnsi="Times New Roman" w:cs="Times New Roman"/>
          <w:sz w:val="24"/>
          <w:szCs w:val="24"/>
        </w:rPr>
        <w:t>Journal of Advanced Biology &amp; Biotechnology</w:t>
      </w:r>
      <w:r w:rsidRPr="004D512C">
        <w:rPr>
          <w:rFonts w:ascii="Times New Roman" w:hAnsi="Times New Roman" w:cs="Times New Roman"/>
          <w:sz w:val="24"/>
          <w:szCs w:val="24"/>
        </w:rPr>
        <w:t xml:space="preserve">, </w:t>
      </w:r>
      <w:r w:rsidRPr="004D512C">
        <w:rPr>
          <w:rStyle w:val="Emphasis"/>
          <w:rFonts w:ascii="Times New Roman" w:hAnsi="Times New Roman" w:cs="Times New Roman"/>
          <w:sz w:val="24"/>
          <w:szCs w:val="24"/>
        </w:rPr>
        <w:t>27</w:t>
      </w:r>
      <w:r w:rsidRPr="004D512C">
        <w:rPr>
          <w:rFonts w:ascii="Times New Roman" w:hAnsi="Times New Roman" w:cs="Times New Roman"/>
          <w:sz w:val="24"/>
          <w:szCs w:val="24"/>
        </w:rPr>
        <w:t xml:space="preserve">(8), </w:t>
      </w:r>
      <w:r w:rsidRPr="004D512C">
        <w:rPr>
          <w:rFonts w:ascii="Times New Roman" w:eastAsia="Times New Roman" w:hAnsi="Times New Roman" w:cs="Times New Roman"/>
          <w:sz w:val="24"/>
          <w:szCs w:val="24"/>
          <w:lang w:val="en-US"/>
        </w:rPr>
        <w:t>820</w:t>
      </w:r>
      <w:r w:rsidRPr="004D512C">
        <w:rPr>
          <w:rFonts w:ascii="Times New Roman" w:hAnsi="Times New Roman" w:cs="Times New Roman"/>
          <w:sz w:val="24"/>
          <w:szCs w:val="24"/>
        </w:rPr>
        <w:t>–825</w:t>
      </w:r>
    </w:p>
    <w:p w14:paraId="755006F5" w14:textId="0C6FC8FC" w:rsidR="000D312E" w:rsidRPr="007D23EB" w:rsidRDefault="000D312E" w:rsidP="00273A6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7D23EB">
        <w:rPr>
          <w:rFonts w:ascii="Times New Roman" w:eastAsia="Times New Roman" w:hAnsi="Times New Roman" w:cs="Times New Roman"/>
          <w:sz w:val="24"/>
          <w:szCs w:val="24"/>
          <w:lang w:val="en-US"/>
        </w:rPr>
        <w:t xml:space="preserve">Naik, S. V., &amp; Somashekar, T. H. (2008). Influence of temperature and humidity maintained during cocoon spinning on reeling performance and quality of raw silk of Indian bivoltine hybrid cocoons. </w:t>
      </w:r>
      <w:r w:rsidRPr="007D23EB">
        <w:rPr>
          <w:rFonts w:ascii="Times New Roman" w:eastAsia="Times New Roman" w:hAnsi="Times New Roman" w:cs="Times New Roman"/>
          <w:i/>
          <w:iCs/>
          <w:sz w:val="24"/>
          <w:szCs w:val="24"/>
          <w:lang w:val="en-US"/>
        </w:rPr>
        <w:t>Sericologia, 48</w:t>
      </w:r>
      <w:r w:rsidRPr="007D23EB">
        <w:rPr>
          <w:rFonts w:ascii="Times New Roman" w:eastAsia="Times New Roman" w:hAnsi="Times New Roman" w:cs="Times New Roman"/>
          <w:sz w:val="24"/>
          <w:szCs w:val="24"/>
          <w:lang w:val="en-US"/>
        </w:rPr>
        <w:t>(4), 379–389.</w:t>
      </w:r>
    </w:p>
    <w:p w14:paraId="1A27EB8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Rahmatulla, V. (2012). Impact of climatic factors on silkworm rearing and cocoon production. </w:t>
      </w:r>
      <w:r w:rsidRPr="000D312E">
        <w:rPr>
          <w:rFonts w:ascii="Times New Roman" w:eastAsia="Times New Roman" w:hAnsi="Times New Roman" w:cs="Times New Roman"/>
          <w:i/>
          <w:iCs/>
          <w:sz w:val="24"/>
          <w:szCs w:val="24"/>
          <w:lang w:val="en-US"/>
        </w:rPr>
        <w:t>Sericulture Science Review, 8</w:t>
      </w:r>
      <w:r w:rsidRPr="000D312E">
        <w:rPr>
          <w:rFonts w:ascii="Times New Roman" w:eastAsia="Times New Roman" w:hAnsi="Times New Roman" w:cs="Times New Roman"/>
          <w:sz w:val="24"/>
          <w:szCs w:val="24"/>
          <w:lang w:val="en-US"/>
        </w:rPr>
        <w:t>(1), 33–49.</w:t>
      </w:r>
    </w:p>
    <w:p w14:paraId="0882692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Rahmathulla, V. K. (2012). Management of climatic factors for successful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crop and higher silk production: A review. </w:t>
      </w:r>
      <w:r w:rsidRPr="000D312E">
        <w:rPr>
          <w:rFonts w:ascii="Times New Roman" w:eastAsia="Times New Roman" w:hAnsi="Times New Roman" w:cs="Times New Roman"/>
          <w:i/>
          <w:iCs/>
          <w:sz w:val="24"/>
          <w:szCs w:val="24"/>
          <w:lang w:val="en-US"/>
        </w:rPr>
        <w:t>Psyche: A Journal of Entomology.</w:t>
      </w:r>
    </w:p>
    <w:p w14:paraId="0E08432D"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Ramesh, M., Patel, K., &amp; Singh, A. (2019). Optimization of reeling speeds for sustainable silk production. </w:t>
      </w:r>
      <w:r w:rsidRPr="000D312E">
        <w:rPr>
          <w:rFonts w:ascii="Times New Roman" w:eastAsia="Times New Roman" w:hAnsi="Times New Roman" w:cs="Times New Roman"/>
          <w:i/>
          <w:iCs/>
          <w:sz w:val="24"/>
          <w:szCs w:val="24"/>
          <w:lang w:val="en-US"/>
        </w:rPr>
        <w:t>Journal of Silk Technology, 14</w:t>
      </w:r>
      <w:r w:rsidRPr="000D312E">
        <w:rPr>
          <w:rFonts w:ascii="Times New Roman" w:eastAsia="Times New Roman" w:hAnsi="Times New Roman" w:cs="Times New Roman"/>
          <w:sz w:val="24"/>
          <w:szCs w:val="24"/>
          <w:lang w:val="en-US"/>
        </w:rPr>
        <w:t>(2), 112–126.</w:t>
      </w:r>
    </w:p>
    <w:p w14:paraId="6E05D88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Sericulture West Bengal. (n.d.). Silk production in West Bengal: Crop schedules and climatic adaptation. Retrieved from </w:t>
      </w:r>
      <w:hyperlink r:id="rId16" w:tgtFrame="_new" w:history="1">
        <w:r w:rsidRPr="000D312E">
          <w:rPr>
            <w:rFonts w:ascii="Times New Roman" w:eastAsia="Times New Roman" w:hAnsi="Times New Roman" w:cs="Times New Roman"/>
            <w:color w:val="0000FF"/>
            <w:sz w:val="24"/>
            <w:szCs w:val="24"/>
            <w:u w:val="single"/>
            <w:lang w:val="en-US"/>
          </w:rPr>
          <w:t>http://www.seriwb.gov.in</w:t>
        </w:r>
      </w:hyperlink>
    </w:p>
    <w:p w14:paraId="7151BD2A"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Silk Board Research Report. (2022). Performance assessment of different silkworm breeds for enhanced cocoon quality. </w:t>
      </w:r>
      <w:r w:rsidRPr="000D312E">
        <w:rPr>
          <w:rFonts w:ascii="Times New Roman" w:eastAsia="Times New Roman" w:hAnsi="Times New Roman" w:cs="Times New Roman"/>
          <w:i/>
          <w:iCs/>
          <w:sz w:val="24"/>
          <w:szCs w:val="24"/>
          <w:lang w:val="en-US"/>
        </w:rPr>
        <w:t>Central Silk Board, Government of India.</w:t>
      </w:r>
    </w:p>
    <w:p w14:paraId="67D2DE9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Somashekar, T. H., &amp; Kawakami, K. (2002). </w:t>
      </w:r>
      <w:r w:rsidRPr="000D312E">
        <w:rPr>
          <w:rFonts w:ascii="Times New Roman" w:eastAsia="Times New Roman" w:hAnsi="Times New Roman" w:cs="Times New Roman"/>
          <w:i/>
          <w:iCs/>
          <w:sz w:val="24"/>
          <w:szCs w:val="24"/>
          <w:lang w:val="en-US"/>
        </w:rPr>
        <w:t>Manual on bivoltine silk reeling technology</w:t>
      </w:r>
      <w:r w:rsidRPr="000D312E">
        <w:rPr>
          <w:rFonts w:ascii="Times New Roman" w:eastAsia="Times New Roman" w:hAnsi="Times New Roman" w:cs="Times New Roman"/>
          <w:sz w:val="24"/>
          <w:szCs w:val="24"/>
          <w:lang w:val="en-US"/>
        </w:rPr>
        <w:t xml:space="preserve"> (pp. 42–58). Central Silk Technological Research Institute, Central Silk Board.</w:t>
      </w:r>
    </w:p>
    <w:p w14:paraId="1FB1CA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Subhas, V., Naik, H., Hariraj, G., Takabayashi, C., Yoda, K., Nakajima, L., &amp; Ishii, H. (2022). </w:t>
      </w:r>
      <w:r w:rsidRPr="000D312E">
        <w:rPr>
          <w:rFonts w:ascii="Times New Roman" w:eastAsia="Times New Roman" w:hAnsi="Times New Roman" w:cs="Times New Roman"/>
          <w:i/>
          <w:iCs/>
          <w:sz w:val="24"/>
          <w:szCs w:val="24"/>
          <w:lang w:val="en-US"/>
        </w:rPr>
        <w:t>Cocoon testing: Manual of bivoltine silk reeling technology</w:t>
      </w:r>
      <w:r w:rsidRPr="000D312E">
        <w:rPr>
          <w:rFonts w:ascii="Times New Roman" w:eastAsia="Times New Roman" w:hAnsi="Times New Roman" w:cs="Times New Roman"/>
          <w:sz w:val="24"/>
          <w:szCs w:val="24"/>
          <w:lang w:val="en-US"/>
        </w:rPr>
        <w:t xml:space="preserve"> (pp. 10–22). Central Silk Technological Research Institute, Central Silk Board.</w:t>
      </w:r>
    </w:p>
    <w:p w14:paraId="02ADB353" w14:textId="77777777" w:rsidR="000C7182" w:rsidRDefault="000C7182" w:rsidP="003B2316">
      <w:pPr>
        <w:spacing w:before="100" w:beforeAutospacing="1" w:after="0" w:line="240" w:lineRule="auto"/>
        <w:ind w:left="720"/>
        <w:contextualSpacing/>
        <w:rPr>
          <w:rFonts w:ascii="Times New Roman" w:hAnsi="Times New Roman" w:cs="Times New Roman"/>
        </w:rPr>
      </w:pPr>
      <w:r w:rsidRPr="003B2316">
        <w:rPr>
          <w:rFonts w:ascii="Times New Roman" w:hAnsi="Times New Roman" w:cs="Times New Roman"/>
        </w:rPr>
        <w:br w:type="page"/>
      </w:r>
    </w:p>
    <w:sectPr w:rsidR="000C7182">
      <w:headerReference w:type="even" r:id="rId17"/>
      <w:head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4012" w14:textId="77777777" w:rsidR="00137F21" w:rsidRDefault="00137F21" w:rsidP="00AC75DD">
      <w:pPr>
        <w:spacing w:after="0" w:line="240" w:lineRule="auto"/>
      </w:pPr>
      <w:r>
        <w:separator/>
      </w:r>
    </w:p>
  </w:endnote>
  <w:endnote w:type="continuationSeparator" w:id="0">
    <w:p w14:paraId="70F72B45" w14:textId="77777777" w:rsidR="00137F21" w:rsidRDefault="00137F21" w:rsidP="00AC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0BE5" w14:textId="77777777" w:rsidR="00137F21" w:rsidRDefault="00137F21" w:rsidP="00AC75DD">
      <w:pPr>
        <w:spacing w:after="0" w:line="240" w:lineRule="auto"/>
      </w:pPr>
      <w:r>
        <w:separator/>
      </w:r>
    </w:p>
  </w:footnote>
  <w:footnote w:type="continuationSeparator" w:id="0">
    <w:p w14:paraId="09DD2CCB" w14:textId="77777777" w:rsidR="00137F21" w:rsidRDefault="00137F21" w:rsidP="00AC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7E78" w14:textId="6B164615" w:rsidR="00AC75DD" w:rsidRDefault="00000000">
    <w:pPr>
      <w:pStyle w:val="Header"/>
    </w:pPr>
    <w:r>
      <w:rPr>
        <w:noProof/>
      </w:rPr>
      <w:pict w14:anchorId="36977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6185" w14:textId="18CB1A44" w:rsidR="00AC75DD" w:rsidRDefault="00000000">
    <w:pPr>
      <w:pStyle w:val="Header"/>
    </w:pPr>
    <w:r>
      <w:rPr>
        <w:noProof/>
      </w:rPr>
      <w:pict w14:anchorId="128BD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C4A8" w14:textId="732C7101" w:rsidR="00AC75DD" w:rsidRDefault="00000000">
    <w:pPr>
      <w:pStyle w:val="Header"/>
    </w:pPr>
    <w:r>
      <w:rPr>
        <w:noProof/>
      </w:rPr>
      <w:pict w14:anchorId="27A15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B6AB1"/>
    <w:multiLevelType w:val="multilevel"/>
    <w:tmpl w:val="B944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23CB8"/>
    <w:multiLevelType w:val="multilevel"/>
    <w:tmpl w:val="46E2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B2340"/>
    <w:multiLevelType w:val="multilevel"/>
    <w:tmpl w:val="24E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A6211B"/>
    <w:multiLevelType w:val="multilevel"/>
    <w:tmpl w:val="6226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9155456">
    <w:abstractNumId w:val="0"/>
  </w:num>
  <w:num w:numId="2" w16cid:durableId="1739085104">
    <w:abstractNumId w:val="1"/>
  </w:num>
  <w:num w:numId="3" w16cid:durableId="648872228">
    <w:abstractNumId w:val="3"/>
  </w:num>
  <w:num w:numId="4" w16cid:durableId="16190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xMzUxNzCyMDW1NDJR0lEKTi0uzszPAykwrAUAy9a8GywAAAA="/>
  </w:docVars>
  <w:rsids>
    <w:rsidRoot w:val="00295A34"/>
    <w:rsid w:val="00023B60"/>
    <w:rsid w:val="000400FC"/>
    <w:rsid w:val="000536CF"/>
    <w:rsid w:val="00054B98"/>
    <w:rsid w:val="00077B1B"/>
    <w:rsid w:val="00095082"/>
    <w:rsid w:val="000A44D2"/>
    <w:rsid w:val="000B171C"/>
    <w:rsid w:val="000B3CB6"/>
    <w:rsid w:val="000B610B"/>
    <w:rsid w:val="000C7182"/>
    <w:rsid w:val="000D20FB"/>
    <w:rsid w:val="000D312E"/>
    <w:rsid w:val="001105B6"/>
    <w:rsid w:val="00137F21"/>
    <w:rsid w:val="001449D2"/>
    <w:rsid w:val="00165D7B"/>
    <w:rsid w:val="001705BF"/>
    <w:rsid w:val="0017102B"/>
    <w:rsid w:val="00171372"/>
    <w:rsid w:val="001720CA"/>
    <w:rsid w:val="00176438"/>
    <w:rsid w:val="001813ED"/>
    <w:rsid w:val="00197FC4"/>
    <w:rsid w:val="001A1BF1"/>
    <w:rsid w:val="001B6B22"/>
    <w:rsid w:val="001D0A36"/>
    <w:rsid w:val="001D6C26"/>
    <w:rsid w:val="001E6F9F"/>
    <w:rsid w:val="00204102"/>
    <w:rsid w:val="00211974"/>
    <w:rsid w:val="00221F93"/>
    <w:rsid w:val="002275AA"/>
    <w:rsid w:val="00236718"/>
    <w:rsid w:val="00237729"/>
    <w:rsid w:val="002514E6"/>
    <w:rsid w:val="00261AF1"/>
    <w:rsid w:val="002669C1"/>
    <w:rsid w:val="002809A3"/>
    <w:rsid w:val="002820EE"/>
    <w:rsid w:val="002879FA"/>
    <w:rsid w:val="00295A34"/>
    <w:rsid w:val="00296CEB"/>
    <w:rsid w:val="002B5EAA"/>
    <w:rsid w:val="002C0FA6"/>
    <w:rsid w:val="002C3AF1"/>
    <w:rsid w:val="002C7C31"/>
    <w:rsid w:val="002D4050"/>
    <w:rsid w:val="002E05E4"/>
    <w:rsid w:val="00312388"/>
    <w:rsid w:val="00317AC4"/>
    <w:rsid w:val="00360F14"/>
    <w:rsid w:val="003A5A33"/>
    <w:rsid w:val="003A5CE9"/>
    <w:rsid w:val="003B120D"/>
    <w:rsid w:val="003B2316"/>
    <w:rsid w:val="003D7A78"/>
    <w:rsid w:val="00437595"/>
    <w:rsid w:val="004452EE"/>
    <w:rsid w:val="00460F42"/>
    <w:rsid w:val="004867AC"/>
    <w:rsid w:val="004C72C5"/>
    <w:rsid w:val="004D0F5B"/>
    <w:rsid w:val="004D3829"/>
    <w:rsid w:val="004D512C"/>
    <w:rsid w:val="00540F8A"/>
    <w:rsid w:val="0055300E"/>
    <w:rsid w:val="00580103"/>
    <w:rsid w:val="005B1A1E"/>
    <w:rsid w:val="00610543"/>
    <w:rsid w:val="0062457D"/>
    <w:rsid w:val="006249EA"/>
    <w:rsid w:val="00642ADC"/>
    <w:rsid w:val="00643F96"/>
    <w:rsid w:val="00656AA5"/>
    <w:rsid w:val="00660FF6"/>
    <w:rsid w:val="0067210E"/>
    <w:rsid w:val="00676653"/>
    <w:rsid w:val="00676882"/>
    <w:rsid w:val="00695BB1"/>
    <w:rsid w:val="006F5176"/>
    <w:rsid w:val="00757B47"/>
    <w:rsid w:val="0078757A"/>
    <w:rsid w:val="00791FE7"/>
    <w:rsid w:val="007C6614"/>
    <w:rsid w:val="007D23EB"/>
    <w:rsid w:val="007F014B"/>
    <w:rsid w:val="0081425A"/>
    <w:rsid w:val="00824868"/>
    <w:rsid w:val="008566D5"/>
    <w:rsid w:val="00885EB5"/>
    <w:rsid w:val="008C425F"/>
    <w:rsid w:val="008F50F5"/>
    <w:rsid w:val="0090595D"/>
    <w:rsid w:val="00910DB3"/>
    <w:rsid w:val="009622C5"/>
    <w:rsid w:val="00967BE4"/>
    <w:rsid w:val="00995611"/>
    <w:rsid w:val="009B03D9"/>
    <w:rsid w:val="009D5310"/>
    <w:rsid w:val="00A4336F"/>
    <w:rsid w:val="00A610F7"/>
    <w:rsid w:val="00A760F1"/>
    <w:rsid w:val="00A77883"/>
    <w:rsid w:val="00A8428E"/>
    <w:rsid w:val="00A846FE"/>
    <w:rsid w:val="00A9524D"/>
    <w:rsid w:val="00AC75DD"/>
    <w:rsid w:val="00AD0FC0"/>
    <w:rsid w:val="00AD4124"/>
    <w:rsid w:val="00AD7490"/>
    <w:rsid w:val="00B25977"/>
    <w:rsid w:val="00B26A20"/>
    <w:rsid w:val="00B66B11"/>
    <w:rsid w:val="00BB19E3"/>
    <w:rsid w:val="00BC7B2F"/>
    <w:rsid w:val="00BE68A5"/>
    <w:rsid w:val="00C029D4"/>
    <w:rsid w:val="00C1132E"/>
    <w:rsid w:val="00C325E7"/>
    <w:rsid w:val="00C566E0"/>
    <w:rsid w:val="00C91981"/>
    <w:rsid w:val="00CB3C84"/>
    <w:rsid w:val="00CC5790"/>
    <w:rsid w:val="00CD5A1F"/>
    <w:rsid w:val="00CE523D"/>
    <w:rsid w:val="00D23326"/>
    <w:rsid w:val="00D55050"/>
    <w:rsid w:val="00DC7882"/>
    <w:rsid w:val="00DD07AD"/>
    <w:rsid w:val="00DE50A0"/>
    <w:rsid w:val="00DE6151"/>
    <w:rsid w:val="00E155E9"/>
    <w:rsid w:val="00E165B8"/>
    <w:rsid w:val="00E23F2B"/>
    <w:rsid w:val="00E301F0"/>
    <w:rsid w:val="00E42994"/>
    <w:rsid w:val="00E57372"/>
    <w:rsid w:val="00E96D21"/>
    <w:rsid w:val="00EC3A45"/>
    <w:rsid w:val="00EE7063"/>
    <w:rsid w:val="00F201AD"/>
    <w:rsid w:val="00F21149"/>
    <w:rsid w:val="00F36F52"/>
    <w:rsid w:val="00F638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B933C"/>
  <w15:chartTrackingRefBased/>
  <w15:docId w15:val="{E5C4BB9B-6388-4AA3-80CF-1F50D5F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34"/>
  </w:style>
  <w:style w:type="paragraph" w:styleId="Heading5">
    <w:name w:val="heading 5"/>
    <w:basedOn w:val="Normal"/>
    <w:link w:val="Heading5Char"/>
    <w:uiPriority w:val="9"/>
    <w:qFormat/>
    <w:rsid w:val="000D312E"/>
    <w:pPr>
      <w:spacing w:before="100" w:beforeAutospacing="1" w:after="100" w:afterAutospacing="1" w:line="240" w:lineRule="auto"/>
      <w:outlineLvl w:val="4"/>
    </w:pPr>
    <w:rPr>
      <w:rFonts w:ascii="Times New Roman" w:eastAsia="Times New Roman" w:hAnsi="Times New Roman" w:cs="Times New Roman"/>
      <w:b/>
      <w:bCs/>
      <w:sz w:val="20"/>
      <w:lang w:val="en-US"/>
    </w:rPr>
  </w:style>
  <w:style w:type="paragraph" w:styleId="Heading6">
    <w:name w:val="heading 6"/>
    <w:basedOn w:val="Normal"/>
    <w:link w:val="Heading6Char"/>
    <w:uiPriority w:val="9"/>
    <w:qFormat/>
    <w:rsid w:val="000D312E"/>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A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95A34"/>
    <w:rPr>
      <w:b/>
      <w:bCs/>
    </w:rPr>
  </w:style>
  <w:style w:type="character" w:styleId="Emphasis">
    <w:name w:val="Emphasis"/>
    <w:basedOn w:val="DefaultParagraphFont"/>
    <w:uiPriority w:val="20"/>
    <w:qFormat/>
    <w:rsid w:val="00295A34"/>
    <w:rPr>
      <w:i/>
      <w:iCs/>
    </w:rPr>
  </w:style>
  <w:style w:type="paragraph" w:styleId="BalloonText">
    <w:name w:val="Balloon Text"/>
    <w:basedOn w:val="Normal"/>
    <w:link w:val="BalloonTextChar"/>
    <w:uiPriority w:val="99"/>
    <w:semiHidden/>
    <w:unhideWhenUsed/>
    <w:rsid w:val="0067210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7210E"/>
    <w:rPr>
      <w:rFonts w:ascii="Segoe UI" w:hAnsi="Segoe UI" w:cs="Mangal"/>
      <w:sz w:val="18"/>
      <w:szCs w:val="16"/>
    </w:rPr>
  </w:style>
  <w:style w:type="character" w:styleId="PlaceholderText">
    <w:name w:val="Placeholder Text"/>
    <w:basedOn w:val="DefaultParagraphFont"/>
    <w:uiPriority w:val="99"/>
    <w:semiHidden/>
    <w:rsid w:val="00DD07AD"/>
    <w:rPr>
      <w:color w:val="808080"/>
    </w:rPr>
  </w:style>
  <w:style w:type="paragraph" w:styleId="Title">
    <w:name w:val="Title"/>
    <w:basedOn w:val="Normal"/>
    <w:next w:val="Normal"/>
    <w:link w:val="TitleChar"/>
    <w:uiPriority w:val="10"/>
    <w:qFormat/>
    <w:rsid w:val="001449D2"/>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449D2"/>
    <w:rPr>
      <w:rFonts w:asciiTheme="majorHAnsi" w:eastAsiaTheme="majorEastAsia" w:hAnsiTheme="majorHAnsi" w:cstheme="majorBidi"/>
      <w:spacing w:val="-10"/>
      <w:kern w:val="28"/>
      <w:sz w:val="56"/>
      <w:szCs w:val="50"/>
    </w:rPr>
  </w:style>
  <w:style w:type="character" w:customStyle="1" w:styleId="oxzekf">
    <w:name w:val="oxzekf"/>
    <w:basedOn w:val="DefaultParagraphFont"/>
    <w:rsid w:val="001E6F9F"/>
  </w:style>
  <w:style w:type="character" w:customStyle="1" w:styleId="uv3um">
    <w:name w:val="uv3um"/>
    <w:basedOn w:val="DefaultParagraphFont"/>
    <w:rsid w:val="001E6F9F"/>
  </w:style>
  <w:style w:type="character" w:styleId="Hyperlink">
    <w:name w:val="Hyperlink"/>
    <w:basedOn w:val="DefaultParagraphFont"/>
    <w:uiPriority w:val="99"/>
    <w:semiHidden/>
    <w:unhideWhenUsed/>
    <w:rsid w:val="000D312E"/>
    <w:rPr>
      <w:color w:val="0000FF"/>
      <w:u w:val="single"/>
    </w:rPr>
  </w:style>
  <w:style w:type="character" w:customStyle="1" w:styleId="Heading5Char">
    <w:name w:val="Heading 5 Char"/>
    <w:basedOn w:val="DefaultParagraphFont"/>
    <w:link w:val="Heading5"/>
    <w:uiPriority w:val="9"/>
    <w:rsid w:val="000D312E"/>
    <w:rPr>
      <w:rFonts w:ascii="Times New Roman" w:eastAsia="Times New Roman" w:hAnsi="Times New Roman" w:cs="Times New Roman"/>
      <w:b/>
      <w:bCs/>
      <w:sz w:val="20"/>
      <w:lang w:val="en-US"/>
    </w:rPr>
  </w:style>
  <w:style w:type="character" w:customStyle="1" w:styleId="Heading6Char">
    <w:name w:val="Heading 6 Char"/>
    <w:basedOn w:val="DefaultParagraphFont"/>
    <w:link w:val="Heading6"/>
    <w:uiPriority w:val="9"/>
    <w:rsid w:val="000D312E"/>
    <w:rPr>
      <w:rFonts w:ascii="Times New Roman" w:eastAsia="Times New Roman" w:hAnsi="Times New Roman" w:cs="Times New Roman"/>
      <w:b/>
      <w:bCs/>
      <w:sz w:val="15"/>
      <w:szCs w:val="15"/>
      <w:lang w:val="en-US"/>
    </w:rPr>
  </w:style>
  <w:style w:type="character" w:customStyle="1" w:styleId="overflow-hidden">
    <w:name w:val="overflow-hidden"/>
    <w:basedOn w:val="DefaultParagraphFont"/>
    <w:rsid w:val="000D312E"/>
  </w:style>
  <w:style w:type="paragraph" w:styleId="Header">
    <w:name w:val="header"/>
    <w:basedOn w:val="Normal"/>
    <w:link w:val="HeaderChar"/>
    <w:uiPriority w:val="99"/>
    <w:unhideWhenUsed/>
    <w:rsid w:val="00AC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DD"/>
  </w:style>
  <w:style w:type="paragraph" w:styleId="Footer">
    <w:name w:val="footer"/>
    <w:basedOn w:val="Normal"/>
    <w:link w:val="FooterChar"/>
    <w:uiPriority w:val="99"/>
    <w:unhideWhenUsed/>
    <w:rsid w:val="00AC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DD"/>
  </w:style>
  <w:style w:type="paragraph" w:styleId="ListParagraph">
    <w:name w:val="List Paragraph"/>
    <w:basedOn w:val="Normal"/>
    <w:uiPriority w:val="34"/>
    <w:qFormat/>
    <w:rsid w:val="007D23EB"/>
    <w:pPr>
      <w:ind w:left="720"/>
      <w:contextualSpacing/>
    </w:pPr>
  </w:style>
  <w:style w:type="character" w:styleId="FollowedHyperlink">
    <w:name w:val="FollowedHyperlink"/>
    <w:basedOn w:val="DefaultParagraphFont"/>
    <w:uiPriority w:val="99"/>
    <w:semiHidden/>
    <w:unhideWhenUsed/>
    <w:rsid w:val="007D23EB"/>
    <w:rPr>
      <w:color w:val="954F72" w:themeColor="followedHyperlink"/>
      <w:u w:val="single"/>
    </w:rPr>
  </w:style>
  <w:style w:type="character" w:styleId="CommentReference">
    <w:name w:val="annotation reference"/>
    <w:basedOn w:val="DefaultParagraphFont"/>
    <w:uiPriority w:val="99"/>
    <w:semiHidden/>
    <w:unhideWhenUsed/>
    <w:rsid w:val="00CE523D"/>
    <w:rPr>
      <w:sz w:val="16"/>
      <w:szCs w:val="16"/>
    </w:rPr>
  </w:style>
  <w:style w:type="paragraph" w:styleId="CommentText">
    <w:name w:val="annotation text"/>
    <w:basedOn w:val="Normal"/>
    <w:link w:val="CommentTextChar"/>
    <w:uiPriority w:val="99"/>
    <w:semiHidden/>
    <w:unhideWhenUsed/>
    <w:rsid w:val="00CE523D"/>
    <w:pPr>
      <w:spacing w:line="240" w:lineRule="auto"/>
    </w:pPr>
    <w:rPr>
      <w:sz w:val="20"/>
      <w:szCs w:val="18"/>
    </w:rPr>
  </w:style>
  <w:style w:type="character" w:customStyle="1" w:styleId="CommentTextChar">
    <w:name w:val="Comment Text Char"/>
    <w:basedOn w:val="DefaultParagraphFont"/>
    <w:link w:val="CommentText"/>
    <w:uiPriority w:val="99"/>
    <w:semiHidden/>
    <w:rsid w:val="00CE523D"/>
    <w:rPr>
      <w:sz w:val="20"/>
      <w:szCs w:val="18"/>
    </w:rPr>
  </w:style>
  <w:style w:type="paragraph" w:styleId="CommentSubject">
    <w:name w:val="annotation subject"/>
    <w:basedOn w:val="CommentText"/>
    <w:next w:val="CommentText"/>
    <w:link w:val="CommentSubjectChar"/>
    <w:uiPriority w:val="99"/>
    <w:semiHidden/>
    <w:unhideWhenUsed/>
    <w:rsid w:val="00CE523D"/>
    <w:rPr>
      <w:b/>
      <w:bCs/>
    </w:rPr>
  </w:style>
  <w:style w:type="character" w:customStyle="1" w:styleId="CommentSubjectChar">
    <w:name w:val="Comment Subject Char"/>
    <w:basedOn w:val="CommentTextChar"/>
    <w:link w:val="CommentSubject"/>
    <w:uiPriority w:val="99"/>
    <w:semiHidden/>
    <w:rsid w:val="00CE523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9083">
      <w:bodyDiv w:val="1"/>
      <w:marLeft w:val="0"/>
      <w:marRight w:val="0"/>
      <w:marTop w:val="0"/>
      <w:marBottom w:val="0"/>
      <w:divBdr>
        <w:top w:val="none" w:sz="0" w:space="0" w:color="auto"/>
        <w:left w:val="none" w:sz="0" w:space="0" w:color="auto"/>
        <w:bottom w:val="none" w:sz="0" w:space="0" w:color="auto"/>
        <w:right w:val="none" w:sz="0" w:space="0" w:color="auto"/>
      </w:divBdr>
    </w:div>
    <w:div w:id="53698300">
      <w:bodyDiv w:val="1"/>
      <w:marLeft w:val="0"/>
      <w:marRight w:val="0"/>
      <w:marTop w:val="0"/>
      <w:marBottom w:val="0"/>
      <w:divBdr>
        <w:top w:val="none" w:sz="0" w:space="0" w:color="auto"/>
        <w:left w:val="none" w:sz="0" w:space="0" w:color="auto"/>
        <w:bottom w:val="none" w:sz="0" w:space="0" w:color="auto"/>
        <w:right w:val="none" w:sz="0" w:space="0" w:color="auto"/>
      </w:divBdr>
      <w:divsChild>
        <w:div w:id="153574925">
          <w:marLeft w:val="0"/>
          <w:marRight w:val="0"/>
          <w:marTop w:val="0"/>
          <w:marBottom w:val="0"/>
          <w:divBdr>
            <w:top w:val="none" w:sz="0" w:space="0" w:color="auto"/>
            <w:left w:val="none" w:sz="0" w:space="0" w:color="auto"/>
            <w:bottom w:val="none" w:sz="0" w:space="0" w:color="auto"/>
            <w:right w:val="none" w:sz="0" w:space="0" w:color="auto"/>
          </w:divBdr>
          <w:divsChild>
            <w:div w:id="764618578">
              <w:marLeft w:val="0"/>
              <w:marRight w:val="0"/>
              <w:marTop w:val="0"/>
              <w:marBottom w:val="0"/>
              <w:divBdr>
                <w:top w:val="none" w:sz="0" w:space="0" w:color="auto"/>
                <w:left w:val="none" w:sz="0" w:space="0" w:color="auto"/>
                <w:bottom w:val="none" w:sz="0" w:space="0" w:color="auto"/>
                <w:right w:val="none" w:sz="0" w:space="0" w:color="auto"/>
              </w:divBdr>
              <w:divsChild>
                <w:div w:id="1124231430">
                  <w:marLeft w:val="0"/>
                  <w:marRight w:val="0"/>
                  <w:marTop w:val="0"/>
                  <w:marBottom w:val="0"/>
                  <w:divBdr>
                    <w:top w:val="none" w:sz="0" w:space="0" w:color="auto"/>
                    <w:left w:val="none" w:sz="0" w:space="0" w:color="auto"/>
                    <w:bottom w:val="none" w:sz="0" w:space="0" w:color="auto"/>
                    <w:right w:val="none" w:sz="0" w:space="0" w:color="auto"/>
                  </w:divBdr>
                </w:div>
                <w:div w:id="1594976154">
                  <w:marLeft w:val="0"/>
                  <w:marRight w:val="0"/>
                  <w:marTop w:val="0"/>
                  <w:marBottom w:val="0"/>
                  <w:divBdr>
                    <w:top w:val="none" w:sz="0" w:space="0" w:color="auto"/>
                    <w:left w:val="none" w:sz="0" w:space="0" w:color="auto"/>
                    <w:bottom w:val="none" w:sz="0" w:space="0" w:color="auto"/>
                    <w:right w:val="none" w:sz="0" w:space="0" w:color="auto"/>
                  </w:divBdr>
                  <w:divsChild>
                    <w:div w:id="369839695">
                      <w:marLeft w:val="0"/>
                      <w:marRight w:val="0"/>
                      <w:marTop w:val="0"/>
                      <w:marBottom w:val="0"/>
                      <w:divBdr>
                        <w:top w:val="none" w:sz="0" w:space="0" w:color="auto"/>
                        <w:left w:val="none" w:sz="0" w:space="0" w:color="auto"/>
                        <w:bottom w:val="none" w:sz="0" w:space="0" w:color="auto"/>
                        <w:right w:val="none" w:sz="0" w:space="0" w:color="auto"/>
                      </w:divBdr>
                      <w:divsChild>
                        <w:div w:id="203911373">
                          <w:marLeft w:val="0"/>
                          <w:marRight w:val="0"/>
                          <w:marTop w:val="0"/>
                          <w:marBottom w:val="0"/>
                          <w:divBdr>
                            <w:top w:val="none" w:sz="0" w:space="0" w:color="auto"/>
                            <w:left w:val="none" w:sz="0" w:space="0" w:color="auto"/>
                            <w:bottom w:val="none" w:sz="0" w:space="0" w:color="auto"/>
                            <w:right w:val="none" w:sz="0" w:space="0" w:color="auto"/>
                          </w:divBdr>
                          <w:divsChild>
                            <w:div w:id="7276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902993">
          <w:marLeft w:val="0"/>
          <w:marRight w:val="0"/>
          <w:marTop w:val="0"/>
          <w:marBottom w:val="0"/>
          <w:divBdr>
            <w:top w:val="none" w:sz="0" w:space="0" w:color="auto"/>
            <w:left w:val="none" w:sz="0" w:space="0" w:color="auto"/>
            <w:bottom w:val="none" w:sz="0" w:space="0" w:color="auto"/>
            <w:right w:val="none" w:sz="0" w:space="0" w:color="auto"/>
          </w:divBdr>
          <w:divsChild>
            <w:div w:id="22678095">
              <w:marLeft w:val="0"/>
              <w:marRight w:val="0"/>
              <w:marTop w:val="0"/>
              <w:marBottom w:val="0"/>
              <w:divBdr>
                <w:top w:val="none" w:sz="0" w:space="0" w:color="auto"/>
                <w:left w:val="none" w:sz="0" w:space="0" w:color="auto"/>
                <w:bottom w:val="none" w:sz="0" w:space="0" w:color="auto"/>
                <w:right w:val="none" w:sz="0" w:space="0" w:color="auto"/>
              </w:divBdr>
              <w:divsChild>
                <w:div w:id="1816096882">
                  <w:marLeft w:val="0"/>
                  <w:marRight w:val="0"/>
                  <w:marTop w:val="0"/>
                  <w:marBottom w:val="0"/>
                  <w:divBdr>
                    <w:top w:val="none" w:sz="0" w:space="0" w:color="auto"/>
                    <w:left w:val="none" w:sz="0" w:space="0" w:color="auto"/>
                    <w:bottom w:val="none" w:sz="0" w:space="0" w:color="auto"/>
                    <w:right w:val="none" w:sz="0" w:space="0" w:color="auto"/>
                  </w:divBdr>
                  <w:divsChild>
                    <w:div w:id="66655783">
                      <w:marLeft w:val="0"/>
                      <w:marRight w:val="0"/>
                      <w:marTop w:val="0"/>
                      <w:marBottom w:val="0"/>
                      <w:divBdr>
                        <w:top w:val="none" w:sz="0" w:space="0" w:color="auto"/>
                        <w:left w:val="none" w:sz="0" w:space="0" w:color="auto"/>
                        <w:bottom w:val="none" w:sz="0" w:space="0" w:color="auto"/>
                        <w:right w:val="none" w:sz="0" w:space="0" w:color="auto"/>
                      </w:divBdr>
                      <w:divsChild>
                        <w:div w:id="1656765237">
                          <w:marLeft w:val="0"/>
                          <w:marRight w:val="0"/>
                          <w:marTop w:val="0"/>
                          <w:marBottom w:val="0"/>
                          <w:divBdr>
                            <w:top w:val="none" w:sz="0" w:space="0" w:color="auto"/>
                            <w:left w:val="none" w:sz="0" w:space="0" w:color="auto"/>
                            <w:bottom w:val="none" w:sz="0" w:space="0" w:color="auto"/>
                            <w:right w:val="none" w:sz="0" w:space="0" w:color="auto"/>
                          </w:divBdr>
                          <w:divsChild>
                            <w:div w:id="1905292752">
                              <w:marLeft w:val="0"/>
                              <w:marRight w:val="0"/>
                              <w:marTop w:val="0"/>
                              <w:marBottom w:val="0"/>
                              <w:divBdr>
                                <w:top w:val="none" w:sz="0" w:space="0" w:color="auto"/>
                                <w:left w:val="none" w:sz="0" w:space="0" w:color="auto"/>
                                <w:bottom w:val="none" w:sz="0" w:space="0" w:color="auto"/>
                                <w:right w:val="none" w:sz="0" w:space="0" w:color="auto"/>
                              </w:divBdr>
                              <w:divsChild>
                                <w:div w:id="1282688995">
                                  <w:marLeft w:val="0"/>
                                  <w:marRight w:val="0"/>
                                  <w:marTop w:val="0"/>
                                  <w:marBottom w:val="0"/>
                                  <w:divBdr>
                                    <w:top w:val="none" w:sz="0" w:space="0" w:color="auto"/>
                                    <w:left w:val="none" w:sz="0" w:space="0" w:color="auto"/>
                                    <w:bottom w:val="none" w:sz="0" w:space="0" w:color="auto"/>
                                    <w:right w:val="none" w:sz="0" w:space="0" w:color="auto"/>
                                  </w:divBdr>
                                  <w:divsChild>
                                    <w:div w:id="1027756990">
                                      <w:marLeft w:val="0"/>
                                      <w:marRight w:val="0"/>
                                      <w:marTop w:val="0"/>
                                      <w:marBottom w:val="0"/>
                                      <w:divBdr>
                                        <w:top w:val="none" w:sz="0" w:space="0" w:color="auto"/>
                                        <w:left w:val="none" w:sz="0" w:space="0" w:color="auto"/>
                                        <w:bottom w:val="none" w:sz="0" w:space="0" w:color="auto"/>
                                        <w:right w:val="none" w:sz="0" w:space="0" w:color="auto"/>
                                      </w:divBdr>
                                      <w:divsChild>
                                        <w:div w:id="1151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746904">
          <w:marLeft w:val="0"/>
          <w:marRight w:val="0"/>
          <w:marTop w:val="0"/>
          <w:marBottom w:val="0"/>
          <w:divBdr>
            <w:top w:val="none" w:sz="0" w:space="0" w:color="auto"/>
            <w:left w:val="none" w:sz="0" w:space="0" w:color="auto"/>
            <w:bottom w:val="none" w:sz="0" w:space="0" w:color="auto"/>
            <w:right w:val="none" w:sz="0" w:space="0" w:color="auto"/>
          </w:divBdr>
          <w:divsChild>
            <w:div w:id="436024285">
              <w:marLeft w:val="0"/>
              <w:marRight w:val="0"/>
              <w:marTop w:val="0"/>
              <w:marBottom w:val="0"/>
              <w:divBdr>
                <w:top w:val="none" w:sz="0" w:space="0" w:color="auto"/>
                <w:left w:val="none" w:sz="0" w:space="0" w:color="auto"/>
                <w:bottom w:val="none" w:sz="0" w:space="0" w:color="auto"/>
                <w:right w:val="none" w:sz="0" w:space="0" w:color="auto"/>
              </w:divBdr>
              <w:divsChild>
                <w:div w:id="100495088">
                  <w:marLeft w:val="0"/>
                  <w:marRight w:val="0"/>
                  <w:marTop w:val="0"/>
                  <w:marBottom w:val="0"/>
                  <w:divBdr>
                    <w:top w:val="none" w:sz="0" w:space="0" w:color="auto"/>
                    <w:left w:val="none" w:sz="0" w:space="0" w:color="auto"/>
                    <w:bottom w:val="none" w:sz="0" w:space="0" w:color="auto"/>
                    <w:right w:val="none" w:sz="0" w:space="0" w:color="auto"/>
                  </w:divBdr>
                  <w:divsChild>
                    <w:div w:id="952786183">
                      <w:marLeft w:val="0"/>
                      <w:marRight w:val="0"/>
                      <w:marTop w:val="0"/>
                      <w:marBottom w:val="0"/>
                      <w:divBdr>
                        <w:top w:val="none" w:sz="0" w:space="0" w:color="auto"/>
                        <w:left w:val="none" w:sz="0" w:space="0" w:color="auto"/>
                        <w:bottom w:val="none" w:sz="0" w:space="0" w:color="auto"/>
                        <w:right w:val="none" w:sz="0" w:space="0" w:color="auto"/>
                      </w:divBdr>
                      <w:divsChild>
                        <w:div w:id="1154956097">
                          <w:marLeft w:val="0"/>
                          <w:marRight w:val="0"/>
                          <w:marTop w:val="0"/>
                          <w:marBottom w:val="0"/>
                          <w:divBdr>
                            <w:top w:val="none" w:sz="0" w:space="0" w:color="auto"/>
                            <w:left w:val="none" w:sz="0" w:space="0" w:color="auto"/>
                            <w:bottom w:val="none" w:sz="0" w:space="0" w:color="auto"/>
                            <w:right w:val="none" w:sz="0" w:space="0" w:color="auto"/>
                          </w:divBdr>
                          <w:divsChild>
                            <w:div w:id="225148385">
                              <w:marLeft w:val="0"/>
                              <w:marRight w:val="0"/>
                              <w:marTop w:val="0"/>
                              <w:marBottom w:val="0"/>
                              <w:divBdr>
                                <w:top w:val="none" w:sz="0" w:space="0" w:color="auto"/>
                                <w:left w:val="none" w:sz="0" w:space="0" w:color="auto"/>
                                <w:bottom w:val="none" w:sz="0" w:space="0" w:color="auto"/>
                                <w:right w:val="none" w:sz="0" w:space="0" w:color="auto"/>
                              </w:divBdr>
                              <w:divsChild>
                                <w:div w:id="1049962175">
                                  <w:marLeft w:val="0"/>
                                  <w:marRight w:val="0"/>
                                  <w:marTop w:val="0"/>
                                  <w:marBottom w:val="0"/>
                                  <w:divBdr>
                                    <w:top w:val="none" w:sz="0" w:space="0" w:color="auto"/>
                                    <w:left w:val="none" w:sz="0" w:space="0" w:color="auto"/>
                                    <w:bottom w:val="none" w:sz="0" w:space="0" w:color="auto"/>
                                    <w:right w:val="none" w:sz="0" w:space="0" w:color="auto"/>
                                  </w:divBdr>
                                  <w:divsChild>
                                    <w:div w:id="13477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5481">
                          <w:marLeft w:val="0"/>
                          <w:marRight w:val="0"/>
                          <w:marTop w:val="0"/>
                          <w:marBottom w:val="0"/>
                          <w:divBdr>
                            <w:top w:val="none" w:sz="0" w:space="0" w:color="auto"/>
                            <w:left w:val="none" w:sz="0" w:space="0" w:color="auto"/>
                            <w:bottom w:val="none" w:sz="0" w:space="0" w:color="auto"/>
                            <w:right w:val="none" w:sz="0" w:space="0" w:color="auto"/>
                          </w:divBdr>
                          <w:divsChild>
                            <w:div w:id="1591624691">
                              <w:marLeft w:val="0"/>
                              <w:marRight w:val="0"/>
                              <w:marTop w:val="0"/>
                              <w:marBottom w:val="0"/>
                              <w:divBdr>
                                <w:top w:val="none" w:sz="0" w:space="0" w:color="auto"/>
                                <w:left w:val="none" w:sz="0" w:space="0" w:color="auto"/>
                                <w:bottom w:val="none" w:sz="0" w:space="0" w:color="auto"/>
                                <w:right w:val="none" w:sz="0" w:space="0" w:color="auto"/>
                              </w:divBdr>
                              <w:divsChild>
                                <w:div w:id="584463262">
                                  <w:marLeft w:val="0"/>
                                  <w:marRight w:val="0"/>
                                  <w:marTop w:val="0"/>
                                  <w:marBottom w:val="0"/>
                                  <w:divBdr>
                                    <w:top w:val="none" w:sz="0" w:space="0" w:color="auto"/>
                                    <w:left w:val="none" w:sz="0" w:space="0" w:color="auto"/>
                                    <w:bottom w:val="none" w:sz="0" w:space="0" w:color="auto"/>
                                    <w:right w:val="none" w:sz="0" w:space="0" w:color="auto"/>
                                  </w:divBdr>
                                  <w:divsChild>
                                    <w:div w:id="969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90446">
          <w:marLeft w:val="0"/>
          <w:marRight w:val="0"/>
          <w:marTop w:val="0"/>
          <w:marBottom w:val="0"/>
          <w:divBdr>
            <w:top w:val="none" w:sz="0" w:space="0" w:color="auto"/>
            <w:left w:val="none" w:sz="0" w:space="0" w:color="auto"/>
            <w:bottom w:val="none" w:sz="0" w:space="0" w:color="auto"/>
            <w:right w:val="none" w:sz="0" w:space="0" w:color="auto"/>
          </w:divBdr>
          <w:divsChild>
            <w:div w:id="76246006">
              <w:marLeft w:val="0"/>
              <w:marRight w:val="0"/>
              <w:marTop w:val="0"/>
              <w:marBottom w:val="0"/>
              <w:divBdr>
                <w:top w:val="none" w:sz="0" w:space="0" w:color="auto"/>
                <w:left w:val="none" w:sz="0" w:space="0" w:color="auto"/>
                <w:bottom w:val="none" w:sz="0" w:space="0" w:color="auto"/>
                <w:right w:val="none" w:sz="0" w:space="0" w:color="auto"/>
              </w:divBdr>
              <w:divsChild>
                <w:div w:id="398752643">
                  <w:marLeft w:val="0"/>
                  <w:marRight w:val="0"/>
                  <w:marTop w:val="0"/>
                  <w:marBottom w:val="0"/>
                  <w:divBdr>
                    <w:top w:val="none" w:sz="0" w:space="0" w:color="auto"/>
                    <w:left w:val="none" w:sz="0" w:space="0" w:color="auto"/>
                    <w:bottom w:val="none" w:sz="0" w:space="0" w:color="auto"/>
                    <w:right w:val="none" w:sz="0" w:space="0" w:color="auto"/>
                  </w:divBdr>
                  <w:divsChild>
                    <w:div w:id="362751389">
                      <w:marLeft w:val="0"/>
                      <w:marRight w:val="0"/>
                      <w:marTop w:val="0"/>
                      <w:marBottom w:val="0"/>
                      <w:divBdr>
                        <w:top w:val="none" w:sz="0" w:space="0" w:color="auto"/>
                        <w:left w:val="none" w:sz="0" w:space="0" w:color="auto"/>
                        <w:bottom w:val="none" w:sz="0" w:space="0" w:color="auto"/>
                        <w:right w:val="none" w:sz="0" w:space="0" w:color="auto"/>
                      </w:divBdr>
                      <w:divsChild>
                        <w:div w:id="1973945652">
                          <w:marLeft w:val="0"/>
                          <w:marRight w:val="0"/>
                          <w:marTop w:val="0"/>
                          <w:marBottom w:val="0"/>
                          <w:divBdr>
                            <w:top w:val="none" w:sz="0" w:space="0" w:color="auto"/>
                            <w:left w:val="none" w:sz="0" w:space="0" w:color="auto"/>
                            <w:bottom w:val="none" w:sz="0" w:space="0" w:color="auto"/>
                            <w:right w:val="none" w:sz="0" w:space="0" w:color="auto"/>
                          </w:divBdr>
                          <w:divsChild>
                            <w:div w:id="1382704138">
                              <w:marLeft w:val="0"/>
                              <w:marRight w:val="0"/>
                              <w:marTop w:val="0"/>
                              <w:marBottom w:val="0"/>
                              <w:divBdr>
                                <w:top w:val="none" w:sz="0" w:space="0" w:color="auto"/>
                                <w:left w:val="none" w:sz="0" w:space="0" w:color="auto"/>
                                <w:bottom w:val="none" w:sz="0" w:space="0" w:color="auto"/>
                                <w:right w:val="none" w:sz="0" w:space="0" w:color="auto"/>
                              </w:divBdr>
                              <w:divsChild>
                                <w:div w:id="330647135">
                                  <w:marLeft w:val="0"/>
                                  <w:marRight w:val="0"/>
                                  <w:marTop w:val="0"/>
                                  <w:marBottom w:val="0"/>
                                  <w:divBdr>
                                    <w:top w:val="none" w:sz="0" w:space="0" w:color="auto"/>
                                    <w:left w:val="none" w:sz="0" w:space="0" w:color="auto"/>
                                    <w:bottom w:val="none" w:sz="0" w:space="0" w:color="auto"/>
                                    <w:right w:val="none" w:sz="0" w:space="0" w:color="auto"/>
                                  </w:divBdr>
                                  <w:divsChild>
                                    <w:div w:id="2102489680">
                                      <w:marLeft w:val="0"/>
                                      <w:marRight w:val="0"/>
                                      <w:marTop w:val="0"/>
                                      <w:marBottom w:val="0"/>
                                      <w:divBdr>
                                        <w:top w:val="none" w:sz="0" w:space="0" w:color="auto"/>
                                        <w:left w:val="none" w:sz="0" w:space="0" w:color="auto"/>
                                        <w:bottom w:val="none" w:sz="0" w:space="0" w:color="auto"/>
                                        <w:right w:val="none" w:sz="0" w:space="0" w:color="auto"/>
                                      </w:divBdr>
                                      <w:divsChild>
                                        <w:div w:id="889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2266">
          <w:marLeft w:val="0"/>
          <w:marRight w:val="0"/>
          <w:marTop w:val="0"/>
          <w:marBottom w:val="0"/>
          <w:divBdr>
            <w:top w:val="none" w:sz="0" w:space="0" w:color="auto"/>
            <w:left w:val="none" w:sz="0" w:space="0" w:color="auto"/>
            <w:bottom w:val="none" w:sz="0" w:space="0" w:color="auto"/>
            <w:right w:val="none" w:sz="0" w:space="0" w:color="auto"/>
          </w:divBdr>
          <w:divsChild>
            <w:div w:id="1911236101">
              <w:marLeft w:val="0"/>
              <w:marRight w:val="0"/>
              <w:marTop w:val="0"/>
              <w:marBottom w:val="0"/>
              <w:divBdr>
                <w:top w:val="none" w:sz="0" w:space="0" w:color="auto"/>
                <w:left w:val="none" w:sz="0" w:space="0" w:color="auto"/>
                <w:bottom w:val="none" w:sz="0" w:space="0" w:color="auto"/>
                <w:right w:val="none" w:sz="0" w:space="0" w:color="auto"/>
              </w:divBdr>
              <w:divsChild>
                <w:div w:id="1772967181">
                  <w:marLeft w:val="0"/>
                  <w:marRight w:val="0"/>
                  <w:marTop w:val="0"/>
                  <w:marBottom w:val="0"/>
                  <w:divBdr>
                    <w:top w:val="none" w:sz="0" w:space="0" w:color="auto"/>
                    <w:left w:val="none" w:sz="0" w:space="0" w:color="auto"/>
                    <w:bottom w:val="none" w:sz="0" w:space="0" w:color="auto"/>
                    <w:right w:val="none" w:sz="0" w:space="0" w:color="auto"/>
                  </w:divBdr>
                  <w:divsChild>
                    <w:div w:id="954992189">
                      <w:marLeft w:val="0"/>
                      <w:marRight w:val="0"/>
                      <w:marTop w:val="0"/>
                      <w:marBottom w:val="0"/>
                      <w:divBdr>
                        <w:top w:val="none" w:sz="0" w:space="0" w:color="auto"/>
                        <w:left w:val="none" w:sz="0" w:space="0" w:color="auto"/>
                        <w:bottom w:val="none" w:sz="0" w:space="0" w:color="auto"/>
                        <w:right w:val="none" w:sz="0" w:space="0" w:color="auto"/>
                      </w:divBdr>
                      <w:divsChild>
                        <w:div w:id="1671561364">
                          <w:marLeft w:val="0"/>
                          <w:marRight w:val="0"/>
                          <w:marTop w:val="0"/>
                          <w:marBottom w:val="0"/>
                          <w:divBdr>
                            <w:top w:val="none" w:sz="0" w:space="0" w:color="auto"/>
                            <w:left w:val="none" w:sz="0" w:space="0" w:color="auto"/>
                            <w:bottom w:val="none" w:sz="0" w:space="0" w:color="auto"/>
                            <w:right w:val="none" w:sz="0" w:space="0" w:color="auto"/>
                          </w:divBdr>
                          <w:divsChild>
                            <w:div w:id="612056147">
                              <w:marLeft w:val="0"/>
                              <w:marRight w:val="0"/>
                              <w:marTop w:val="0"/>
                              <w:marBottom w:val="0"/>
                              <w:divBdr>
                                <w:top w:val="none" w:sz="0" w:space="0" w:color="auto"/>
                                <w:left w:val="none" w:sz="0" w:space="0" w:color="auto"/>
                                <w:bottom w:val="none" w:sz="0" w:space="0" w:color="auto"/>
                                <w:right w:val="none" w:sz="0" w:space="0" w:color="auto"/>
                              </w:divBdr>
                              <w:divsChild>
                                <w:div w:id="1330979973">
                                  <w:marLeft w:val="0"/>
                                  <w:marRight w:val="0"/>
                                  <w:marTop w:val="0"/>
                                  <w:marBottom w:val="0"/>
                                  <w:divBdr>
                                    <w:top w:val="none" w:sz="0" w:space="0" w:color="auto"/>
                                    <w:left w:val="none" w:sz="0" w:space="0" w:color="auto"/>
                                    <w:bottom w:val="none" w:sz="0" w:space="0" w:color="auto"/>
                                    <w:right w:val="none" w:sz="0" w:space="0" w:color="auto"/>
                                  </w:divBdr>
                                  <w:divsChild>
                                    <w:div w:id="7923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77615">
      <w:bodyDiv w:val="1"/>
      <w:marLeft w:val="0"/>
      <w:marRight w:val="0"/>
      <w:marTop w:val="0"/>
      <w:marBottom w:val="0"/>
      <w:divBdr>
        <w:top w:val="none" w:sz="0" w:space="0" w:color="auto"/>
        <w:left w:val="none" w:sz="0" w:space="0" w:color="auto"/>
        <w:bottom w:val="none" w:sz="0" w:space="0" w:color="auto"/>
        <w:right w:val="none" w:sz="0" w:space="0" w:color="auto"/>
      </w:divBdr>
    </w:div>
    <w:div w:id="311564035">
      <w:bodyDiv w:val="1"/>
      <w:marLeft w:val="0"/>
      <w:marRight w:val="0"/>
      <w:marTop w:val="0"/>
      <w:marBottom w:val="0"/>
      <w:divBdr>
        <w:top w:val="none" w:sz="0" w:space="0" w:color="auto"/>
        <w:left w:val="none" w:sz="0" w:space="0" w:color="auto"/>
        <w:bottom w:val="none" w:sz="0" w:space="0" w:color="auto"/>
        <w:right w:val="none" w:sz="0" w:space="0" w:color="auto"/>
      </w:divBdr>
    </w:div>
    <w:div w:id="313264866">
      <w:bodyDiv w:val="1"/>
      <w:marLeft w:val="0"/>
      <w:marRight w:val="0"/>
      <w:marTop w:val="0"/>
      <w:marBottom w:val="0"/>
      <w:divBdr>
        <w:top w:val="none" w:sz="0" w:space="0" w:color="auto"/>
        <w:left w:val="none" w:sz="0" w:space="0" w:color="auto"/>
        <w:bottom w:val="none" w:sz="0" w:space="0" w:color="auto"/>
        <w:right w:val="none" w:sz="0" w:space="0" w:color="auto"/>
      </w:divBdr>
    </w:div>
    <w:div w:id="376438788">
      <w:bodyDiv w:val="1"/>
      <w:marLeft w:val="0"/>
      <w:marRight w:val="0"/>
      <w:marTop w:val="0"/>
      <w:marBottom w:val="0"/>
      <w:divBdr>
        <w:top w:val="none" w:sz="0" w:space="0" w:color="auto"/>
        <w:left w:val="none" w:sz="0" w:space="0" w:color="auto"/>
        <w:bottom w:val="none" w:sz="0" w:space="0" w:color="auto"/>
        <w:right w:val="none" w:sz="0" w:space="0" w:color="auto"/>
      </w:divBdr>
    </w:div>
    <w:div w:id="670254690">
      <w:bodyDiv w:val="1"/>
      <w:marLeft w:val="0"/>
      <w:marRight w:val="0"/>
      <w:marTop w:val="0"/>
      <w:marBottom w:val="0"/>
      <w:divBdr>
        <w:top w:val="none" w:sz="0" w:space="0" w:color="auto"/>
        <w:left w:val="none" w:sz="0" w:space="0" w:color="auto"/>
        <w:bottom w:val="none" w:sz="0" w:space="0" w:color="auto"/>
        <w:right w:val="none" w:sz="0" w:space="0" w:color="auto"/>
      </w:divBdr>
    </w:div>
    <w:div w:id="693186866">
      <w:bodyDiv w:val="1"/>
      <w:marLeft w:val="0"/>
      <w:marRight w:val="0"/>
      <w:marTop w:val="0"/>
      <w:marBottom w:val="0"/>
      <w:divBdr>
        <w:top w:val="none" w:sz="0" w:space="0" w:color="auto"/>
        <w:left w:val="none" w:sz="0" w:space="0" w:color="auto"/>
        <w:bottom w:val="none" w:sz="0" w:space="0" w:color="auto"/>
        <w:right w:val="none" w:sz="0" w:space="0" w:color="auto"/>
      </w:divBdr>
    </w:div>
    <w:div w:id="777917124">
      <w:bodyDiv w:val="1"/>
      <w:marLeft w:val="0"/>
      <w:marRight w:val="0"/>
      <w:marTop w:val="0"/>
      <w:marBottom w:val="0"/>
      <w:divBdr>
        <w:top w:val="none" w:sz="0" w:space="0" w:color="auto"/>
        <w:left w:val="none" w:sz="0" w:space="0" w:color="auto"/>
        <w:bottom w:val="none" w:sz="0" w:space="0" w:color="auto"/>
        <w:right w:val="none" w:sz="0" w:space="0" w:color="auto"/>
      </w:divBdr>
    </w:div>
    <w:div w:id="832838670">
      <w:bodyDiv w:val="1"/>
      <w:marLeft w:val="0"/>
      <w:marRight w:val="0"/>
      <w:marTop w:val="0"/>
      <w:marBottom w:val="0"/>
      <w:divBdr>
        <w:top w:val="none" w:sz="0" w:space="0" w:color="auto"/>
        <w:left w:val="none" w:sz="0" w:space="0" w:color="auto"/>
        <w:bottom w:val="none" w:sz="0" w:space="0" w:color="auto"/>
        <w:right w:val="none" w:sz="0" w:space="0" w:color="auto"/>
      </w:divBdr>
    </w:div>
    <w:div w:id="837575706">
      <w:bodyDiv w:val="1"/>
      <w:marLeft w:val="0"/>
      <w:marRight w:val="0"/>
      <w:marTop w:val="0"/>
      <w:marBottom w:val="0"/>
      <w:divBdr>
        <w:top w:val="none" w:sz="0" w:space="0" w:color="auto"/>
        <w:left w:val="none" w:sz="0" w:space="0" w:color="auto"/>
        <w:bottom w:val="none" w:sz="0" w:space="0" w:color="auto"/>
        <w:right w:val="none" w:sz="0" w:space="0" w:color="auto"/>
      </w:divBdr>
    </w:div>
    <w:div w:id="888686934">
      <w:bodyDiv w:val="1"/>
      <w:marLeft w:val="0"/>
      <w:marRight w:val="0"/>
      <w:marTop w:val="0"/>
      <w:marBottom w:val="0"/>
      <w:divBdr>
        <w:top w:val="none" w:sz="0" w:space="0" w:color="auto"/>
        <w:left w:val="none" w:sz="0" w:space="0" w:color="auto"/>
        <w:bottom w:val="none" w:sz="0" w:space="0" w:color="auto"/>
        <w:right w:val="none" w:sz="0" w:space="0" w:color="auto"/>
      </w:divBdr>
    </w:div>
    <w:div w:id="918517677">
      <w:bodyDiv w:val="1"/>
      <w:marLeft w:val="0"/>
      <w:marRight w:val="0"/>
      <w:marTop w:val="0"/>
      <w:marBottom w:val="0"/>
      <w:divBdr>
        <w:top w:val="none" w:sz="0" w:space="0" w:color="auto"/>
        <w:left w:val="none" w:sz="0" w:space="0" w:color="auto"/>
        <w:bottom w:val="none" w:sz="0" w:space="0" w:color="auto"/>
        <w:right w:val="none" w:sz="0" w:space="0" w:color="auto"/>
      </w:divBdr>
    </w:div>
    <w:div w:id="1043869911">
      <w:bodyDiv w:val="1"/>
      <w:marLeft w:val="0"/>
      <w:marRight w:val="0"/>
      <w:marTop w:val="0"/>
      <w:marBottom w:val="0"/>
      <w:divBdr>
        <w:top w:val="none" w:sz="0" w:space="0" w:color="auto"/>
        <w:left w:val="none" w:sz="0" w:space="0" w:color="auto"/>
        <w:bottom w:val="none" w:sz="0" w:space="0" w:color="auto"/>
        <w:right w:val="none" w:sz="0" w:space="0" w:color="auto"/>
      </w:divBdr>
    </w:div>
    <w:div w:id="1059937175">
      <w:bodyDiv w:val="1"/>
      <w:marLeft w:val="0"/>
      <w:marRight w:val="0"/>
      <w:marTop w:val="0"/>
      <w:marBottom w:val="0"/>
      <w:divBdr>
        <w:top w:val="none" w:sz="0" w:space="0" w:color="auto"/>
        <w:left w:val="none" w:sz="0" w:space="0" w:color="auto"/>
        <w:bottom w:val="none" w:sz="0" w:space="0" w:color="auto"/>
        <w:right w:val="none" w:sz="0" w:space="0" w:color="auto"/>
      </w:divBdr>
    </w:div>
    <w:div w:id="1550148765">
      <w:bodyDiv w:val="1"/>
      <w:marLeft w:val="0"/>
      <w:marRight w:val="0"/>
      <w:marTop w:val="0"/>
      <w:marBottom w:val="0"/>
      <w:divBdr>
        <w:top w:val="none" w:sz="0" w:space="0" w:color="auto"/>
        <w:left w:val="none" w:sz="0" w:space="0" w:color="auto"/>
        <w:bottom w:val="none" w:sz="0" w:space="0" w:color="auto"/>
        <w:right w:val="none" w:sz="0" w:space="0" w:color="auto"/>
      </w:divBdr>
    </w:div>
    <w:div w:id="1584484348">
      <w:bodyDiv w:val="1"/>
      <w:marLeft w:val="0"/>
      <w:marRight w:val="0"/>
      <w:marTop w:val="0"/>
      <w:marBottom w:val="0"/>
      <w:divBdr>
        <w:top w:val="none" w:sz="0" w:space="0" w:color="auto"/>
        <w:left w:val="none" w:sz="0" w:space="0" w:color="auto"/>
        <w:bottom w:val="none" w:sz="0" w:space="0" w:color="auto"/>
        <w:right w:val="none" w:sz="0" w:space="0" w:color="auto"/>
      </w:divBdr>
    </w:div>
    <w:div w:id="1618022937">
      <w:bodyDiv w:val="1"/>
      <w:marLeft w:val="0"/>
      <w:marRight w:val="0"/>
      <w:marTop w:val="0"/>
      <w:marBottom w:val="0"/>
      <w:divBdr>
        <w:top w:val="none" w:sz="0" w:space="0" w:color="auto"/>
        <w:left w:val="none" w:sz="0" w:space="0" w:color="auto"/>
        <w:bottom w:val="none" w:sz="0" w:space="0" w:color="auto"/>
        <w:right w:val="none" w:sz="0" w:space="0" w:color="auto"/>
      </w:divBdr>
    </w:div>
    <w:div w:id="1635912726">
      <w:bodyDiv w:val="1"/>
      <w:marLeft w:val="0"/>
      <w:marRight w:val="0"/>
      <w:marTop w:val="0"/>
      <w:marBottom w:val="0"/>
      <w:divBdr>
        <w:top w:val="none" w:sz="0" w:space="0" w:color="auto"/>
        <w:left w:val="none" w:sz="0" w:space="0" w:color="auto"/>
        <w:bottom w:val="none" w:sz="0" w:space="0" w:color="auto"/>
        <w:right w:val="none" w:sz="0" w:space="0" w:color="auto"/>
      </w:divBdr>
    </w:div>
    <w:div w:id="1696690335">
      <w:bodyDiv w:val="1"/>
      <w:marLeft w:val="0"/>
      <w:marRight w:val="0"/>
      <w:marTop w:val="0"/>
      <w:marBottom w:val="0"/>
      <w:divBdr>
        <w:top w:val="none" w:sz="0" w:space="0" w:color="auto"/>
        <w:left w:val="none" w:sz="0" w:space="0" w:color="auto"/>
        <w:bottom w:val="none" w:sz="0" w:space="0" w:color="auto"/>
        <w:right w:val="none" w:sz="0" w:space="0" w:color="auto"/>
      </w:divBdr>
    </w:div>
    <w:div w:id="1916435196">
      <w:bodyDiv w:val="1"/>
      <w:marLeft w:val="0"/>
      <w:marRight w:val="0"/>
      <w:marTop w:val="0"/>
      <w:marBottom w:val="0"/>
      <w:divBdr>
        <w:top w:val="none" w:sz="0" w:space="0" w:color="auto"/>
        <w:left w:val="none" w:sz="0" w:space="0" w:color="auto"/>
        <w:bottom w:val="none" w:sz="0" w:space="0" w:color="auto"/>
        <w:right w:val="none" w:sz="0" w:space="0" w:color="auto"/>
      </w:divBdr>
    </w:div>
    <w:div w:id="19478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Debasis-Chattopadhyay-2?_tp=eyJjb250ZXh0Ijp7ImZpcnN0UGFnZSI6InB1YmxpY2F0aW9uIiwicGFnZSI6InB1YmxpY2F0aW9uIiwicHJldmlvdXNQYWdlIjoiX2RpcmVjdCJ9fQ" TargetMode="Externa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rchgate.net/profile/Debasis-Chattopadhyay-2?_tp=eyJjb250ZXh0Ijp7ImZpcnN0UGFnZSI6InB1YmxpY2F0aW9uIiwicGFnZSI6InB1YmxpY2F0aW9uIiwicHJldmlvdXNQYWdlIjoiX2RpcmVjdCJ9fQ" TargetMode="Externa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riwb.gov.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www.preprints.org/manuscript/202503.0446/v1" TargetMode="Externa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baseline="0">
                <a:effectLst/>
                <a:latin typeface="Times New Roman" panose="02020603050405020304" pitchFamily="18" charset="0"/>
                <a:cs typeface="Times New Roman" panose="02020603050405020304" pitchFamily="18" charset="0"/>
              </a:rPr>
              <a:t>Figure 1: Filament legth distribution of bivoltine cocoons in different seasons</a:t>
            </a:r>
            <a:endParaRPr lang="en-IN"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'calculations &amp; Graphs'!$J$4</c:f>
              <c:strCache>
                <c:ptCount val="1"/>
                <c:pt idx="0">
                  <c:v>500-550</c:v>
                </c:pt>
              </c:strCache>
            </c:strRef>
          </c:tx>
          <c:spPr>
            <a:solidFill>
              <a:schemeClr val="accent1"/>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Graphs'!$K$4:$O$4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0-621D-445F-AC6E-55BD98468F25}"/>
            </c:ext>
          </c:extLst>
        </c:ser>
        <c:ser>
          <c:idx val="1"/>
          <c:order val="1"/>
          <c:tx>
            <c:strRef>
              <c:f>'calculations &amp; Graphs'!$J$5</c:f>
              <c:strCache>
                <c:ptCount val="1"/>
                <c:pt idx="0">
                  <c:v>550-600</c:v>
                </c:pt>
              </c:strCache>
            </c:strRef>
          </c:tx>
          <c:spPr>
            <a:solidFill>
              <a:schemeClr val="accent2"/>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Graphs'!$K$5:$O$5</c:f>
              <c:numCache>
                <c:formatCode>0</c:formatCode>
                <c:ptCount val="5"/>
                <c:pt idx="0">
                  <c:v>0</c:v>
                </c:pt>
                <c:pt idx="1">
                  <c:v>0</c:v>
                </c:pt>
                <c:pt idx="2">
                  <c:v>6</c:v>
                </c:pt>
                <c:pt idx="3">
                  <c:v>5</c:v>
                </c:pt>
                <c:pt idx="4">
                  <c:v>0</c:v>
                </c:pt>
              </c:numCache>
            </c:numRef>
          </c:val>
          <c:extLst>
            <c:ext xmlns:c16="http://schemas.microsoft.com/office/drawing/2014/chart" uri="{C3380CC4-5D6E-409C-BE32-E72D297353CC}">
              <c16:uniqueId val="{00000001-621D-445F-AC6E-55BD98468F25}"/>
            </c:ext>
          </c:extLst>
        </c:ser>
        <c:ser>
          <c:idx val="2"/>
          <c:order val="2"/>
          <c:tx>
            <c:strRef>
              <c:f>'calculations &amp; Graphs'!$J$6</c:f>
              <c:strCache>
                <c:ptCount val="1"/>
                <c:pt idx="0">
                  <c:v>600-650</c:v>
                </c:pt>
              </c:strCache>
            </c:strRef>
          </c:tx>
          <c:spPr>
            <a:solidFill>
              <a:schemeClr val="accent3"/>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Graphs'!$K$6:$O$6</c:f>
              <c:numCache>
                <c:formatCode>0</c:formatCode>
                <c:ptCount val="5"/>
                <c:pt idx="0">
                  <c:v>0</c:v>
                </c:pt>
                <c:pt idx="1">
                  <c:v>0</c:v>
                </c:pt>
                <c:pt idx="2">
                  <c:v>13</c:v>
                </c:pt>
                <c:pt idx="3">
                  <c:v>30</c:v>
                </c:pt>
                <c:pt idx="4">
                  <c:v>0</c:v>
                </c:pt>
              </c:numCache>
            </c:numRef>
          </c:val>
          <c:extLst>
            <c:ext xmlns:c16="http://schemas.microsoft.com/office/drawing/2014/chart" uri="{C3380CC4-5D6E-409C-BE32-E72D297353CC}">
              <c16:uniqueId val="{00000002-621D-445F-AC6E-55BD98468F25}"/>
            </c:ext>
          </c:extLst>
        </c:ser>
        <c:ser>
          <c:idx val="3"/>
          <c:order val="3"/>
          <c:tx>
            <c:strRef>
              <c:f>'calculations &amp; Graphs'!$J$7</c:f>
              <c:strCache>
                <c:ptCount val="1"/>
                <c:pt idx="0">
                  <c:v>650-700</c:v>
                </c:pt>
              </c:strCache>
            </c:strRef>
          </c:tx>
          <c:spPr>
            <a:solidFill>
              <a:schemeClr val="accent4"/>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Graphs'!$K$7:$O$7</c:f>
              <c:numCache>
                <c:formatCode>0</c:formatCode>
                <c:ptCount val="5"/>
                <c:pt idx="0">
                  <c:v>0</c:v>
                </c:pt>
                <c:pt idx="1">
                  <c:v>0</c:v>
                </c:pt>
                <c:pt idx="2">
                  <c:v>19</c:v>
                </c:pt>
                <c:pt idx="3">
                  <c:v>48</c:v>
                </c:pt>
                <c:pt idx="4">
                  <c:v>0</c:v>
                </c:pt>
              </c:numCache>
            </c:numRef>
          </c:val>
          <c:extLst>
            <c:ext xmlns:c16="http://schemas.microsoft.com/office/drawing/2014/chart" uri="{C3380CC4-5D6E-409C-BE32-E72D297353CC}">
              <c16:uniqueId val="{00000003-621D-445F-AC6E-55BD98468F25}"/>
            </c:ext>
          </c:extLst>
        </c:ser>
        <c:ser>
          <c:idx val="4"/>
          <c:order val="4"/>
          <c:tx>
            <c:strRef>
              <c:f>'calculations &amp; Graphs'!$J$8</c:f>
              <c:strCache>
                <c:ptCount val="1"/>
                <c:pt idx="0">
                  <c:v>700-750</c:v>
                </c:pt>
              </c:strCache>
            </c:strRef>
          </c:tx>
          <c:spPr>
            <a:solidFill>
              <a:schemeClr val="accent5"/>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Graphs'!$K$8:$O$8</c:f>
              <c:numCache>
                <c:formatCode>0</c:formatCode>
                <c:ptCount val="5"/>
                <c:pt idx="0">
                  <c:v>0</c:v>
                </c:pt>
                <c:pt idx="1">
                  <c:v>2</c:v>
                </c:pt>
                <c:pt idx="2">
                  <c:v>65</c:v>
                </c:pt>
                <c:pt idx="3">
                  <c:v>45</c:v>
                </c:pt>
                <c:pt idx="4">
                  <c:v>2</c:v>
                </c:pt>
              </c:numCache>
            </c:numRef>
          </c:val>
          <c:extLst>
            <c:ext xmlns:c16="http://schemas.microsoft.com/office/drawing/2014/chart" uri="{C3380CC4-5D6E-409C-BE32-E72D297353CC}">
              <c16:uniqueId val="{00000004-621D-445F-AC6E-55BD98468F25}"/>
            </c:ext>
          </c:extLst>
        </c:ser>
        <c:ser>
          <c:idx val="5"/>
          <c:order val="5"/>
          <c:tx>
            <c:strRef>
              <c:f>'calculations &amp; Graphs'!$J$9</c:f>
              <c:strCache>
                <c:ptCount val="1"/>
                <c:pt idx="0">
                  <c:v>750-800</c:v>
                </c:pt>
              </c:strCache>
            </c:strRef>
          </c:tx>
          <c:spPr>
            <a:solidFill>
              <a:schemeClr val="accent6"/>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Graphs'!$K$9:$O$9</c:f>
              <c:numCache>
                <c:formatCode>0</c:formatCode>
                <c:ptCount val="5"/>
                <c:pt idx="0">
                  <c:v>10</c:v>
                </c:pt>
                <c:pt idx="1">
                  <c:v>19</c:v>
                </c:pt>
                <c:pt idx="2">
                  <c:v>57</c:v>
                </c:pt>
                <c:pt idx="3">
                  <c:v>42</c:v>
                </c:pt>
                <c:pt idx="4">
                  <c:v>21</c:v>
                </c:pt>
              </c:numCache>
            </c:numRef>
          </c:val>
          <c:extLst>
            <c:ext xmlns:c16="http://schemas.microsoft.com/office/drawing/2014/chart" uri="{C3380CC4-5D6E-409C-BE32-E72D297353CC}">
              <c16:uniqueId val="{00000005-621D-445F-AC6E-55BD98468F25}"/>
            </c:ext>
          </c:extLst>
        </c:ser>
        <c:ser>
          <c:idx val="6"/>
          <c:order val="6"/>
          <c:tx>
            <c:strRef>
              <c:f>'calculations &amp; Graphs'!$J$10</c:f>
              <c:strCache>
                <c:ptCount val="1"/>
                <c:pt idx="0">
                  <c:v>800-850</c:v>
                </c:pt>
              </c:strCache>
            </c:strRef>
          </c:tx>
          <c:spPr>
            <a:solidFill>
              <a:schemeClr val="accent1">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Graphs'!$K$10:$O$10</c:f>
              <c:numCache>
                <c:formatCode>0</c:formatCode>
                <c:ptCount val="5"/>
                <c:pt idx="0">
                  <c:v>28</c:v>
                </c:pt>
                <c:pt idx="1">
                  <c:v>49</c:v>
                </c:pt>
                <c:pt idx="2">
                  <c:v>32</c:v>
                </c:pt>
                <c:pt idx="3">
                  <c:v>24</c:v>
                </c:pt>
                <c:pt idx="4">
                  <c:v>53</c:v>
                </c:pt>
              </c:numCache>
            </c:numRef>
          </c:val>
          <c:extLst>
            <c:ext xmlns:c16="http://schemas.microsoft.com/office/drawing/2014/chart" uri="{C3380CC4-5D6E-409C-BE32-E72D297353CC}">
              <c16:uniqueId val="{00000006-621D-445F-AC6E-55BD98468F25}"/>
            </c:ext>
          </c:extLst>
        </c:ser>
        <c:ser>
          <c:idx val="7"/>
          <c:order val="7"/>
          <c:tx>
            <c:strRef>
              <c:f>'calculations &amp; Graphs'!$J$11</c:f>
              <c:strCache>
                <c:ptCount val="1"/>
                <c:pt idx="0">
                  <c:v>850-900</c:v>
                </c:pt>
              </c:strCache>
            </c:strRef>
          </c:tx>
          <c:spPr>
            <a:solidFill>
              <a:schemeClr val="accent2">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Graphs'!$K$11:$O$11</c:f>
              <c:numCache>
                <c:formatCode>0</c:formatCode>
                <c:ptCount val="5"/>
                <c:pt idx="0">
                  <c:v>54</c:v>
                </c:pt>
                <c:pt idx="1">
                  <c:v>72</c:v>
                </c:pt>
                <c:pt idx="2">
                  <c:v>8</c:v>
                </c:pt>
                <c:pt idx="3">
                  <c:v>6</c:v>
                </c:pt>
                <c:pt idx="4">
                  <c:v>70</c:v>
                </c:pt>
              </c:numCache>
            </c:numRef>
          </c:val>
          <c:extLst>
            <c:ext xmlns:c16="http://schemas.microsoft.com/office/drawing/2014/chart" uri="{C3380CC4-5D6E-409C-BE32-E72D297353CC}">
              <c16:uniqueId val="{00000007-621D-445F-AC6E-55BD98468F25}"/>
            </c:ext>
          </c:extLst>
        </c:ser>
        <c:ser>
          <c:idx val="8"/>
          <c:order val="8"/>
          <c:tx>
            <c:strRef>
              <c:f>'calculations &amp; Graphs'!$J$12</c:f>
              <c:strCache>
                <c:ptCount val="1"/>
                <c:pt idx="0">
                  <c:v>900-950</c:v>
                </c:pt>
              </c:strCache>
            </c:strRef>
          </c:tx>
          <c:spPr>
            <a:solidFill>
              <a:schemeClr val="accent3">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Graphs'!$K$12:$O$12</c:f>
              <c:numCache>
                <c:formatCode>0</c:formatCode>
                <c:ptCount val="5"/>
                <c:pt idx="0">
                  <c:v>82</c:v>
                </c:pt>
                <c:pt idx="1">
                  <c:v>47</c:v>
                </c:pt>
                <c:pt idx="2">
                  <c:v>0</c:v>
                </c:pt>
                <c:pt idx="3">
                  <c:v>0</c:v>
                </c:pt>
                <c:pt idx="4">
                  <c:v>38</c:v>
                </c:pt>
              </c:numCache>
            </c:numRef>
          </c:val>
          <c:extLst>
            <c:ext xmlns:c16="http://schemas.microsoft.com/office/drawing/2014/chart" uri="{C3380CC4-5D6E-409C-BE32-E72D297353CC}">
              <c16:uniqueId val="{00000008-621D-445F-AC6E-55BD98468F25}"/>
            </c:ext>
          </c:extLst>
        </c:ser>
        <c:ser>
          <c:idx val="9"/>
          <c:order val="9"/>
          <c:tx>
            <c:strRef>
              <c:f>'calculations &amp; Graphs'!$J$13</c:f>
              <c:strCache>
                <c:ptCount val="1"/>
                <c:pt idx="0">
                  <c:v>950-1000</c:v>
                </c:pt>
              </c:strCache>
            </c:strRef>
          </c:tx>
          <c:spPr>
            <a:solidFill>
              <a:schemeClr val="accent4">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Graphs'!$K$13:$O$13</c:f>
              <c:numCache>
                <c:formatCode>0</c:formatCode>
                <c:ptCount val="5"/>
                <c:pt idx="0">
                  <c:v>26</c:v>
                </c:pt>
                <c:pt idx="1">
                  <c:v>11</c:v>
                </c:pt>
                <c:pt idx="2">
                  <c:v>0</c:v>
                </c:pt>
                <c:pt idx="3">
                  <c:v>0</c:v>
                </c:pt>
                <c:pt idx="4">
                  <c:v>16</c:v>
                </c:pt>
              </c:numCache>
            </c:numRef>
          </c:val>
          <c:extLst>
            <c:ext xmlns:c16="http://schemas.microsoft.com/office/drawing/2014/chart" uri="{C3380CC4-5D6E-409C-BE32-E72D297353CC}">
              <c16:uniqueId val="{00000009-621D-445F-AC6E-55BD98468F25}"/>
            </c:ext>
          </c:extLst>
        </c:ser>
        <c:ser>
          <c:idx val="10"/>
          <c:order val="10"/>
          <c:tx>
            <c:strRef>
              <c:f>'calculations &amp; Graphs'!$J$14</c:f>
              <c:strCache>
                <c:ptCount val="1"/>
                <c:pt idx="0">
                  <c:v>1000-1050</c:v>
                </c:pt>
              </c:strCache>
            </c:strRef>
          </c:tx>
          <c:spPr>
            <a:solidFill>
              <a:schemeClr val="accent5">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Graphs'!$K$14:$O$14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621D-445F-AC6E-55BD98468F25}"/>
            </c:ext>
          </c:extLst>
        </c:ser>
        <c:ser>
          <c:idx val="11"/>
          <c:order val="11"/>
          <c:tx>
            <c:strRef>
              <c:f>'calculations &amp; Graphs'!$J$15</c:f>
              <c:strCache>
                <c:ptCount val="1"/>
                <c:pt idx="0">
                  <c:v>1050-1100</c:v>
                </c:pt>
              </c:strCache>
            </c:strRef>
          </c:tx>
          <c:spPr>
            <a:solidFill>
              <a:schemeClr val="accent6">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Graphs'!$K$15:$O$15</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B-621D-445F-AC6E-55BD98468F25}"/>
            </c:ext>
          </c:extLst>
        </c:ser>
        <c:dLbls>
          <c:showLegendKey val="0"/>
          <c:showVal val="0"/>
          <c:showCatName val="0"/>
          <c:showSerName val="0"/>
          <c:showPercent val="0"/>
          <c:showBubbleSize val="0"/>
        </c:dLbls>
        <c:gapWidth val="219"/>
        <c:overlap val="-27"/>
        <c:axId val="441922976"/>
        <c:axId val="513948864"/>
      </c:barChart>
      <c:catAx>
        <c:axId val="44192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948864"/>
        <c:crosses val="autoZero"/>
        <c:auto val="1"/>
        <c:lblAlgn val="ctr"/>
        <c:lblOffset val="100"/>
        <c:noMultiLvlLbl val="0"/>
      </c:catAx>
      <c:valAx>
        <c:axId val="51394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2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2: Filament</a:t>
            </a:r>
            <a:r>
              <a:rPr lang="en-IN" baseline="0">
                <a:latin typeface="Times New Roman" panose="02020603050405020304" pitchFamily="18" charset="0"/>
                <a:cs typeface="Times New Roman" panose="02020603050405020304" pitchFamily="18" charset="0"/>
              </a:rPr>
              <a:t> legth distribution of m</a:t>
            </a:r>
            <a:r>
              <a:rPr lang="en-IN" sz="1400" b="0" i="0" u="none" strike="noStrike" baseline="0">
                <a:effectLst/>
                <a:latin typeface="Times New Roman" panose="02020603050405020304" pitchFamily="18" charset="0"/>
                <a:cs typeface="Times New Roman" panose="02020603050405020304" pitchFamily="18" charset="0"/>
              </a:rPr>
              <a:t>ulti-bi hybrid cocoons in different seasons</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'calculations &amp; Graphs'!$J$41</c:f>
              <c:strCache>
                <c:ptCount val="1"/>
                <c:pt idx="0">
                  <c:v>500-550</c:v>
                </c:pt>
              </c:strCache>
            </c:strRef>
          </c:tx>
          <c:spPr>
            <a:solidFill>
              <a:schemeClr val="accent1"/>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Graphs'!$K$41:$O$41</c:f>
              <c:numCache>
                <c:formatCode>0</c:formatCode>
                <c:ptCount val="5"/>
                <c:pt idx="0">
                  <c:v>0</c:v>
                </c:pt>
                <c:pt idx="1">
                  <c:v>0</c:v>
                </c:pt>
                <c:pt idx="2">
                  <c:v>9</c:v>
                </c:pt>
                <c:pt idx="3">
                  <c:v>6</c:v>
                </c:pt>
                <c:pt idx="4">
                  <c:v>0</c:v>
                </c:pt>
              </c:numCache>
            </c:numRef>
          </c:val>
          <c:extLst>
            <c:ext xmlns:c16="http://schemas.microsoft.com/office/drawing/2014/chart" uri="{C3380CC4-5D6E-409C-BE32-E72D297353CC}">
              <c16:uniqueId val="{00000000-D290-462C-9D44-4C332051CC84}"/>
            </c:ext>
          </c:extLst>
        </c:ser>
        <c:ser>
          <c:idx val="1"/>
          <c:order val="1"/>
          <c:tx>
            <c:strRef>
              <c:f>'calculations &amp; Graphs'!$J$42</c:f>
              <c:strCache>
                <c:ptCount val="1"/>
                <c:pt idx="0">
                  <c:v>550-600</c:v>
                </c:pt>
              </c:strCache>
            </c:strRef>
          </c:tx>
          <c:spPr>
            <a:solidFill>
              <a:schemeClr val="accent2"/>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Graphs'!$K$42:$O$42</c:f>
              <c:numCache>
                <c:formatCode>0</c:formatCode>
                <c:ptCount val="5"/>
                <c:pt idx="0">
                  <c:v>0</c:v>
                </c:pt>
                <c:pt idx="1">
                  <c:v>0</c:v>
                </c:pt>
                <c:pt idx="2">
                  <c:v>40</c:v>
                </c:pt>
                <c:pt idx="3">
                  <c:v>24</c:v>
                </c:pt>
                <c:pt idx="4">
                  <c:v>0</c:v>
                </c:pt>
              </c:numCache>
            </c:numRef>
          </c:val>
          <c:extLst>
            <c:ext xmlns:c16="http://schemas.microsoft.com/office/drawing/2014/chart" uri="{C3380CC4-5D6E-409C-BE32-E72D297353CC}">
              <c16:uniqueId val="{00000001-D290-462C-9D44-4C332051CC84}"/>
            </c:ext>
          </c:extLst>
        </c:ser>
        <c:ser>
          <c:idx val="2"/>
          <c:order val="2"/>
          <c:tx>
            <c:strRef>
              <c:f>'calculations &amp; Graphs'!$J$43</c:f>
              <c:strCache>
                <c:ptCount val="1"/>
                <c:pt idx="0">
                  <c:v>600-650</c:v>
                </c:pt>
              </c:strCache>
            </c:strRef>
          </c:tx>
          <c:spPr>
            <a:solidFill>
              <a:schemeClr val="accent3"/>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Graphs'!$K$43:$O$43</c:f>
              <c:numCache>
                <c:formatCode>0</c:formatCode>
                <c:ptCount val="5"/>
                <c:pt idx="0">
                  <c:v>0</c:v>
                </c:pt>
                <c:pt idx="1">
                  <c:v>12</c:v>
                </c:pt>
                <c:pt idx="2">
                  <c:v>64</c:v>
                </c:pt>
                <c:pt idx="3">
                  <c:v>66</c:v>
                </c:pt>
                <c:pt idx="4">
                  <c:v>29</c:v>
                </c:pt>
              </c:numCache>
            </c:numRef>
          </c:val>
          <c:extLst>
            <c:ext xmlns:c16="http://schemas.microsoft.com/office/drawing/2014/chart" uri="{C3380CC4-5D6E-409C-BE32-E72D297353CC}">
              <c16:uniqueId val="{00000002-D290-462C-9D44-4C332051CC84}"/>
            </c:ext>
          </c:extLst>
        </c:ser>
        <c:ser>
          <c:idx val="3"/>
          <c:order val="3"/>
          <c:tx>
            <c:strRef>
              <c:f>'calculations &amp; Graphs'!$J$44</c:f>
              <c:strCache>
                <c:ptCount val="1"/>
                <c:pt idx="0">
                  <c:v>650-700</c:v>
                </c:pt>
              </c:strCache>
            </c:strRef>
          </c:tx>
          <c:spPr>
            <a:solidFill>
              <a:schemeClr val="accent4"/>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Graphs'!$K$44:$O$44</c:f>
              <c:numCache>
                <c:formatCode>0</c:formatCode>
                <c:ptCount val="5"/>
                <c:pt idx="0">
                  <c:v>34</c:v>
                </c:pt>
                <c:pt idx="1">
                  <c:v>25</c:v>
                </c:pt>
                <c:pt idx="2">
                  <c:v>42</c:v>
                </c:pt>
                <c:pt idx="3">
                  <c:v>49</c:v>
                </c:pt>
                <c:pt idx="4">
                  <c:v>37</c:v>
                </c:pt>
              </c:numCache>
            </c:numRef>
          </c:val>
          <c:extLst>
            <c:ext xmlns:c16="http://schemas.microsoft.com/office/drawing/2014/chart" uri="{C3380CC4-5D6E-409C-BE32-E72D297353CC}">
              <c16:uniqueId val="{00000003-D290-462C-9D44-4C332051CC84}"/>
            </c:ext>
          </c:extLst>
        </c:ser>
        <c:ser>
          <c:idx val="4"/>
          <c:order val="4"/>
          <c:tx>
            <c:strRef>
              <c:f>'calculations &amp; Graphs'!$J$45</c:f>
              <c:strCache>
                <c:ptCount val="1"/>
                <c:pt idx="0">
                  <c:v>700-750</c:v>
                </c:pt>
              </c:strCache>
            </c:strRef>
          </c:tx>
          <c:spPr>
            <a:solidFill>
              <a:schemeClr val="accent5"/>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Graphs'!$K$45:$O$45</c:f>
              <c:numCache>
                <c:formatCode>0</c:formatCode>
                <c:ptCount val="5"/>
                <c:pt idx="0">
                  <c:v>58</c:v>
                </c:pt>
                <c:pt idx="1">
                  <c:v>64</c:v>
                </c:pt>
                <c:pt idx="2">
                  <c:v>33</c:v>
                </c:pt>
                <c:pt idx="3">
                  <c:v>34</c:v>
                </c:pt>
                <c:pt idx="4">
                  <c:v>71</c:v>
                </c:pt>
              </c:numCache>
            </c:numRef>
          </c:val>
          <c:extLst>
            <c:ext xmlns:c16="http://schemas.microsoft.com/office/drawing/2014/chart" uri="{C3380CC4-5D6E-409C-BE32-E72D297353CC}">
              <c16:uniqueId val="{00000004-D290-462C-9D44-4C332051CC84}"/>
            </c:ext>
          </c:extLst>
        </c:ser>
        <c:ser>
          <c:idx val="5"/>
          <c:order val="5"/>
          <c:tx>
            <c:strRef>
              <c:f>'calculations &amp; Graphs'!$J$46</c:f>
              <c:strCache>
                <c:ptCount val="1"/>
                <c:pt idx="0">
                  <c:v>750-800</c:v>
                </c:pt>
              </c:strCache>
            </c:strRef>
          </c:tx>
          <c:spPr>
            <a:solidFill>
              <a:schemeClr val="accent6"/>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Graphs'!$K$46:$O$46</c:f>
              <c:numCache>
                <c:formatCode>0</c:formatCode>
                <c:ptCount val="5"/>
                <c:pt idx="0">
                  <c:v>78</c:v>
                </c:pt>
                <c:pt idx="1">
                  <c:v>62</c:v>
                </c:pt>
                <c:pt idx="2">
                  <c:v>12</c:v>
                </c:pt>
                <c:pt idx="3">
                  <c:v>21</c:v>
                </c:pt>
                <c:pt idx="4">
                  <c:v>48</c:v>
                </c:pt>
              </c:numCache>
            </c:numRef>
          </c:val>
          <c:extLst>
            <c:ext xmlns:c16="http://schemas.microsoft.com/office/drawing/2014/chart" uri="{C3380CC4-5D6E-409C-BE32-E72D297353CC}">
              <c16:uniqueId val="{00000005-D290-462C-9D44-4C332051CC84}"/>
            </c:ext>
          </c:extLst>
        </c:ser>
        <c:ser>
          <c:idx val="6"/>
          <c:order val="6"/>
          <c:tx>
            <c:strRef>
              <c:f>'calculations &amp; Graphs'!$J$47</c:f>
              <c:strCache>
                <c:ptCount val="1"/>
                <c:pt idx="0">
                  <c:v>800-850</c:v>
                </c:pt>
              </c:strCache>
            </c:strRef>
          </c:tx>
          <c:spPr>
            <a:solidFill>
              <a:schemeClr val="accent1">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Graphs'!$K$47:$O$47</c:f>
              <c:numCache>
                <c:formatCode>0</c:formatCode>
                <c:ptCount val="5"/>
                <c:pt idx="0">
                  <c:v>26</c:v>
                </c:pt>
                <c:pt idx="1">
                  <c:v>31</c:v>
                </c:pt>
                <c:pt idx="2">
                  <c:v>0</c:v>
                </c:pt>
                <c:pt idx="3">
                  <c:v>0</c:v>
                </c:pt>
                <c:pt idx="4">
                  <c:v>15</c:v>
                </c:pt>
              </c:numCache>
            </c:numRef>
          </c:val>
          <c:extLst>
            <c:ext xmlns:c16="http://schemas.microsoft.com/office/drawing/2014/chart" uri="{C3380CC4-5D6E-409C-BE32-E72D297353CC}">
              <c16:uniqueId val="{00000006-D290-462C-9D44-4C332051CC84}"/>
            </c:ext>
          </c:extLst>
        </c:ser>
        <c:ser>
          <c:idx val="7"/>
          <c:order val="7"/>
          <c:tx>
            <c:strRef>
              <c:f>'calculations &amp; Graphs'!$J$48</c:f>
              <c:strCache>
                <c:ptCount val="1"/>
                <c:pt idx="0">
                  <c:v>850-900</c:v>
                </c:pt>
              </c:strCache>
            </c:strRef>
          </c:tx>
          <c:spPr>
            <a:solidFill>
              <a:schemeClr val="accent2">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Graphs'!$K$48:$O$48</c:f>
              <c:numCache>
                <c:formatCode>0</c:formatCode>
                <c:ptCount val="5"/>
                <c:pt idx="0">
                  <c:v>4</c:v>
                </c:pt>
                <c:pt idx="1">
                  <c:v>6</c:v>
                </c:pt>
                <c:pt idx="2">
                  <c:v>0</c:v>
                </c:pt>
                <c:pt idx="3">
                  <c:v>0</c:v>
                </c:pt>
                <c:pt idx="4">
                  <c:v>0</c:v>
                </c:pt>
              </c:numCache>
            </c:numRef>
          </c:val>
          <c:extLst>
            <c:ext xmlns:c16="http://schemas.microsoft.com/office/drawing/2014/chart" uri="{C3380CC4-5D6E-409C-BE32-E72D297353CC}">
              <c16:uniqueId val="{00000007-D290-462C-9D44-4C332051CC84}"/>
            </c:ext>
          </c:extLst>
        </c:ser>
        <c:ser>
          <c:idx val="8"/>
          <c:order val="8"/>
          <c:tx>
            <c:strRef>
              <c:f>'calculations &amp; Graphs'!$J$49</c:f>
              <c:strCache>
                <c:ptCount val="1"/>
                <c:pt idx="0">
                  <c:v>900-950</c:v>
                </c:pt>
              </c:strCache>
            </c:strRef>
          </c:tx>
          <c:spPr>
            <a:solidFill>
              <a:schemeClr val="accent3">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Graphs'!$K$49:$O$49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290-462C-9D44-4C332051CC84}"/>
            </c:ext>
          </c:extLst>
        </c:ser>
        <c:ser>
          <c:idx val="9"/>
          <c:order val="9"/>
          <c:tx>
            <c:strRef>
              <c:f>'calculations &amp; Graphs'!$J$50</c:f>
              <c:strCache>
                <c:ptCount val="1"/>
                <c:pt idx="0">
                  <c:v>950-1000</c:v>
                </c:pt>
              </c:strCache>
            </c:strRef>
          </c:tx>
          <c:spPr>
            <a:solidFill>
              <a:schemeClr val="accent4">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Graphs'!$K$50:$O$50</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290-462C-9D44-4C332051CC84}"/>
            </c:ext>
          </c:extLst>
        </c:ser>
        <c:ser>
          <c:idx val="10"/>
          <c:order val="10"/>
          <c:tx>
            <c:strRef>
              <c:f>'calculations &amp; Graphs'!$J$51</c:f>
              <c:strCache>
                <c:ptCount val="1"/>
                <c:pt idx="0">
                  <c:v>1000-1050</c:v>
                </c:pt>
              </c:strCache>
            </c:strRef>
          </c:tx>
          <c:spPr>
            <a:solidFill>
              <a:schemeClr val="accent5">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Graphs'!$K$51:$O$51</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290-462C-9D44-4C332051CC84}"/>
            </c:ext>
          </c:extLst>
        </c:ser>
        <c:dLbls>
          <c:showLegendKey val="0"/>
          <c:showVal val="0"/>
          <c:showCatName val="0"/>
          <c:showSerName val="0"/>
          <c:showPercent val="0"/>
          <c:showBubbleSize val="0"/>
        </c:dLbls>
        <c:gapWidth val="219"/>
        <c:overlap val="-27"/>
        <c:axId val="505379384"/>
        <c:axId val="505377088"/>
      </c:barChart>
      <c:catAx>
        <c:axId val="50537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7088"/>
        <c:crosses val="autoZero"/>
        <c:auto val="1"/>
        <c:lblAlgn val="ctr"/>
        <c:lblOffset val="100"/>
        <c:noMultiLvlLbl val="0"/>
      </c:catAx>
      <c:valAx>
        <c:axId val="505377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Figure 3: NBFL distribution of bivoltine cocoons in different seasons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Graphs'!$J$23</c:f>
              <c:strCache>
                <c:ptCount val="1"/>
                <c:pt idx="0">
                  <c:v>500-550</c:v>
                </c:pt>
              </c:strCache>
            </c:strRef>
          </c:tx>
          <c:spPr>
            <a:solidFill>
              <a:schemeClr val="accent1"/>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Graphs'!$K$23:$O$23</c:f>
              <c:numCache>
                <c:formatCode>0</c:formatCode>
                <c:ptCount val="5"/>
                <c:pt idx="0">
                  <c:v>0</c:v>
                </c:pt>
                <c:pt idx="1">
                  <c:v>0</c:v>
                </c:pt>
                <c:pt idx="2">
                  <c:v>15</c:v>
                </c:pt>
                <c:pt idx="3">
                  <c:v>20</c:v>
                </c:pt>
                <c:pt idx="4">
                  <c:v>0</c:v>
                </c:pt>
              </c:numCache>
            </c:numRef>
          </c:val>
          <c:extLst>
            <c:ext xmlns:c16="http://schemas.microsoft.com/office/drawing/2014/chart" uri="{C3380CC4-5D6E-409C-BE32-E72D297353CC}">
              <c16:uniqueId val="{00000000-510B-421C-BBDE-A4FAC4A8ED1E}"/>
            </c:ext>
          </c:extLst>
        </c:ser>
        <c:ser>
          <c:idx val="1"/>
          <c:order val="1"/>
          <c:tx>
            <c:strRef>
              <c:f>'calculations &amp; Graphs'!$J$24</c:f>
              <c:strCache>
                <c:ptCount val="1"/>
                <c:pt idx="0">
                  <c:v>550-600</c:v>
                </c:pt>
              </c:strCache>
            </c:strRef>
          </c:tx>
          <c:spPr>
            <a:solidFill>
              <a:schemeClr val="accent2"/>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Graphs'!$K$24:$O$24</c:f>
              <c:numCache>
                <c:formatCode>0</c:formatCode>
                <c:ptCount val="5"/>
                <c:pt idx="0">
                  <c:v>0</c:v>
                </c:pt>
                <c:pt idx="1">
                  <c:v>0</c:v>
                </c:pt>
                <c:pt idx="2">
                  <c:v>25</c:v>
                </c:pt>
                <c:pt idx="3">
                  <c:v>20</c:v>
                </c:pt>
                <c:pt idx="4">
                  <c:v>0</c:v>
                </c:pt>
              </c:numCache>
            </c:numRef>
          </c:val>
          <c:extLst>
            <c:ext xmlns:c16="http://schemas.microsoft.com/office/drawing/2014/chart" uri="{C3380CC4-5D6E-409C-BE32-E72D297353CC}">
              <c16:uniqueId val="{00000001-510B-421C-BBDE-A4FAC4A8ED1E}"/>
            </c:ext>
          </c:extLst>
        </c:ser>
        <c:ser>
          <c:idx val="2"/>
          <c:order val="2"/>
          <c:tx>
            <c:strRef>
              <c:f>'calculations &amp; Graphs'!$J$25</c:f>
              <c:strCache>
                <c:ptCount val="1"/>
                <c:pt idx="0">
                  <c:v>600-650</c:v>
                </c:pt>
              </c:strCache>
            </c:strRef>
          </c:tx>
          <c:spPr>
            <a:solidFill>
              <a:schemeClr val="accent3"/>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Graphs'!$K$25:$O$25</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2-510B-421C-BBDE-A4FAC4A8ED1E}"/>
            </c:ext>
          </c:extLst>
        </c:ser>
        <c:ser>
          <c:idx val="3"/>
          <c:order val="3"/>
          <c:tx>
            <c:strRef>
              <c:f>'calculations &amp; Graphs'!$J$26</c:f>
              <c:strCache>
                <c:ptCount val="1"/>
                <c:pt idx="0">
                  <c:v>650-700</c:v>
                </c:pt>
              </c:strCache>
            </c:strRef>
          </c:tx>
          <c:spPr>
            <a:solidFill>
              <a:schemeClr val="accent4"/>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Graphs'!$K$26:$O$26</c:f>
              <c:numCache>
                <c:formatCode>0</c:formatCode>
                <c:ptCount val="5"/>
                <c:pt idx="0">
                  <c:v>0</c:v>
                </c:pt>
                <c:pt idx="1">
                  <c:v>10</c:v>
                </c:pt>
                <c:pt idx="2">
                  <c:v>40</c:v>
                </c:pt>
                <c:pt idx="3">
                  <c:v>42</c:v>
                </c:pt>
                <c:pt idx="4">
                  <c:v>0</c:v>
                </c:pt>
              </c:numCache>
            </c:numRef>
          </c:val>
          <c:extLst>
            <c:ext xmlns:c16="http://schemas.microsoft.com/office/drawing/2014/chart" uri="{C3380CC4-5D6E-409C-BE32-E72D297353CC}">
              <c16:uniqueId val="{00000003-510B-421C-BBDE-A4FAC4A8ED1E}"/>
            </c:ext>
          </c:extLst>
        </c:ser>
        <c:ser>
          <c:idx val="4"/>
          <c:order val="4"/>
          <c:tx>
            <c:strRef>
              <c:f>'calculations &amp; Graphs'!$J$27</c:f>
              <c:strCache>
                <c:ptCount val="1"/>
                <c:pt idx="0">
                  <c:v>700-750</c:v>
                </c:pt>
              </c:strCache>
            </c:strRef>
          </c:tx>
          <c:spPr>
            <a:solidFill>
              <a:schemeClr val="accent5"/>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Graphs'!$K$27:$O$27</c:f>
              <c:numCache>
                <c:formatCode>0</c:formatCode>
                <c:ptCount val="5"/>
                <c:pt idx="0">
                  <c:v>15</c:v>
                </c:pt>
                <c:pt idx="1">
                  <c:v>30</c:v>
                </c:pt>
                <c:pt idx="2">
                  <c:v>45</c:v>
                </c:pt>
                <c:pt idx="3">
                  <c:v>38</c:v>
                </c:pt>
                <c:pt idx="4">
                  <c:v>30</c:v>
                </c:pt>
              </c:numCache>
            </c:numRef>
          </c:val>
          <c:extLst>
            <c:ext xmlns:c16="http://schemas.microsoft.com/office/drawing/2014/chart" uri="{C3380CC4-5D6E-409C-BE32-E72D297353CC}">
              <c16:uniqueId val="{00000004-510B-421C-BBDE-A4FAC4A8ED1E}"/>
            </c:ext>
          </c:extLst>
        </c:ser>
        <c:ser>
          <c:idx val="5"/>
          <c:order val="5"/>
          <c:tx>
            <c:strRef>
              <c:f>'calculations &amp; Graphs'!$J$28</c:f>
              <c:strCache>
                <c:ptCount val="1"/>
                <c:pt idx="0">
                  <c:v>750-800</c:v>
                </c:pt>
              </c:strCache>
            </c:strRef>
          </c:tx>
          <c:spPr>
            <a:solidFill>
              <a:schemeClr val="accent6"/>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Graphs'!$K$28:$O$28</c:f>
              <c:numCache>
                <c:formatCode>0</c:formatCode>
                <c:ptCount val="5"/>
                <c:pt idx="0">
                  <c:v>20</c:v>
                </c:pt>
                <c:pt idx="1">
                  <c:v>35</c:v>
                </c:pt>
                <c:pt idx="2">
                  <c:v>25</c:v>
                </c:pt>
                <c:pt idx="3">
                  <c:v>30</c:v>
                </c:pt>
                <c:pt idx="4">
                  <c:v>50</c:v>
                </c:pt>
              </c:numCache>
            </c:numRef>
          </c:val>
          <c:extLst>
            <c:ext xmlns:c16="http://schemas.microsoft.com/office/drawing/2014/chart" uri="{C3380CC4-5D6E-409C-BE32-E72D297353CC}">
              <c16:uniqueId val="{00000005-510B-421C-BBDE-A4FAC4A8ED1E}"/>
            </c:ext>
          </c:extLst>
        </c:ser>
        <c:ser>
          <c:idx val="6"/>
          <c:order val="6"/>
          <c:tx>
            <c:strRef>
              <c:f>'calculations &amp; Graphs'!$J$29</c:f>
              <c:strCache>
                <c:ptCount val="1"/>
                <c:pt idx="0">
                  <c:v>800-850</c:v>
                </c:pt>
              </c:strCache>
            </c:strRef>
          </c:tx>
          <c:spPr>
            <a:solidFill>
              <a:schemeClr val="accent1">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Graphs'!$K$29:$O$29</c:f>
              <c:numCache>
                <c:formatCode>0</c:formatCode>
                <c:ptCount val="5"/>
                <c:pt idx="0">
                  <c:v>35</c:v>
                </c:pt>
                <c:pt idx="1">
                  <c:v>45</c:v>
                </c:pt>
                <c:pt idx="2">
                  <c:v>15</c:v>
                </c:pt>
                <c:pt idx="3">
                  <c:v>15</c:v>
                </c:pt>
                <c:pt idx="4">
                  <c:v>55</c:v>
                </c:pt>
              </c:numCache>
            </c:numRef>
          </c:val>
          <c:extLst>
            <c:ext xmlns:c16="http://schemas.microsoft.com/office/drawing/2014/chart" uri="{C3380CC4-5D6E-409C-BE32-E72D297353CC}">
              <c16:uniqueId val="{00000006-510B-421C-BBDE-A4FAC4A8ED1E}"/>
            </c:ext>
          </c:extLst>
        </c:ser>
        <c:ser>
          <c:idx val="7"/>
          <c:order val="7"/>
          <c:tx>
            <c:strRef>
              <c:f>'calculations &amp; Graphs'!$J$30</c:f>
              <c:strCache>
                <c:ptCount val="1"/>
                <c:pt idx="0">
                  <c:v>850-900</c:v>
                </c:pt>
              </c:strCache>
            </c:strRef>
          </c:tx>
          <c:spPr>
            <a:solidFill>
              <a:schemeClr val="accent2">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Graphs'!$K$30:$O$30</c:f>
              <c:numCache>
                <c:formatCode>0</c:formatCode>
                <c:ptCount val="5"/>
                <c:pt idx="0">
                  <c:v>55</c:v>
                </c:pt>
                <c:pt idx="1">
                  <c:v>50</c:v>
                </c:pt>
                <c:pt idx="2">
                  <c:v>0</c:v>
                </c:pt>
                <c:pt idx="3">
                  <c:v>0</c:v>
                </c:pt>
                <c:pt idx="4">
                  <c:v>45</c:v>
                </c:pt>
              </c:numCache>
            </c:numRef>
          </c:val>
          <c:extLst>
            <c:ext xmlns:c16="http://schemas.microsoft.com/office/drawing/2014/chart" uri="{C3380CC4-5D6E-409C-BE32-E72D297353CC}">
              <c16:uniqueId val="{00000007-510B-421C-BBDE-A4FAC4A8ED1E}"/>
            </c:ext>
          </c:extLst>
        </c:ser>
        <c:ser>
          <c:idx val="8"/>
          <c:order val="8"/>
          <c:tx>
            <c:strRef>
              <c:f>'calculations &amp; Graphs'!$J$31</c:f>
              <c:strCache>
                <c:ptCount val="1"/>
                <c:pt idx="0">
                  <c:v>900-950</c:v>
                </c:pt>
              </c:strCache>
            </c:strRef>
          </c:tx>
          <c:spPr>
            <a:solidFill>
              <a:schemeClr val="accent3">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Graphs'!$K$31:$O$31</c:f>
              <c:numCache>
                <c:formatCode>0</c:formatCode>
                <c:ptCount val="5"/>
                <c:pt idx="0">
                  <c:v>65</c:v>
                </c:pt>
                <c:pt idx="1">
                  <c:v>25</c:v>
                </c:pt>
                <c:pt idx="2">
                  <c:v>0</c:v>
                </c:pt>
                <c:pt idx="3">
                  <c:v>0</c:v>
                </c:pt>
                <c:pt idx="4">
                  <c:v>15</c:v>
                </c:pt>
              </c:numCache>
            </c:numRef>
          </c:val>
          <c:extLst>
            <c:ext xmlns:c16="http://schemas.microsoft.com/office/drawing/2014/chart" uri="{C3380CC4-5D6E-409C-BE32-E72D297353CC}">
              <c16:uniqueId val="{00000008-510B-421C-BBDE-A4FAC4A8ED1E}"/>
            </c:ext>
          </c:extLst>
        </c:ser>
        <c:ser>
          <c:idx val="9"/>
          <c:order val="9"/>
          <c:tx>
            <c:strRef>
              <c:f>'calculations &amp; Graphs'!$J$32</c:f>
              <c:strCache>
                <c:ptCount val="1"/>
                <c:pt idx="0">
                  <c:v>950-1000</c:v>
                </c:pt>
              </c:strCache>
            </c:strRef>
          </c:tx>
          <c:spPr>
            <a:solidFill>
              <a:schemeClr val="accent4">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Graphs'!$K$32:$O$32</c:f>
              <c:numCache>
                <c:formatCode>0</c:formatCode>
                <c:ptCount val="5"/>
                <c:pt idx="0">
                  <c:v>10</c:v>
                </c:pt>
                <c:pt idx="1">
                  <c:v>5</c:v>
                </c:pt>
                <c:pt idx="2">
                  <c:v>0</c:v>
                </c:pt>
                <c:pt idx="3">
                  <c:v>0</c:v>
                </c:pt>
                <c:pt idx="4">
                  <c:v>5</c:v>
                </c:pt>
              </c:numCache>
            </c:numRef>
          </c:val>
          <c:extLst>
            <c:ext xmlns:c16="http://schemas.microsoft.com/office/drawing/2014/chart" uri="{C3380CC4-5D6E-409C-BE32-E72D297353CC}">
              <c16:uniqueId val="{00000009-510B-421C-BBDE-A4FAC4A8ED1E}"/>
            </c:ext>
          </c:extLst>
        </c:ser>
        <c:ser>
          <c:idx val="10"/>
          <c:order val="10"/>
          <c:tx>
            <c:strRef>
              <c:f>'calculations &amp; Graphs'!$J$33</c:f>
              <c:strCache>
                <c:ptCount val="1"/>
                <c:pt idx="0">
                  <c:v>1000-1050</c:v>
                </c:pt>
              </c:strCache>
            </c:strRef>
          </c:tx>
          <c:spPr>
            <a:solidFill>
              <a:schemeClr val="accent5">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Graphs'!$K$33:$O$33</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510B-421C-BBDE-A4FAC4A8ED1E}"/>
            </c:ext>
          </c:extLst>
        </c:ser>
        <c:dLbls>
          <c:showLegendKey val="0"/>
          <c:showVal val="0"/>
          <c:showCatName val="0"/>
          <c:showSerName val="0"/>
          <c:showPercent val="0"/>
          <c:showBubbleSize val="0"/>
        </c:dLbls>
        <c:gapWidth val="219"/>
        <c:overlap val="-27"/>
        <c:axId val="442838264"/>
        <c:axId val="442843184"/>
      </c:barChart>
      <c:catAx>
        <c:axId val="44283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43184"/>
        <c:crosses val="autoZero"/>
        <c:auto val="1"/>
        <c:lblAlgn val="ctr"/>
        <c:lblOffset val="100"/>
        <c:noMultiLvlLbl val="0"/>
      </c:catAx>
      <c:valAx>
        <c:axId val="442843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38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4 :</a:t>
            </a:r>
            <a:r>
              <a:rPr lang="en-IN" baseline="0">
                <a:latin typeface="Times New Roman" panose="02020603050405020304" pitchFamily="18" charset="0"/>
                <a:cs typeface="Times New Roman" panose="02020603050405020304" pitchFamily="18" charset="0"/>
              </a:rPr>
              <a:t> </a:t>
            </a:r>
            <a:r>
              <a:rPr lang="en-IN">
                <a:latin typeface="Times New Roman" panose="02020603050405020304" pitchFamily="18" charset="0"/>
                <a:cs typeface="Times New Roman" panose="02020603050405020304" pitchFamily="18" charset="0"/>
              </a:rPr>
              <a:t>NBFL distribution</a:t>
            </a:r>
            <a:r>
              <a:rPr lang="en-IN" baseline="0">
                <a:latin typeface="Times New Roman" panose="02020603050405020304" pitchFamily="18" charset="0"/>
                <a:cs typeface="Times New Roman" panose="02020603050405020304" pitchFamily="18" charset="0"/>
              </a:rPr>
              <a:t> of</a:t>
            </a:r>
            <a:r>
              <a:rPr lang="en-IN">
                <a:latin typeface="Times New Roman" panose="02020603050405020304" pitchFamily="18" charset="0"/>
                <a:cs typeface="Times New Roman" panose="02020603050405020304" pitchFamily="18" charset="0"/>
              </a:rPr>
              <a:t> </a:t>
            </a:r>
            <a:r>
              <a:rPr lang="en-IN" sz="1400" b="0" i="0" u="none" strike="noStrike" baseline="0">
                <a:effectLst/>
                <a:latin typeface="Times New Roman" panose="02020603050405020304" pitchFamily="18" charset="0"/>
                <a:cs typeface="Times New Roman" panose="02020603050405020304" pitchFamily="18" charset="0"/>
              </a:rPr>
              <a:t>multi-bi hybrid cocoons in different seasons  </a:t>
            </a:r>
            <a:endParaRPr lang="en-IN">
              <a:latin typeface="Times New Roman" panose="02020603050405020304" pitchFamily="18" charset="0"/>
              <a:cs typeface="Times New Roman" panose="02020603050405020304" pitchFamily="18" charset="0"/>
            </a:endParaRPr>
          </a:p>
        </c:rich>
      </c:tx>
      <c:layout>
        <c:manualLayout>
          <c:xMode val="edge"/>
          <c:yMode val="edge"/>
          <c:x val="0.16151536628337401"/>
          <c:y val="2.75862068965517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'calculations &amp; Graphs'!$J$59</c:f>
              <c:strCache>
                <c:ptCount val="1"/>
                <c:pt idx="0">
                  <c:v>500-550</c:v>
                </c:pt>
              </c:strCache>
            </c:strRef>
          </c:tx>
          <c:spPr>
            <a:solidFill>
              <a:schemeClr val="accent1"/>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Graphs'!$K$59:$O$59</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0-DAFE-473D-A22A-C480FB6EC9C2}"/>
            </c:ext>
          </c:extLst>
        </c:ser>
        <c:ser>
          <c:idx val="1"/>
          <c:order val="1"/>
          <c:tx>
            <c:strRef>
              <c:f>'calculations &amp; Graphs'!$J$60</c:f>
              <c:strCache>
                <c:ptCount val="1"/>
                <c:pt idx="0">
                  <c:v>550-600</c:v>
                </c:pt>
              </c:strCache>
            </c:strRef>
          </c:tx>
          <c:spPr>
            <a:solidFill>
              <a:schemeClr val="accent2"/>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Graphs'!$K$60:$O$60</c:f>
              <c:numCache>
                <c:formatCode>0</c:formatCode>
                <c:ptCount val="5"/>
                <c:pt idx="0">
                  <c:v>0</c:v>
                </c:pt>
                <c:pt idx="1">
                  <c:v>5</c:v>
                </c:pt>
                <c:pt idx="2">
                  <c:v>55</c:v>
                </c:pt>
                <c:pt idx="3">
                  <c:v>45</c:v>
                </c:pt>
                <c:pt idx="4">
                  <c:v>0</c:v>
                </c:pt>
              </c:numCache>
            </c:numRef>
          </c:val>
          <c:extLst>
            <c:ext xmlns:c16="http://schemas.microsoft.com/office/drawing/2014/chart" uri="{C3380CC4-5D6E-409C-BE32-E72D297353CC}">
              <c16:uniqueId val="{00000001-DAFE-473D-A22A-C480FB6EC9C2}"/>
            </c:ext>
          </c:extLst>
        </c:ser>
        <c:ser>
          <c:idx val="2"/>
          <c:order val="2"/>
          <c:tx>
            <c:strRef>
              <c:f>'calculations &amp; Graphs'!$J$61</c:f>
              <c:strCache>
                <c:ptCount val="1"/>
                <c:pt idx="0">
                  <c:v>600-650</c:v>
                </c:pt>
              </c:strCache>
            </c:strRef>
          </c:tx>
          <c:spPr>
            <a:solidFill>
              <a:schemeClr val="accent3"/>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Graphs'!$K$61:$O$61</c:f>
              <c:numCache>
                <c:formatCode>0</c:formatCode>
                <c:ptCount val="5"/>
                <c:pt idx="0">
                  <c:v>20</c:v>
                </c:pt>
                <c:pt idx="1">
                  <c:v>10</c:v>
                </c:pt>
                <c:pt idx="2">
                  <c:v>65</c:v>
                </c:pt>
                <c:pt idx="3">
                  <c:v>55</c:v>
                </c:pt>
                <c:pt idx="4">
                  <c:v>35</c:v>
                </c:pt>
              </c:numCache>
            </c:numRef>
          </c:val>
          <c:extLst>
            <c:ext xmlns:c16="http://schemas.microsoft.com/office/drawing/2014/chart" uri="{C3380CC4-5D6E-409C-BE32-E72D297353CC}">
              <c16:uniqueId val="{00000002-DAFE-473D-A22A-C480FB6EC9C2}"/>
            </c:ext>
          </c:extLst>
        </c:ser>
        <c:ser>
          <c:idx val="3"/>
          <c:order val="3"/>
          <c:tx>
            <c:strRef>
              <c:f>'calculations &amp; Graphs'!$J$62</c:f>
              <c:strCache>
                <c:ptCount val="1"/>
                <c:pt idx="0">
                  <c:v>650-700</c:v>
                </c:pt>
              </c:strCache>
            </c:strRef>
          </c:tx>
          <c:spPr>
            <a:solidFill>
              <a:schemeClr val="accent4"/>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Graphs'!$K$62:$O$62</c:f>
              <c:numCache>
                <c:formatCode>0</c:formatCode>
                <c:ptCount val="5"/>
                <c:pt idx="0">
                  <c:v>45</c:v>
                </c:pt>
                <c:pt idx="1">
                  <c:v>55</c:v>
                </c:pt>
                <c:pt idx="2">
                  <c:v>25</c:v>
                </c:pt>
                <c:pt idx="3">
                  <c:v>40</c:v>
                </c:pt>
                <c:pt idx="4">
                  <c:v>60</c:v>
                </c:pt>
              </c:numCache>
            </c:numRef>
          </c:val>
          <c:extLst>
            <c:ext xmlns:c16="http://schemas.microsoft.com/office/drawing/2014/chart" uri="{C3380CC4-5D6E-409C-BE32-E72D297353CC}">
              <c16:uniqueId val="{00000003-DAFE-473D-A22A-C480FB6EC9C2}"/>
            </c:ext>
          </c:extLst>
        </c:ser>
        <c:ser>
          <c:idx val="4"/>
          <c:order val="4"/>
          <c:tx>
            <c:strRef>
              <c:f>'calculations &amp; Graphs'!$J$63</c:f>
              <c:strCache>
                <c:ptCount val="1"/>
                <c:pt idx="0">
                  <c:v>700-750</c:v>
                </c:pt>
              </c:strCache>
            </c:strRef>
          </c:tx>
          <c:spPr>
            <a:solidFill>
              <a:schemeClr val="accent5"/>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Graphs'!$K$63:$O$63</c:f>
              <c:numCache>
                <c:formatCode>0</c:formatCode>
                <c:ptCount val="5"/>
                <c:pt idx="0">
                  <c:v>60</c:v>
                </c:pt>
                <c:pt idx="1">
                  <c:v>60</c:v>
                </c:pt>
                <c:pt idx="2">
                  <c:v>15</c:v>
                </c:pt>
                <c:pt idx="3">
                  <c:v>25</c:v>
                </c:pt>
                <c:pt idx="4">
                  <c:v>70</c:v>
                </c:pt>
              </c:numCache>
            </c:numRef>
          </c:val>
          <c:extLst>
            <c:ext xmlns:c16="http://schemas.microsoft.com/office/drawing/2014/chart" uri="{C3380CC4-5D6E-409C-BE32-E72D297353CC}">
              <c16:uniqueId val="{00000004-DAFE-473D-A22A-C480FB6EC9C2}"/>
            </c:ext>
          </c:extLst>
        </c:ser>
        <c:ser>
          <c:idx val="5"/>
          <c:order val="5"/>
          <c:tx>
            <c:strRef>
              <c:f>'calculations &amp; Graphs'!$J$64</c:f>
              <c:strCache>
                <c:ptCount val="1"/>
                <c:pt idx="0">
                  <c:v>750-800</c:v>
                </c:pt>
              </c:strCache>
            </c:strRef>
          </c:tx>
          <c:spPr>
            <a:solidFill>
              <a:schemeClr val="accent6"/>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Graphs'!$K$64:$O$64</c:f>
              <c:numCache>
                <c:formatCode>0</c:formatCode>
                <c:ptCount val="5"/>
                <c:pt idx="0">
                  <c:v>50</c:v>
                </c:pt>
                <c:pt idx="1">
                  <c:v>45</c:v>
                </c:pt>
                <c:pt idx="2">
                  <c:v>5</c:v>
                </c:pt>
                <c:pt idx="3">
                  <c:v>0</c:v>
                </c:pt>
                <c:pt idx="4">
                  <c:v>30</c:v>
                </c:pt>
              </c:numCache>
            </c:numRef>
          </c:val>
          <c:extLst>
            <c:ext xmlns:c16="http://schemas.microsoft.com/office/drawing/2014/chart" uri="{C3380CC4-5D6E-409C-BE32-E72D297353CC}">
              <c16:uniqueId val="{00000005-DAFE-473D-A22A-C480FB6EC9C2}"/>
            </c:ext>
          </c:extLst>
        </c:ser>
        <c:ser>
          <c:idx val="6"/>
          <c:order val="6"/>
          <c:tx>
            <c:strRef>
              <c:f>'calculations &amp; Graphs'!$J$65</c:f>
              <c:strCache>
                <c:ptCount val="1"/>
                <c:pt idx="0">
                  <c:v>800-850</c:v>
                </c:pt>
              </c:strCache>
            </c:strRef>
          </c:tx>
          <c:spPr>
            <a:solidFill>
              <a:schemeClr val="accent1">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Graphs'!$K$65:$O$65</c:f>
              <c:numCache>
                <c:formatCode>0</c:formatCode>
                <c:ptCount val="5"/>
                <c:pt idx="0">
                  <c:v>20</c:v>
                </c:pt>
                <c:pt idx="1">
                  <c:v>25</c:v>
                </c:pt>
                <c:pt idx="2">
                  <c:v>0</c:v>
                </c:pt>
                <c:pt idx="3">
                  <c:v>0</c:v>
                </c:pt>
                <c:pt idx="4">
                  <c:v>5</c:v>
                </c:pt>
              </c:numCache>
            </c:numRef>
          </c:val>
          <c:extLst>
            <c:ext xmlns:c16="http://schemas.microsoft.com/office/drawing/2014/chart" uri="{C3380CC4-5D6E-409C-BE32-E72D297353CC}">
              <c16:uniqueId val="{00000006-DAFE-473D-A22A-C480FB6EC9C2}"/>
            </c:ext>
          </c:extLst>
        </c:ser>
        <c:ser>
          <c:idx val="7"/>
          <c:order val="7"/>
          <c:tx>
            <c:strRef>
              <c:f>'calculations &amp; Graphs'!$J$66</c:f>
              <c:strCache>
                <c:ptCount val="1"/>
                <c:pt idx="0">
                  <c:v>850-900</c:v>
                </c:pt>
              </c:strCache>
            </c:strRef>
          </c:tx>
          <c:spPr>
            <a:solidFill>
              <a:schemeClr val="accent2">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Graphs'!$K$66:$O$66</c:f>
              <c:numCache>
                <c:formatCode>0</c:formatCode>
                <c:ptCount val="5"/>
                <c:pt idx="0">
                  <c:v>5</c:v>
                </c:pt>
                <c:pt idx="1">
                  <c:v>0</c:v>
                </c:pt>
                <c:pt idx="2">
                  <c:v>0</c:v>
                </c:pt>
                <c:pt idx="3">
                  <c:v>0</c:v>
                </c:pt>
                <c:pt idx="4">
                  <c:v>0</c:v>
                </c:pt>
              </c:numCache>
            </c:numRef>
          </c:val>
          <c:extLst>
            <c:ext xmlns:c16="http://schemas.microsoft.com/office/drawing/2014/chart" uri="{C3380CC4-5D6E-409C-BE32-E72D297353CC}">
              <c16:uniqueId val="{00000007-DAFE-473D-A22A-C480FB6EC9C2}"/>
            </c:ext>
          </c:extLst>
        </c:ser>
        <c:ser>
          <c:idx val="8"/>
          <c:order val="8"/>
          <c:tx>
            <c:strRef>
              <c:f>'calculations &amp; Graphs'!$J$67</c:f>
              <c:strCache>
                <c:ptCount val="1"/>
                <c:pt idx="0">
                  <c:v>900-950</c:v>
                </c:pt>
              </c:strCache>
            </c:strRef>
          </c:tx>
          <c:spPr>
            <a:solidFill>
              <a:schemeClr val="accent3">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Graphs'!$K$67:$O$67</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AFE-473D-A22A-C480FB6EC9C2}"/>
            </c:ext>
          </c:extLst>
        </c:ser>
        <c:ser>
          <c:idx val="9"/>
          <c:order val="9"/>
          <c:tx>
            <c:strRef>
              <c:f>'calculations &amp; Graphs'!$J$68</c:f>
              <c:strCache>
                <c:ptCount val="1"/>
                <c:pt idx="0">
                  <c:v>950-1000</c:v>
                </c:pt>
              </c:strCache>
            </c:strRef>
          </c:tx>
          <c:spPr>
            <a:solidFill>
              <a:schemeClr val="accent4">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Graphs'!$K$68:$O$68</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AFE-473D-A22A-C480FB6EC9C2}"/>
            </c:ext>
          </c:extLst>
        </c:ser>
        <c:ser>
          <c:idx val="10"/>
          <c:order val="10"/>
          <c:tx>
            <c:strRef>
              <c:f>'calculations &amp; Graphs'!$J$69</c:f>
              <c:strCache>
                <c:ptCount val="1"/>
                <c:pt idx="0">
                  <c:v>1000-1050</c:v>
                </c:pt>
              </c:strCache>
            </c:strRef>
          </c:tx>
          <c:spPr>
            <a:solidFill>
              <a:schemeClr val="accent5">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Graphs'!$K$69:$O$69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AFE-473D-A22A-C480FB6EC9C2}"/>
            </c:ext>
          </c:extLst>
        </c:ser>
        <c:dLbls>
          <c:showLegendKey val="0"/>
          <c:showVal val="0"/>
          <c:showCatName val="0"/>
          <c:showSerName val="0"/>
          <c:showPercent val="0"/>
          <c:showBubbleSize val="0"/>
        </c:dLbls>
        <c:gapWidth val="219"/>
        <c:overlap val="-27"/>
        <c:axId val="505837712"/>
        <c:axId val="505838040"/>
      </c:barChart>
      <c:catAx>
        <c:axId val="5058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8040"/>
        <c:crosses val="autoZero"/>
        <c:auto val="1"/>
        <c:lblAlgn val="ctr"/>
        <c:lblOffset val="100"/>
        <c:noMultiLvlLbl val="0"/>
      </c:catAx>
      <c:valAx>
        <c:axId val="505838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13</cp:revision>
  <cp:lastPrinted>2024-12-26T05:25:00Z</cp:lastPrinted>
  <dcterms:created xsi:type="dcterms:W3CDTF">2025-03-26T09:13:00Z</dcterms:created>
  <dcterms:modified xsi:type="dcterms:W3CDTF">2025-03-26T12:28:00Z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670c166f0131c747f823313ec9b6322e96461a13c4f09ff2b9ea4d3890868390</vt:lpwstr>
  </property>
</Properties>
</file>