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70DC" w14:textId="77777777" w:rsidR="008E5C5F" w:rsidRPr="008E5C5F" w:rsidRDefault="008E5C5F" w:rsidP="00B054C6">
      <w:pPr>
        <w:spacing w:line="360" w:lineRule="auto"/>
        <w:jc w:val="center"/>
        <w:rPr>
          <w:rFonts w:ascii="Times New Roman" w:hAnsi="Times New Roman" w:cs="Times New Roman"/>
          <w:sz w:val="28"/>
          <w:szCs w:val="28"/>
        </w:rPr>
      </w:pPr>
      <w:r w:rsidRPr="008E5C5F">
        <w:rPr>
          <w:rFonts w:ascii="Times New Roman" w:hAnsi="Times New Roman" w:cs="Times New Roman"/>
          <w:b/>
          <w:bCs/>
          <w:sz w:val="28"/>
          <w:szCs w:val="28"/>
        </w:rPr>
        <w:t>A comparative study on the antioxidant activity of some selected seaweeds using different methods</w:t>
      </w:r>
      <w:r w:rsidR="00B054C6" w:rsidRPr="00214E7C">
        <w:rPr>
          <w:rFonts w:ascii="Times New Roman" w:hAnsi="Times New Roman" w:cs="Times New Roman"/>
          <w:b/>
          <w:bCs/>
          <w:sz w:val="28"/>
          <w:szCs w:val="28"/>
        </w:rPr>
        <w:t xml:space="preserve">  </w:t>
      </w:r>
    </w:p>
    <w:p w14:paraId="178D7ACC" w14:textId="77777777" w:rsidR="00377F48" w:rsidRDefault="00377F48" w:rsidP="008E5C5F">
      <w:pPr>
        <w:spacing w:line="360" w:lineRule="auto"/>
        <w:jc w:val="both"/>
        <w:rPr>
          <w:rFonts w:ascii="Times New Roman" w:hAnsi="Times New Roman" w:cs="Times New Roman"/>
          <w:b/>
          <w:bCs/>
          <w:sz w:val="28"/>
          <w:szCs w:val="28"/>
        </w:rPr>
      </w:pPr>
    </w:p>
    <w:p w14:paraId="29ACAA8B"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ABSTRACT</w:t>
      </w:r>
    </w:p>
    <w:p w14:paraId="60176671"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Two-thirds of the world is covered by oceans, whose upper layer is inhabited by algae, marine macroalgae, or seaweeds. Plant foods are a rich source of antioxidants. Antioxidants are molecules that fight free radicals and keep an organism free from various diseases. The present study revealed that the invitro antioxidant activity of ethanolic extracts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i/>
          <w:iCs/>
          <w:sz w:val="24"/>
          <w:szCs w:val="24"/>
        </w:rPr>
        <w:t>clavulatum</w:t>
      </w:r>
      <w:proofErr w:type="spellEnd"/>
      <w:r w:rsidRPr="008E5C5F">
        <w:rPr>
          <w:rFonts w:ascii="Times New Roman" w:hAnsi="Times New Roman" w:cs="Times New Roman"/>
          <w:sz w:val="24"/>
          <w:szCs w:val="24"/>
        </w:rPr>
        <w:t xml:space="preserve"> (Red), </w:t>
      </w:r>
      <w:r w:rsidRPr="008E5C5F">
        <w:rPr>
          <w:rFonts w:ascii="Times New Roman" w:hAnsi="Times New Roman" w:cs="Times New Roman"/>
          <w:i/>
          <w:iCs/>
          <w:sz w:val="24"/>
          <w:szCs w:val="24"/>
        </w:rPr>
        <w:t>Enteromorpha intestinalis</w:t>
      </w:r>
      <w:r w:rsidRPr="008E5C5F">
        <w:rPr>
          <w:rFonts w:ascii="Times New Roman" w:hAnsi="Times New Roman" w:cs="Times New Roman"/>
          <w:sz w:val="24"/>
          <w:szCs w:val="24"/>
        </w:rPr>
        <w:t xml:space="preserve"> (Green),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ornata</w:t>
      </w:r>
      <w:r w:rsidRPr="008E5C5F">
        <w:rPr>
          <w:rFonts w:ascii="Times New Roman" w:hAnsi="Times New Roman" w:cs="Times New Roman"/>
          <w:sz w:val="24"/>
          <w:szCs w:val="24"/>
        </w:rPr>
        <w:t xml:space="preserve"> (Brown) collected from Mandapam</w:t>
      </w:r>
      <w:r>
        <w:rPr>
          <w:rFonts w:ascii="Times New Roman" w:hAnsi="Times New Roman" w:cs="Times New Roman"/>
          <w:sz w:val="24"/>
          <w:szCs w:val="24"/>
        </w:rPr>
        <w:t>.</w:t>
      </w:r>
      <w:r w:rsidRPr="008E5C5F">
        <w:rPr>
          <w:rFonts w:ascii="Times New Roman" w:hAnsi="Times New Roman" w:cs="Times New Roman"/>
          <w:sz w:val="24"/>
          <w:szCs w:val="24"/>
        </w:rPr>
        <w:t xml:space="preserve"> The extracts showed radical scavenging activity against DPPH, Hydroxyl, Superoxide, ABTS, and reducing power. All the concentrations of extract showed good antioxidant activity and were much higher than that of standard ascorbic acid. The various assays tested their maximum amount was approximately the same.  Seaweed extracts showed an increase with increasing concentration (between 50 to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indicating the dose dependency of these algal extracts. It indicates that it could be a potential source of natural antioxidant lead molecules. Depending on the type of extracts and the antioxidant tests, the 50% inhibitory concentration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ranged from 12.08 to 18.28 mg/ml. This suggests that </w:t>
      </w:r>
      <w:r w:rsidRPr="008E5C5F">
        <w:rPr>
          <w:rFonts w:ascii="Times New Roman" w:hAnsi="Times New Roman" w:cs="Times New Roman"/>
          <w:i/>
          <w:iCs/>
          <w:sz w:val="24"/>
          <w:szCs w:val="24"/>
        </w:rPr>
        <w:t>T. ornata</w:t>
      </w:r>
      <w:r w:rsidRPr="008E5C5F">
        <w:rPr>
          <w:rFonts w:ascii="Times New Roman" w:hAnsi="Times New Roman" w:cs="Times New Roman"/>
          <w:sz w:val="24"/>
          <w:szCs w:val="24"/>
        </w:rPr>
        <w:t xml:space="preserve"> (brown) has the highest antioxidant activity, making it a promising candidate for future research and applications in health and nutrition.  Conversely, </w:t>
      </w:r>
      <w:r w:rsidRPr="008E5C5F">
        <w:rPr>
          <w:rFonts w:ascii="Times New Roman" w:hAnsi="Times New Roman" w:cs="Times New Roman"/>
          <w:i/>
          <w:iCs/>
          <w:sz w:val="24"/>
          <w:szCs w:val="24"/>
        </w:rPr>
        <w:t>E. intestinalis</w:t>
      </w:r>
      <w:r w:rsidRPr="008E5C5F">
        <w:rPr>
          <w:rFonts w:ascii="Times New Roman" w:hAnsi="Times New Roman" w:cs="Times New Roman"/>
          <w:sz w:val="24"/>
          <w:szCs w:val="24"/>
        </w:rPr>
        <w:t xml:space="preserve"> (Green) displayed the least activity among the extracts tested, suggesting that its efficacy may be limited in comparison to the others. Marine algae contain natural pigments in abundant amounts, which could serve as a valuable source of natural antioxidants for potential use in the food industry, as well as in cosmetics and pharmaceuticals. </w:t>
      </w:r>
    </w:p>
    <w:p w14:paraId="7CC1F5FB" w14:textId="77777777" w:rsidR="008E5C5F" w:rsidRPr="008E5C5F" w:rsidRDefault="008E5C5F" w:rsidP="008E5C5F">
      <w:pPr>
        <w:spacing w:line="360" w:lineRule="auto"/>
        <w:jc w:val="both"/>
        <w:rPr>
          <w:rFonts w:ascii="Times New Roman" w:hAnsi="Times New Roman" w:cs="Times New Roman"/>
          <w:sz w:val="24"/>
          <w:szCs w:val="24"/>
        </w:rPr>
      </w:pPr>
      <w:proofErr w:type="gramStart"/>
      <w:r w:rsidRPr="008E5C5F">
        <w:rPr>
          <w:rFonts w:ascii="Times New Roman" w:hAnsi="Times New Roman" w:cs="Times New Roman"/>
          <w:sz w:val="24"/>
          <w:szCs w:val="24"/>
        </w:rPr>
        <w:t>Keywords :</w:t>
      </w:r>
      <w:proofErr w:type="gramEnd"/>
      <w:r w:rsidRPr="008E5C5F">
        <w:rPr>
          <w:rFonts w:ascii="Times New Roman" w:hAnsi="Times New Roman" w:cs="Times New Roman"/>
          <w:sz w:val="24"/>
          <w:szCs w:val="24"/>
        </w:rPr>
        <w:t>-  DPPH, Hydroxyl, Superoxide, ABTS, and reducing power</w:t>
      </w:r>
    </w:p>
    <w:p w14:paraId="3806A4D5"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1.Introduction</w:t>
      </w:r>
    </w:p>
    <w:p w14:paraId="71EE4296"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Macroscopic marine algae, also known as seaweeds, play a crucial role in the ocean's ecosystem. Seaweeds, or macroalgae, are a renewable resource in the marine ecosystem and have been used by humans since ancient times. Seaweeds are known to synthesise a wide range of chemical compounds, some of which are used exclusively to produce agar, carrageenan, and alginate. These substances have been used in a variety of applications, including human </w:t>
      </w:r>
      <w:r w:rsidRPr="008E5C5F">
        <w:rPr>
          <w:rFonts w:ascii="Times New Roman" w:hAnsi="Times New Roman" w:cs="Times New Roman"/>
          <w:sz w:val="24"/>
          <w:szCs w:val="24"/>
        </w:rPr>
        <w:lastRenderedPageBreak/>
        <w:t>consumption, animal nutrition, plant fertilisation, and the extraction of various chemicals with therapeutic qualities, all with no reported side effects.</w:t>
      </w:r>
    </w:p>
    <w:p w14:paraId="5C7D7212"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Seaweeds contain bioactive chemicals with antibacterial, antiviral, anticancer, anti-inflammatory, and antioxidant properties (Mayer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2011).  Organic acids, sulphated polysaccharides, and phenolic compounds are the substances that have antiviral, antibacterial, anti-cancer, and antioxidant properties (</w:t>
      </w:r>
      <w:proofErr w:type="spellStart"/>
      <w:r w:rsidRPr="008E5C5F">
        <w:rPr>
          <w:rFonts w:ascii="Times New Roman" w:hAnsi="Times New Roman" w:cs="Times New Roman"/>
          <w:sz w:val="24"/>
          <w:szCs w:val="24"/>
        </w:rPr>
        <w:t>Wijffels</w:t>
      </w:r>
      <w:proofErr w:type="spellEnd"/>
      <w:r w:rsidRPr="008E5C5F">
        <w:rPr>
          <w:rFonts w:ascii="Times New Roman" w:hAnsi="Times New Roman" w:cs="Times New Roman"/>
          <w:sz w:val="24"/>
          <w:szCs w:val="24"/>
        </w:rPr>
        <w:t xml:space="preserve"> 2008).  Common phytochemicals found in macro algae include alkaloids, catechins, flavonoids, phenols, saponin, steroids, tannins, terpenes, sugars, and amino acids. It has a good impact on human health.  </w:t>
      </w:r>
    </w:p>
    <w:p w14:paraId="538E06DD"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primary antioxidants found in seaweeds are phenolics, polysaccharides, vitamins, and pigments (Ismail &amp; Ismail 2017, Michalak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2002). Polyphenol molecules, including phenolic acid, flavonoids, and tannins, are considered potent antioxidants (Ismail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2017).</w:t>
      </w:r>
      <w:r w:rsidR="002807D9">
        <w:rPr>
          <w:rFonts w:ascii="Times New Roman" w:hAnsi="Times New Roman" w:cs="Times New Roman"/>
          <w:sz w:val="24"/>
          <w:szCs w:val="24"/>
        </w:rPr>
        <w:t xml:space="preserve"> </w:t>
      </w:r>
      <w:commentRangeStart w:id="0"/>
      <w:r w:rsidRPr="008E5C5F">
        <w:rPr>
          <w:rFonts w:ascii="Times New Roman" w:hAnsi="Times New Roman" w:cs="Times New Roman"/>
          <w:sz w:val="24"/>
          <w:szCs w:val="24"/>
        </w:rPr>
        <w:t xml:space="preserve">Free radicals are chemical species that can exist independently with one or more unpaired electrons in their outermost shell. They collect electrons from other substances and maintain in a neutral state. The initial attack leads the free radical to become neutral. This procedure generates another free radical, triggering a chain reaction. Covalent bonds are formed when two radicals join with unpaired electrons. Relative oxygen species (ROS) originate from molecular oxygen. It damages DNA and proteins, leading to diseases such as cancer and respiratory ailments. </w:t>
      </w:r>
      <w:commentRangeEnd w:id="0"/>
      <w:r w:rsidR="007A5F5A">
        <w:rPr>
          <w:rStyle w:val="CommentReference"/>
        </w:rPr>
        <w:commentReference w:id="0"/>
      </w:r>
      <w:r w:rsidRPr="008E5C5F">
        <w:rPr>
          <w:rFonts w:ascii="Times New Roman" w:hAnsi="Times New Roman" w:cs="Times New Roman"/>
          <w:sz w:val="24"/>
          <w:szCs w:val="24"/>
        </w:rPr>
        <w:t>Compounds with antioxidant properties help prevent diseases such as cancer, cardiovascular disease, and neurological disorders. </w:t>
      </w:r>
    </w:p>
    <w:p w14:paraId="0AAA1C76"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Antioxidants may have a positive impact on human health because they protect the body from damage caused by reactive oxygen species, which attack and impair macromolecules such as DNA, proteins, and lipids, resulting in many health disorders such as diabetes, ageing, cancer, and other neurodegenerative diseases.  (Ngo DH, Wijesekara I,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2011). Recently, marine flora and fauna have gained significant attention as natural sources and the production of antioxidants in the food and pharmaceutical industries. Marine algae are one of the most abundant sources of natural antioxidants among marine resources (Cornish ML, </w:t>
      </w:r>
      <w:proofErr w:type="spellStart"/>
      <w:r w:rsidRPr="008E5C5F">
        <w:rPr>
          <w:rFonts w:ascii="Times New Roman" w:hAnsi="Times New Roman" w:cs="Times New Roman"/>
          <w:sz w:val="24"/>
          <w:szCs w:val="24"/>
        </w:rPr>
        <w:t>Garbary</w:t>
      </w:r>
      <w:proofErr w:type="spellEnd"/>
      <w:r w:rsidRPr="008E5C5F">
        <w:rPr>
          <w:rFonts w:ascii="Times New Roman" w:hAnsi="Times New Roman" w:cs="Times New Roman"/>
          <w:sz w:val="24"/>
          <w:szCs w:val="24"/>
        </w:rPr>
        <w:t xml:space="preserve"> DJ 2010). Seaweed antioxidants act as "free radical scavengers" by preventing or repairing oxidative stress damage and have a high potential for treating a variety of ailments. (Liu and Sun 2020).</w:t>
      </w:r>
    </w:p>
    <w:p w14:paraId="3B129BFB" w14:textId="77777777" w:rsidR="008E5C5F" w:rsidRPr="008E5C5F" w:rsidRDefault="008E5C5F" w:rsidP="002807D9">
      <w:pPr>
        <w:spacing w:line="360" w:lineRule="auto"/>
        <w:ind w:firstLine="720"/>
        <w:jc w:val="both"/>
        <w:rPr>
          <w:rFonts w:ascii="Times New Roman" w:hAnsi="Times New Roman" w:cs="Times New Roman"/>
          <w:sz w:val="24"/>
          <w:szCs w:val="24"/>
        </w:rPr>
      </w:pPr>
      <w:commentRangeStart w:id="1"/>
      <w:r w:rsidRPr="008E5C5F">
        <w:rPr>
          <w:rFonts w:ascii="Times New Roman" w:hAnsi="Times New Roman" w:cs="Times New Roman"/>
          <w:sz w:val="24"/>
          <w:szCs w:val="24"/>
        </w:rPr>
        <w:t>Many plant-derived antioxidants have antioxidative qualities that are largely attributed to phenolic compounds. (</w:t>
      </w:r>
      <w:proofErr w:type="spellStart"/>
      <w:r w:rsidRPr="008E5C5F">
        <w:rPr>
          <w:rFonts w:ascii="Times New Roman" w:hAnsi="Times New Roman" w:cs="Times New Roman"/>
          <w:sz w:val="24"/>
          <w:szCs w:val="24"/>
        </w:rPr>
        <w:t>Canadanovic</w:t>
      </w:r>
      <w:proofErr w:type="spellEnd"/>
      <w:r w:rsidRPr="008E5C5F">
        <w:rPr>
          <w:rFonts w:ascii="Times New Roman" w:hAnsi="Times New Roman" w:cs="Times New Roman"/>
          <w:sz w:val="24"/>
          <w:szCs w:val="24"/>
        </w:rPr>
        <w:t xml:space="preserve">-Brunet et al., 2006, Farombi et al., 2000, Kaur &amp; Kapoor 2001) </w:t>
      </w:r>
      <w:commentRangeEnd w:id="1"/>
      <w:r w:rsidR="000D391F">
        <w:rPr>
          <w:rStyle w:val="CommentReference"/>
        </w:rPr>
        <w:commentReference w:id="1"/>
      </w:r>
      <w:r w:rsidRPr="008E5C5F">
        <w:rPr>
          <w:rFonts w:ascii="Times New Roman" w:hAnsi="Times New Roman" w:cs="Times New Roman"/>
          <w:sz w:val="24"/>
          <w:szCs w:val="24"/>
        </w:rPr>
        <w:t xml:space="preserve">Phenolic substances have also been shown to have a variety of biological effects, </w:t>
      </w:r>
      <w:r w:rsidRPr="008E5C5F">
        <w:rPr>
          <w:rFonts w:ascii="Times New Roman" w:hAnsi="Times New Roman" w:cs="Times New Roman"/>
          <w:sz w:val="24"/>
          <w:szCs w:val="24"/>
        </w:rPr>
        <w:lastRenderedPageBreak/>
        <w:t>such as vasodilatory, antibacterial, anti-inflammatory, and antioxidant activities. Previous research has examined the antioxidant potential of naturally occurring phenolic components in relation to the protection of cancer, heart disease, and age-related degenerative brain illnesses.  (</w:t>
      </w:r>
      <w:proofErr w:type="spellStart"/>
      <w:r w:rsidRPr="008E5C5F">
        <w:rPr>
          <w:rFonts w:ascii="Times New Roman" w:hAnsi="Times New Roman" w:cs="Times New Roman"/>
          <w:sz w:val="24"/>
          <w:szCs w:val="24"/>
        </w:rPr>
        <w:t>Stoclet</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2004, Stevenson &amp; Hurst 2007).  </w:t>
      </w:r>
    </w:p>
    <w:p w14:paraId="53F6C01A"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Natural antioxidants used as feed supplements can improve not only animal production and health, but also their ability and resistance to many diseases. Seaweeds have antioxidant and immunomodulatory properties that can reduce oxidative damage, potentially improving the prognosis and treatment of infectious diseases for both humans and animals (Shi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2017; Juarez-Portilla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2019).   </w:t>
      </w:r>
      <w:commentRangeStart w:id="2"/>
      <w:r w:rsidRPr="008E5C5F">
        <w:rPr>
          <w:rFonts w:ascii="Times New Roman" w:hAnsi="Times New Roman" w:cs="Times New Roman"/>
          <w:sz w:val="24"/>
          <w:szCs w:val="24"/>
        </w:rPr>
        <w:t xml:space="preserve">Hence, the study aimed to assess the antioxidant activity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Enteromorpha intestinalis</w:t>
      </w:r>
      <w:r w:rsidRPr="008E5C5F">
        <w:rPr>
          <w:rFonts w:ascii="Times New Roman" w:hAnsi="Times New Roman" w:cs="Times New Roman"/>
          <w:sz w:val="24"/>
          <w:szCs w:val="24"/>
        </w:rPr>
        <w:t xml:space="preserve">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ornata</w:t>
      </w:r>
      <w:r w:rsidRPr="008E5C5F">
        <w:rPr>
          <w:rFonts w:ascii="Times New Roman" w:hAnsi="Times New Roman" w:cs="Times New Roman"/>
          <w:sz w:val="24"/>
          <w:szCs w:val="24"/>
        </w:rPr>
        <w:t xml:space="preserve"> </w:t>
      </w:r>
      <w:r w:rsidR="00786ECC">
        <w:rPr>
          <w:rFonts w:ascii="Times New Roman" w:hAnsi="Times New Roman" w:cs="Times New Roman"/>
          <w:sz w:val="24"/>
          <w:szCs w:val="24"/>
        </w:rPr>
        <w:t xml:space="preserve">were </w:t>
      </w:r>
      <w:r w:rsidRPr="008E5C5F">
        <w:rPr>
          <w:rFonts w:ascii="Times New Roman" w:hAnsi="Times New Roman" w:cs="Times New Roman"/>
          <w:sz w:val="24"/>
          <w:szCs w:val="24"/>
        </w:rPr>
        <w:t xml:space="preserve">obtained from </w:t>
      </w:r>
      <w:r>
        <w:rPr>
          <w:rFonts w:ascii="Times New Roman" w:hAnsi="Times New Roman" w:cs="Times New Roman"/>
          <w:sz w:val="24"/>
          <w:szCs w:val="24"/>
        </w:rPr>
        <w:t>Mandapam.</w:t>
      </w:r>
      <w:commentRangeEnd w:id="2"/>
      <w:r w:rsidR="009B4118">
        <w:rPr>
          <w:rStyle w:val="CommentReference"/>
        </w:rPr>
        <w:commentReference w:id="2"/>
      </w:r>
    </w:p>
    <w:p w14:paraId="3C349012"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2.Materials and method</w:t>
      </w:r>
    </w:p>
    <w:p w14:paraId="4787C839"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2.1. Collection of samples </w:t>
      </w:r>
    </w:p>
    <w:p w14:paraId="3F1909B3" w14:textId="77777777" w:rsidR="008E5C5F" w:rsidRPr="008E5C5F" w:rsidRDefault="008E5C5F" w:rsidP="00116286">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Fresh samples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i/>
          <w:iCs/>
          <w:sz w:val="24"/>
          <w:szCs w:val="24"/>
        </w:rPr>
        <w:t xml:space="preserve"> </w:t>
      </w:r>
      <w:proofErr w:type="spellStart"/>
      <w:proofErr w:type="gram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xml:space="preserve"> ,</w:t>
      </w:r>
      <w:proofErr w:type="gramEnd"/>
      <w:r w:rsidRPr="008E5C5F">
        <w:rPr>
          <w:rFonts w:ascii="Times New Roman" w:hAnsi="Times New Roman" w:cs="Times New Roman"/>
          <w:i/>
          <w:iCs/>
          <w:sz w:val="24"/>
          <w:szCs w:val="24"/>
        </w:rPr>
        <w:t xml:space="preserve"> Enteromorpha intestinalis</w:t>
      </w:r>
      <w:r w:rsidRPr="008E5C5F">
        <w:rPr>
          <w:rFonts w:ascii="Times New Roman" w:hAnsi="Times New Roman" w:cs="Times New Roman"/>
          <w:sz w:val="24"/>
          <w:szCs w:val="24"/>
        </w:rPr>
        <w:t xml:space="preserve">,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ornata</w:t>
      </w:r>
      <w:r w:rsidRPr="008E5C5F">
        <w:rPr>
          <w:rFonts w:ascii="Times New Roman" w:hAnsi="Times New Roman" w:cs="Times New Roman"/>
          <w:sz w:val="24"/>
          <w:szCs w:val="24"/>
        </w:rPr>
        <w:t xml:space="preserve"> were gathered from the Mandapam </w:t>
      </w:r>
      <w:r>
        <w:rPr>
          <w:rFonts w:ascii="Times New Roman" w:hAnsi="Times New Roman" w:cs="Times New Roman"/>
          <w:sz w:val="24"/>
          <w:szCs w:val="24"/>
        </w:rPr>
        <w:t xml:space="preserve">coast </w:t>
      </w:r>
      <w:r w:rsidRPr="008E5C5F">
        <w:rPr>
          <w:rFonts w:ascii="Times New Roman" w:hAnsi="Times New Roman" w:cs="Times New Roman"/>
          <w:sz w:val="24"/>
          <w:szCs w:val="24"/>
        </w:rPr>
        <w:t>Tamil Nadu, India. After being cleaned with marine water and brought to the lab in a plastic cover, the collected algal sample</w:t>
      </w:r>
      <w:r w:rsidR="00116286">
        <w:rPr>
          <w:rFonts w:ascii="Times New Roman" w:hAnsi="Times New Roman" w:cs="Times New Roman"/>
          <w:sz w:val="24"/>
          <w:szCs w:val="24"/>
        </w:rPr>
        <w:t>s were washed</w:t>
      </w:r>
      <w:r w:rsidRPr="008E5C5F">
        <w:rPr>
          <w:rFonts w:ascii="Times New Roman" w:hAnsi="Times New Roman" w:cs="Times New Roman"/>
          <w:sz w:val="24"/>
          <w:szCs w:val="24"/>
        </w:rPr>
        <w:t xml:space="preserve"> thoroughly clean with tap water and then distilled water to get rid of any salts, epiphytes, and debris.  After draining the water, the seaweeds were spread out on blotting paper to absorb any remaining moisture. At room temperature, the samples were shade-dried. The dried substance that resulted was ground into a coarse powder. The samples that were powdered were then kept in a refrigerator.</w:t>
      </w:r>
    </w:p>
    <w:p w14:paraId="3E95ED72"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2.2. Preparation of Samples</w:t>
      </w:r>
    </w:p>
    <w:p w14:paraId="18C30AF4" w14:textId="77777777" w:rsidR="008E5C5F" w:rsidRPr="008E5C5F" w:rsidRDefault="008E5C5F" w:rsidP="00D82274">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50 grams of the fine powder of each alga was extracted successively with 500 ml of organic solvent (Ethanol) in a Soxhlet apparatus for 8 hours. The extracts were filtered through Whatman No. 41 filter paper separately and all the extracts were concentrated in a rotatory vacuum evaporator (below 60</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The concentrated extracts were subjected to in vitro</w:t>
      </w:r>
      <w:r w:rsidR="002807D9">
        <w:rPr>
          <w:rFonts w:ascii="Times New Roman" w:hAnsi="Times New Roman" w:cs="Times New Roman"/>
          <w:sz w:val="24"/>
          <w:szCs w:val="24"/>
        </w:rPr>
        <w:t xml:space="preserve"> </w:t>
      </w:r>
      <w:r w:rsidRPr="008E5C5F">
        <w:rPr>
          <w:rFonts w:ascii="Times New Roman" w:hAnsi="Times New Roman" w:cs="Times New Roman"/>
          <w:sz w:val="24"/>
          <w:szCs w:val="24"/>
        </w:rPr>
        <w:t>antioxidant activity.</w:t>
      </w:r>
    </w:p>
    <w:p w14:paraId="0D87F2A2"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In vitro antioxidant activity </w:t>
      </w:r>
    </w:p>
    <w:p w14:paraId="3373E8F9"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2.3. DPPH radical scavenging activity</w:t>
      </w:r>
    </w:p>
    <w:p w14:paraId="00BD742C"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The DPPH is a stable free radical and is widely used to assess the radical scavenging activity of antioxidant component. This method is based on the reduction of DPPH in methanol solution in the presence of a hydrogen donating antioxidant due to the formation of the non- radical form DPPH (Blois, 1958).</w:t>
      </w:r>
    </w:p>
    <w:p w14:paraId="7F1E7C0B" w14:textId="77777777"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ab/>
        <w:t>The free radical scavenging activity of all the extracts was evaluated by 1, 1- diphenyl-2 picryl-</w:t>
      </w:r>
      <w:proofErr w:type="spellStart"/>
      <w:r w:rsidRPr="008E5C5F">
        <w:rPr>
          <w:rFonts w:ascii="Times New Roman" w:hAnsi="Times New Roman" w:cs="Times New Roman"/>
          <w:sz w:val="24"/>
          <w:szCs w:val="24"/>
        </w:rPr>
        <w:t>hydrazyl</w:t>
      </w:r>
      <w:proofErr w:type="spellEnd"/>
      <w:r w:rsidRPr="008E5C5F">
        <w:rPr>
          <w:rFonts w:ascii="Times New Roman" w:hAnsi="Times New Roman" w:cs="Times New Roman"/>
          <w:sz w:val="24"/>
          <w:szCs w:val="24"/>
        </w:rPr>
        <w:t xml:space="preserve"> (DPPH) according to the previously reported method (Blois, 1958). Briefly, 0.1 mM solution of DPPH in methanol was prepared and 1 ml of this solution was added to 3 ml of the solution of all extracts at different concentrations (50, 100, 200, 400 and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The mixtures were shaken vigorously and allowed to stand at room temperature for 30 minutes. Then the absorbance was measured at 517 nm using a UV-VIS spectrophotometer.  Ascorbic acid was used as the reference. Lower absorbance values of reaction mixture indicate higher free radical scavenging activity. The capability to scavenge the DPPH radical was calculated by using the following formula.</w:t>
      </w:r>
    </w:p>
    <w:p w14:paraId="4F89BDD0"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DPPH scavenging activity (% inhibition)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7243B7B1"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14:paraId="2AEAE70E"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2.4. Hydroxyl radical scavenging activity</w:t>
      </w:r>
    </w:p>
    <w:p w14:paraId="10AED157"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scavenging capacity for hydroxyl radical was measured according to the modified method of Halliwell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(1987). Stock solutions of EDTA (1 mM), FeCl</w:t>
      </w:r>
      <w:r w:rsidRPr="008E5C5F">
        <w:rPr>
          <w:rFonts w:ascii="Times New Roman" w:hAnsi="Times New Roman" w:cs="Times New Roman"/>
          <w:sz w:val="24"/>
          <w:szCs w:val="24"/>
          <w:vertAlign w:val="subscript"/>
        </w:rPr>
        <w:t>3</w:t>
      </w:r>
      <w:r w:rsidRPr="008E5C5F">
        <w:rPr>
          <w:rFonts w:ascii="Times New Roman" w:hAnsi="Times New Roman" w:cs="Times New Roman"/>
          <w:sz w:val="24"/>
          <w:szCs w:val="24"/>
        </w:rPr>
        <w:t xml:space="preserve"> (10 mM), Ascorbic Acid (1 mM),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(10 mM) and Deoxyribose (10 mM) were prepared in distilled deionized water. The assay was performed by adding 0.1 ml </w:t>
      </w:r>
      <w:proofErr w:type="gramStart"/>
      <w:r w:rsidRPr="008E5C5F">
        <w:rPr>
          <w:rFonts w:ascii="Times New Roman" w:hAnsi="Times New Roman" w:cs="Times New Roman"/>
          <w:sz w:val="24"/>
          <w:szCs w:val="24"/>
        </w:rPr>
        <w:t>EDTA ,</w:t>
      </w:r>
      <w:proofErr w:type="gramEnd"/>
      <w:r w:rsidRPr="008E5C5F">
        <w:rPr>
          <w:rFonts w:ascii="Times New Roman" w:hAnsi="Times New Roman" w:cs="Times New Roman"/>
          <w:sz w:val="24"/>
          <w:szCs w:val="24"/>
        </w:rPr>
        <w:t xml:space="preserve"> 0.01 ml of FeCl</w:t>
      </w:r>
      <w:r w:rsidRPr="008E5C5F">
        <w:rPr>
          <w:rFonts w:ascii="Times New Roman" w:hAnsi="Times New Roman" w:cs="Times New Roman"/>
          <w:sz w:val="24"/>
          <w:szCs w:val="24"/>
          <w:vertAlign w:val="subscript"/>
        </w:rPr>
        <w:t>3</w:t>
      </w:r>
      <w:r w:rsidRPr="008E5C5F">
        <w:rPr>
          <w:rFonts w:ascii="Times New Roman" w:hAnsi="Times New Roman" w:cs="Times New Roman"/>
          <w:sz w:val="24"/>
          <w:szCs w:val="24"/>
        </w:rPr>
        <w:t>, 0.1 ml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0.36 ml of deoxyribose, 1.0 ml of the extract of different concentration (50, 100, 200, 400 &amp;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dissolved in distilled water, 0.33 ml of phosphate buffer (50 mM, pH 7.9), 0.1 ml of ascorbic acid in sequence. The mixture was then incubated at 37</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1 hour. 1.0 ml of the incubated mixture was mixed with 1.0 ml of 10% TCA and 1.0 ml of 0.5% TBA (in 0.025 M NaOH containing 0.025% BHA) to develop the pink chromogen measured at 532 nm. The hydroxyl radical scavenging activity of the extract is reported as % inhibition of deoxyribose. The degradation is calculated by using the following equation. </w:t>
      </w:r>
    </w:p>
    <w:p w14:paraId="1DA1B480"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Hydroxyl radical scavenging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5F964753"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14:paraId="233B172B"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lastRenderedPageBreak/>
        <w:t>2.5. Superoxide radical scavenging activity</w:t>
      </w:r>
    </w:p>
    <w:p w14:paraId="2CF48232" w14:textId="77777777" w:rsidR="008E5C5F" w:rsidRPr="008E5C5F" w:rsidRDefault="008E5C5F" w:rsidP="0019402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superoxide anion scavenging activity was measured as described by Srinivasan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(2007). The superoxide anion radicals were generated in 3.0 ml of Tris - HCl buffer (16 mM, pH 8.0) containing 0.5 ml of NBT (0.3 mM), 0.5 ml NADH (0.936 mM) solution, 1.0 ml extract of different concentrations (50, 100, 200, 400 &amp;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and 0.5 ml Tris - HCl buffer (16 mM, pH 8.0). The reaction was started by adding 0.5 ml PMS solution (0.12 mM) to the mixture, incubated at 25</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5 min and the absorbance was measured at 560 nm against a blank sample, ascorbic acid. The percentage inhibition was calculated by using the following equation. </w:t>
      </w:r>
    </w:p>
    <w:p w14:paraId="3B338D22"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Superoxide radical scavenging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43BA2A71"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14:paraId="57FB09C4"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2.6. Antioxidant Activity by Radical Cation (ABTS</w:t>
      </w:r>
      <w:r w:rsidRPr="008E5C5F">
        <w:rPr>
          <w:rFonts w:ascii="Times New Roman" w:hAnsi="Times New Roman" w:cs="Times New Roman"/>
          <w:b/>
          <w:bCs/>
          <w:sz w:val="28"/>
          <w:szCs w:val="28"/>
          <w:vertAlign w:val="superscript"/>
        </w:rPr>
        <w:t>+</w:t>
      </w:r>
      <w:r w:rsidRPr="008E5C5F">
        <w:rPr>
          <w:rFonts w:ascii="Times New Roman" w:hAnsi="Times New Roman" w:cs="Times New Roman"/>
          <w:b/>
          <w:bCs/>
          <w:sz w:val="28"/>
          <w:szCs w:val="28"/>
        </w:rPr>
        <w:t>)</w:t>
      </w:r>
    </w:p>
    <w:p w14:paraId="54B28070" w14:textId="77777777" w:rsidR="008E5C5F" w:rsidRPr="008E5C5F" w:rsidRDefault="008E5C5F" w:rsidP="00D82274">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ABTS assay was based on the slightly modified method of Huang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(2011). ABTS radical cation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was produced by reacting 7 mM ABTS solution with 2.45 mM potassium persulphate and allowing the mixture to stand in the dark at room temperature for 12 - 16 hrs before use. The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Solution were diluted with ethanol to an absorbance of 0.70 + 0.02 at 734 nm. After addition of 100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of sample or Trolox standard to 3.9 ml of diluted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solution, absorbance was measured at 734 nm by Genesys 10S UV-VIS (</w:t>
      </w:r>
      <w:proofErr w:type="spellStart"/>
      <w:r w:rsidRPr="008E5C5F">
        <w:rPr>
          <w:rFonts w:ascii="Times New Roman" w:hAnsi="Times New Roman" w:cs="Times New Roman"/>
          <w:sz w:val="24"/>
          <w:szCs w:val="24"/>
        </w:rPr>
        <w:t>Thermo</w:t>
      </w:r>
      <w:proofErr w:type="spellEnd"/>
      <w:r w:rsidRPr="008E5C5F">
        <w:rPr>
          <w:rFonts w:ascii="Times New Roman" w:hAnsi="Times New Roman" w:cs="Times New Roman"/>
          <w:sz w:val="24"/>
          <w:szCs w:val="24"/>
        </w:rPr>
        <w:t xml:space="preserve"> scientific) exactly after 6 minutes. Results were expressed as Trolox equivalent antioxidant capacity (TEAC).  </w:t>
      </w:r>
    </w:p>
    <w:p w14:paraId="5EF63987"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radical cation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2709DF03"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 </w:t>
      </w:r>
    </w:p>
    <w:p w14:paraId="40BD504E"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2.7. Reducing Power Assay </w:t>
      </w:r>
    </w:p>
    <w:p w14:paraId="39BE8E7D"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reducing power of the different solvent of sea weed extract was determined by the method of Kumar and Hemalatha (2011). 1.0 ml of solution containing 50, 100, 200, 400 &amp;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of extract was mixed with sodium phosphate buffer (5.0 ml, 0.2 M, pH 6.6) and potassium ferricyanide (5.0 ml, 1.0%). The mixture was incubated at 50</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20 minutes. Then 5ml of 10% trichloroacetic acid was added and centrifuged at 980 rpm (10 minutes at 5</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 xml:space="preserve">C) in </w:t>
      </w:r>
      <w:r w:rsidRPr="008E5C5F">
        <w:rPr>
          <w:rFonts w:ascii="Times New Roman" w:hAnsi="Times New Roman" w:cs="Times New Roman"/>
          <w:sz w:val="24"/>
          <w:szCs w:val="24"/>
        </w:rPr>
        <w:lastRenderedPageBreak/>
        <w:t>a refrigerated centrifuge. The upper layer of the solution (5.0 ml) was diluted with 5.0 ml of distilled water and ferric chloride and absorbance read at 700 nm. The experiment was performed thrice and results were averaged.</w:t>
      </w:r>
    </w:p>
    <w:p w14:paraId="5E6D1631"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3.RESULT AND DISCUSSION</w:t>
      </w:r>
    </w:p>
    <w:p w14:paraId="19F94C44"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pharmaceutical, medical, cosmetic, nutraceutical, food, and agricultural sectors could all benefit economically from the numerous bioactive compounds present in marine algae.  Natural antioxidants, which are present in many types of algae, are important bioactive substances that protect cells from oxidative damage, hence reducing the risk of disease and ageing. Many studies have been conducted on the antioxidant properties of marine algae. They possess various antioxidant functions, which include scavenging free radicals like DPPH, Hydroxyl, Superoxide, ABTS, lipid peroxidation, and ferric reducing antioxidant capacity.</w:t>
      </w:r>
    </w:p>
    <w:p w14:paraId="0BEF86DA" w14:textId="77777777" w:rsidR="00AA5D26"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This study examined the antioxidant activity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i/>
          <w:iCs/>
          <w:sz w:val="24"/>
          <w:szCs w:val="24"/>
        </w:rPr>
        <w:t xml:space="preserve"> </w:t>
      </w:r>
      <w:proofErr w:type="spellStart"/>
      <w:proofErr w:type="gram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xml:space="preserve"> ,</w:t>
      </w:r>
      <w:proofErr w:type="gramEnd"/>
      <w:r w:rsidRPr="008E5C5F">
        <w:rPr>
          <w:rFonts w:ascii="Times New Roman" w:hAnsi="Times New Roman" w:cs="Times New Roman"/>
          <w:i/>
          <w:iCs/>
          <w:sz w:val="24"/>
          <w:szCs w:val="24"/>
        </w:rPr>
        <w:t xml:space="preserve"> Enteromorpha</w:t>
      </w:r>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intestinalis</w:t>
      </w:r>
      <w:r w:rsidRPr="008E5C5F">
        <w:rPr>
          <w:rFonts w:ascii="Times New Roman" w:hAnsi="Times New Roman" w:cs="Times New Roman"/>
          <w:sz w:val="24"/>
          <w:szCs w:val="24"/>
        </w:rPr>
        <w:t xml:space="preserve">,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ornata</w:t>
      </w:r>
      <w:r w:rsidRPr="008E5C5F">
        <w:rPr>
          <w:rFonts w:ascii="Times New Roman" w:hAnsi="Times New Roman" w:cs="Times New Roman"/>
          <w:sz w:val="24"/>
          <w:szCs w:val="24"/>
        </w:rPr>
        <w:t xml:space="preserve">, revealing that the extracts exhibited the activity in a concentration-dependent manner. The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extract (75.31%) had the highest DPPH activity, while the </w:t>
      </w:r>
      <w:proofErr w:type="spellStart"/>
      <w:r w:rsidRPr="008E5C5F">
        <w:rPr>
          <w:rFonts w:ascii="Times New Roman" w:hAnsi="Times New Roman" w:cs="Times New Roman"/>
          <w:i/>
          <w:iCs/>
          <w:sz w:val="24"/>
          <w:szCs w:val="24"/>
        </w:rPr>
        <w:t>C.clavulatum</w:t>
      </w:r>
      <w:proofErr w:type="spellEnd"/>
      <w:r w:rsidRPr="008E5C5F">
        <w:rPr>
          <w:rFonts w:ascii="Times New Roman" w:hAnsi="Times New Roman" w:cs="Times New Roman"/>
          <w:sz w:val="24"/>
          <w:szCs w:val="24"/>
        </w:rPr>
        <w:t xml:space="preserve"> extract (61.86%) had the lowest activity at 800 mg/ml. (Fig.1).  The </w:t>
      </w:r>
      <w:r w:rsidRPr="008E5C5F">
        <w:rPr>
          <w:rFonts w:ascii="Times New Roman" w:hAnsi="Times New Roman" w:cs="Times New Roman"/>
          <w:i/>
          <w:iCs/>
          <w:sz w:val="24"/>
          <w:szCs w:val="24"/>
        </w:rPr>
        <w:t xml:space="preserve">C. </w:t>
      </w:r>
      <w:proofErr w:type="spellStart"/>
      <w:proofErr w:type="gram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xml:space="preserve"> ,</w:t>
      </w:r>
      <w:proofErr w:type="gramEnd"/>
      <w:r w:rsidRPr="008E5C5F">
        <w:rPr>
          <w:rFonts w:ascii="Times New Roman" w:hAnsi="Times New Roman" w:cs="Times New Roman"/>
          <w:i/>
          <w:iCs/>
          <w:sz w:val="24"/>
          <w:szCs w:val="24"/>
        </w:rPr>
        <w:t xml:space="preserve"> E. intestinalis</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T. ornata</w:t>
      </w:r>
      <w:r w:rsidRPr="008E5C5F">
        <w:rPr>
          <w:rFonts w:ascii="Times New Roman" w:hAnsi="Times New Roman" w:cs="Times New Roman"/>
          <w:sz w:val="24"/>
          <w:szCs w:val="24"/>
        </w:rPr>
        <w:t xml:space="preserve">, </w:t>
      </w:r>
      <w:proofErr w:type="spellStart"/>
      <w:r w:rsidR="00BC5DEF">
        <w:rPr>
          <w:rFonts w:ascii="Times New Roman" w:hAnsi="Times New Roman" w:cs="Times New Roman"/>
          <w:sz w:val="24"/>
          <w:szCs w:val="24"/>
        </w:rPr>
        <w:t>concentrate;’</w:t>
      </w:r>
      <w:r w:rsidRPr="008E5C5F">
        <w:rPr>
          <w:rFonts w:ascii="Times New Roman" w:hAnsi="Times New Roman" w:cs="Times New Roman"/>
          <w:sz w:val="24"/>
          <w:szCs w:val="24"/>
        </w:rPr>
        <w:t>ions</w:t>
      </w:r>
      <w:proofErr w:type="spellEnd"/>
      <w:r w:rsidRPr="008E5C5F">
        <w:rPr>
          <w:rFonts w:ascii="Times New Roman" w:hAnsi="Times New Roman" w:cs="Times New Roman"/>
          <w:sz w:val="24"/>
          <w:szCs w:val="24"/>
        </w:rPr>
        <w:t xml:space="preserve"> required for</w:t>
      </w:r>
      <w:r w:rsidR="009E7910">
        <w:rPr>
          <w:rFonts w:ascii="Times New Roman" w:hAnsi="Times New Roman" w:cs="Times New Roman"/>
          <w:sz w:val="24"/>
          <w:szCs w:val="24"/>
        </w:rPr>
        <w:t xml:space="preserve">  </w:t>
      </w:r>
      <w:r w:rsidRPr="008E5C5F">
        <w:rPr>
          <w:rFonts w:ascii="Times New Roman" w:hAnsi="Times New Roman" w:cs="Times New Roman"/>
          <w:sz w:val="24"/>
          <w:szCs w:val="24"/>
        </w:rPr>
        <w:t>50% inhibition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were 15.87, 16.42, and 17.09 mg/ml. While ascorbic acid required 16.21 mg/ml. </w:t>
      </w:r>
      <w:r w:rsidR="00AA5D26">
        <w:rPr>
          <w:rFonts w:ascii="Times New Roman" w:hAnsi="Times New Roman" w:cs="Times New Roman"/>
          <w:sz w:val="24"/>
          <w:szCs w:val="24"/>
        </w:rPr>
        <w:t>(Table 1)</w:t>
      </w:r>
    </w:p>
    <w:p w14:paraId="7F150ADF" w14:textId="77777777" w:rsidR="008E5C5F" w:rsidRPr="008E5C5F" w:rsidRDefault="00AA5D26" w:rsidP="008E5C5F">
      <w:pPr>
        <w:spacing w:line="360" w:lineRule="auto"/>
        <w:jc w:val="both"/>
        <w:rPr>
          <w:rFonts w:ascii="Times New Roman" w:hAnsi="Times New Roman" w:cs="Times New Roman"/>
          <w:sz w:val="24"/>
          <w:szCs w:val="24"/>
        </w:rPr>
      </w:pPr>
      <w:r w:rsidRPr="008C54B2">
        <w:rPr>
          <w:rFonts w:ascii="Times New Roman" w:hAnsi="Times New Roman" w:cs="Times New Roman"/>
          <w:noProof/>
          <w:sz w:val="24"/>
          <w:szCs w:val="24"/>
        </w:rPr>
        <w:drawing>
          <wp:inline distT="0" distB="0" distL="0" distR="0" wp14:anchorId="68A6BE00" wp14:editId="5FD3FF88">
            <wp:extent cx="5699760" cy="2857500"/>
            <wp:effectExtent l="0" t="0" r="15240" b="0"/>
            <wp:docPr id="1502186043" name="Chart 1">
              <a:extLst xmlns:a="http://schemas.openxmlformats.org/drawingml/2006/main">
                <a:ext uri="{FF2B5EF4-FFF2-40B4-BE49-F238E27FC236}">
                  <a16:creationId xmlns:a16="http://schemas.microsoft.com/office/drawing/2014/main" id="{62D2F9E1-47E0-8A56-FE14-3B70AE1F4E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4EF742" w14:textId="77777777" w:rsidR="008E5C5F" w:rsidRPr="008E5C5F" w:rsidRDefault="008E5C5F" w:rsidP="002807D9">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Fig.1 DPPH radical scavenging Activity of seaweeds</w:t>
      </w:r>
    </w:p>
    <w:p w14:paraId="21708EB2" w14:textId="77777777" w:rsidR="008E5C5F" w:rsidRPr="008E5C5F" w:rsidRDefault="008E5C5F" w:rsidP="003379F3">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 xml:space="preserve">The DPPH radical scavenging assay is a rapid method for assessing the antioxidant capacity of a compound. When reduced in the presence of hydrogen-donating antioxidants, DPPH (1, 1-diphenyl-2-picryl-hydrazyl) is a persistent free radical that causes ethanol to change from a purple colour to colourless. (Garcia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2012) Consequently, the typical absorption of DPPH decreases as the concentration of the antioxidant compound increases, suggesting that the compound can scavenge DPPH (Dore </w:t>
      </w:r>
      <w:r w:rsidRPr="008E5C5F">
        <w:rPr>
          <w:rFonts w:ascii="Times New Roman" w:hAnsi="Times New Roman" w:cs="Times New Roman"/>
          <w:i/>
          <w:iCs/>
          <w:sz w:val="24"/>
          <w:szCs w:val="24"/>
        </w:rPr>
        <w:t>et.al.,</w:t>
      </w:r>
      <w:r w:rsidRPr="008E5C5F">
        <w:rPr>
          <w:rFonts w:ascii="Times New Roman" w:hAnsi="Times New Roman" w:cs="Times New Roman"/>
          <w:sz w:val="24"/>
          <w:szCs w:val="24"/>
        </w:rPr>
        <w:t xml:space="preserve">2013, Swathi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2024)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 xml:space="preserve"> /ml was found to exhibit the highest percentage of activity. The ascorbic acid standard was used to compare the algal extract's results. The present findings are consistent with those of a prior study. (Khan </w:t>
      </w:r>
      <w:r w:rsidRPr="008E5C5F">
        <w:rPr>
          <w:rFonts w:ascii="Times New Roman" w:hAnsi="Times New Roman" w:cs="Times New Roman"/>
          <w:i/>
          <w:iCs/>
          <w:sz w:val="24"/>
          <w:szCs w:val="24"/>
        </w:rPr>
        <w:t>et</w:t>
      </w:r>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al.,</w:t>
      </w:r>
      <w:r w:rsidRPr="008E5C5F">
        <w:rPr>
          <w:rFonts w:ascii="Times New Roman" w:hAnsi="Times New Roman" w:cs="Times New Roman"/>
          <w:sz w:val="24"/>
          <w:szCs w:val="24"/>
        </w:rPr>
        <w:t xml:space="preserve"> 2021, Si-Min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2022) </w:t>
      </w:r>
    </w:p>
    <w:p w14:paraId="761F15D5" w14:textId="77777777" w:rsidR="00424B82" w:rsidRDefault="008E5C5F" w:rsidP="003379F3">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hydroxyl radical, the most reactive free radical, can be produced by superoxide anions and hydrogen peroxides in the presence of metal ions like copper and iron. Hydroxyl radicals can harm various biomolecules, such as proteins, DNA, polyunsaturated fatty acids, and nucleic acids.  (</w:t>
      </w:r>
      <w:proofErr w:type="spellStart"/>
      <w:r w:rsidRPr="008E5C5F">
        <w:rPr>
          <w:rFonts w:ascii="Times New Roman" w:hAnsi="Times New Roman" w:cs="Times New Roman"/>
          <w:sz w:val="24"/>
          <w:szCs w:val="24"/>
        </w:rPr>
        <w:t>Aruoma</w:t>
      </w:r>
      <w:proofErr w:type="spellEnd"/>
      <w:r w:rsidRPr="008E5C5F">
        <w:rPr>
          <w:rFonts w:ascii="Times New Roman" w:hAnsi="Times New Roman" w:cs="Times New Roman"/>
          <w:sz w:val="24"/>
          <w:szCs w:val="24"/>
        </w:rPr>
        <w:t xml:space="preserve"> 1998).  The Fenton reaction was used to examine the scavenging effect of OH, and the 50% inhibition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was 12.08,15.48,15.11 mg/ml while the ascorbic acid exhibited 16.11 mg/ml</w:t>
      </w:r>
      <w:r w:rsidRPr="008E5C5F">
        <w:rPr>
          <w:rFonts w:ascii="Times New Roman" w:hAnsi="Times New Roman" w:cs="Times New Roman"/>
          <w:i/>
          <w:iCs/>
          <w:sz w:val="24"/>
          <w:szCs w:val="24"/>
        </w:rPr>
        <w:t>. E. intestinalis</w:t>
      </w:r>
      <w:r w:rsidRPr="008E5C5F">
        <w:rPr>
          <w:rFonts w:ascii="Times New Roman" w:hAnsi="Times New Roman" w:cs="Times New Roman"/>
          <w:sz w:val="24"/>
          <w:szCs w:val="24"/>
        </w:rPr>
        <w:t xml:space="preserve"> was recorded as the highest percentage (69.23%) followed by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(63.16%) and </w:t>
      </w:r>
      <w:proofErr w:type="spellStart"/>
      <w:r w:rsidRPr="008E5C5F">
        <w:rPr>
          <w:rFonts w:ascii="Times New Roman" w:hAnsi="Times New Roman" w:cs="Times New Roman"/>
          <w:i/>
          <w:iCs/>
          <w:sz w:val="24"/>
          <w:szCs w:val="24"/>
        </w:rPr>
        <w:t>C.clavulatum</w:t>
      </w:r>
      <w:proofErr w:type="spellEnd"/>
      <w:r w:rsidRPr="008E5C5F">
        <w:rPr>
          <w:rFonts w:ascii="Times New Roman" w:hAnsi="Times New Roman" w:cs="Times New Roman"/>
          <w:sz w:val="24"/>
          <w:szCs w:val="24"/>
        </w:rPr>
        <w:t xml:space="preserve"> (59.31%), respectively, which was shown in the table 1 and Fig.2.   </w:t>
      </w:r>
    </w:p>
    <w:p w14:paraId="21957E0C" w14:textId="77777777" w:rsidR="008E5C5F" w:rsidRPr="008E5C5F" w:rsidRDefault="00424B82" w:rsidP="009E7910">
      <w:pPr>
        <w:spacing w:line="360" w:lineRule="auto"/>
        <w:jc w:val="center"/>
        <w:rPr>
          <w:rFonts w:ascii="Times New Roman" w:hAnsi="Times New Roman" w:cs="Times New Roman"/>
          <w:sz w:val="24"/>
          <w:szCs w:val="24"/>
        </w:rPr>
      </w:pPr>
      <w:r w:rsidRPr="008C54B2">
        <w:rPr>
          <w:rFonts w:ascii="Times New Roman" w:hAnsi="Times New Roman" w:cs="Times New Roman"/>
          <w:noProof/>
          <w:sz w:val="24"/>
          <w:szCs w:val="24"/>
        </w:rPr>
        <w:drawing>
          <wp:inline distT="0" distB="0" distL="0" distR="0" wp14:anchorId="62FEF612" wp14:editId="6A32FF6E">
            <wp:extent cx="5707380" cy="2743200"/>
            <wp:effectExtent l="0" t="0" r="7620" b="0"/>
            <wp:docPr id="1818721828" name="Chart 1">
              <a:extLst xmlns:a="http://schemas.openxmlformats.org/drawingml/2006/main">
                <a:ext uri="{FF2B5EF4-FFF2-40B4-BE49-F238E27FC236}">
                  <a16:creationId xmlns:a16="http://schemas.microsoft.com/office/drawing/2014/main" id="{31772DCF-F722-A1C3-742E-083DBEB30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E5C5F" w:rsidRPr="008E5C5F">
        <w:rPr>
          <w:rFonts w:ascii="Times New Roman" w:hAnsi="Times New Roman" w:cs="Times New Roman"/>
          <w:sz w:val="24"/>
          <w:szCs w:val="24"/>
        </w:rPr>
        <w:t>Fig.2.Hyd</w:t>
      </w:r>
      <w:r>
        <w:rPr>
          <w:rFonts w:ascii="Times New Roman" w:hAnsi="Times New Roman" w:cs="Times New Roman"/>
          <w:sz w:val="24"/>
          <w:szCs w:val="24"/>
        </w:rPr>
        <w:t>r</w:t>
      </w:r>
      <w:r w:rsidR="008E5C5F" w:rsidRPr="008E5C5F">
        <w:rPr>
          <w:rFonts w:ascii="Times New Roman" w:hAnsi="Times New Roman" w:cs="Times New Roman"/>
          <w:sz w:val="24"/>
          <w:szCs w:val="24"/>
        </w:rPr>
        <w:t>oxyl radical scavenging activity of seaweeds</w:t>
      </w:r>
    </w:p>
    <w:p w14:paraId="7F115AF6" w14:textId="77777777" w:rsidR="009E7910" w:rsidRDefault="008E5C5F" w:rsidP="009E7910">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is a non-radical compound with biological significance due to its ability to penetrate biological membranes.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is not very reactive, but it can sometimes be toxic to the cell because it can give rise to hydroxyl radicals in the cells (singlet oxygen and HO radicals) (Ma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2011).  Thus, removing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is critical to protecting the biological system in general, </w:t>
      </w:r>
      <w:r w:rsidRPr="008E5C5F">
        <w:rPr>
          <w:rFonts w:ascii="Times New Roman" w:hAnsi="Times New Roman" w:cs="Times New Roman"/>
          <w:sz w:val="24"/>
          <w:szCs w:val="24"/>
        </w:rPr>
        <w:lastRenderedPageBreak/>
        <w:t xml:space="preserve">and food components in particular. Extracts of brown seaweeds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have been shown to have over 90%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scavenging activity (Heo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2005) indicating their high content of natural antioxidants capable of scavenging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radicals. Many other seaweed species have been reported in the literature as having potential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scavenging activity (Gupta &amp; Abu-Ghannam 2011). The hydroxyl radical is a highly reactive species that targets almost every biological compound. It is made from hydrogen peroxide by the Fenton reaction, which is catalysed by metal ions (Cu2</w:t>
      </w:r>
      <w:r w:rsidRPr="008E5C5F">
        <w:rPr>
          <w:rFonts w:ascii="Times New Roman" w:hAnsi="Times New Roman" w:cs="Times New Roman"/>
          <w:sz w:val="24"/>
          <w:szCs w:val="24"/>
          <w:vertAlign w:val="superscript"/>
        </w:rPr>
        <w:t xml:space="preserve">+ </w:t>
      </w:r>
      <w:r w:rsidRPr="008E5C5F">
        <w:rPr>
          <w:rFonts w:ascii="Times New Roman" w:hAnsi="Times New Roman" w:cs="Times New Roman"/>
          <w:sz w:val="24"/>
          <w:szCs w:val="24"/>
        </w:rPr>
        <w:t>or Fe2</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(Heo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.,2006.,). The scavenging activity of algal extracts was assessed using the percentage of inhibition of hydroxyl radicals produced in the Fenton reaction mixture; the results are shown in table 1.</w:t>
      </w:r>
      <w:r w:rsidR="009E7910">
        <w:rPr>
          <w:rFonts w:ascii="Times New Roman" w:hAnsi="Times New Roman" w:cs="Times New Roman"/>
          <w:sz w:val="24"/>
          <w:szCs w:val="24"/>
        </w:rPr>
        <w:t xml:space="preserve"> </w:t>
      </w:r>
    </w:p>
    <w:p w14:paraId="57DB8FF1" w14:textId="77777777" w:rsidR="008E5C5F" w:rsidRPr="0067420B" w:rsidRDefault="008E5C5F" w:rsidP="009E7910">
      <w:pPr>
        <w:spacing w:line="360" w:lineRule="auto"/>
        <w:ind w:firstLine="720"/>
        <w:jc w:val="both"/>
        <w:rPr>
          <w:rFonts w:ascii="Times New Roman" w:hAnsi="Times New Roman" w:cs="Times New Roman"/>
          <w:b/>
          <w:bCs/>
          <w:sz w:val="24"/>
          <w:szCs w:val="24"/>
        </w:rPr>
      </w:pPr>
      <w:r w:rsidRPr="008E5C5F">
        <w:rPr>
          <w:rFonts w:ascii="Times New Roman" w:hAnsi="Times New Roman" w:cs="Times New Roman"/>
          <w:b/>
          <w:bCs/>
          <w:sz w:val="24"/>
          <w:szCs w:val="24"/>
        </w:rPr>
        <w:t>IC 50 Values of seaweeds</w:t>
      </w:r>
    </w:p>
    <w:tbl>
      <w:tblPr>
        <w:tblStyle w:val="TableGrid"/>
        <w:tblW w:w="0" w:type="auto"/>
        <w:tblLook w:val="04A0" w:firstRow="1" w:lastRow="0" w:firstColumn="1" w:lastColumn="0" w:noHBand="0" w:noVBand="1"/>
      </w:tblPr>
      <w:tblGrid>
        <w:gridCol w:w="1803"/>
        <w:gridCol w:w="1803"/>
        <w:gridCol w:w="1803"/>
        <w:gridCol w:w="1803"/>
        <w:gridCol w:w="1804"/>
      </w:tblGrid>
      <w:tr w:rsidR="0067420B" w:rsidRPr="008C54B2" w14:paraId="7B2C6E46" w14:textId="77777777" w:rsidTr="00CE7FED">
        <w:tc>
          <w:tcPr>
            <w:tcW w:w="1803" w:type="dxa"/>
          </w:tcPr>
          <w:p w14:paraId="1D2E0511" w14:textId="77777777" w:rsidR="0067420B" w:rsidRPr="009E7910" w:rsidRDefault="0067420B" w:rsidP="00CE7FED">
            <w:pPr>
              <w:spacing w:line="360" w:lineRule="auto"/>
              <w:jc w:val="center"/>
              <w:rPr>
                <w:rFonts w:ascii="Times New Roman" w:hAnsi="Times New Roman" w:cs="Times New Roman"/>
                <w:sz w:val="20"/>
                <w:szCs w:val="20"/>
                <w:lang w:val="en-US"/>
              </w:rPr>
            </w:pPr>
            <w:commentRangeStart w:id="3"/>
            <w:r w:rsidRPr="009E7910">
              <w:rPr>
                <w:rFonts w:ascii="Times New Roman" w:hAnsi="Times New Roman" w:cs="Times New Roman"/>
                <w:sz w:val="20"/>
                <w:szCs w:val="20"/>
                <w:lang w:val="en-US"/>
              </w:rPr>
              <w:t>ASSAYS</w:t>
            </w:r>
          </w:p>
        </w:tc>
        <w:tc>
          <w:tcPr>
            <w:tcW w:w="1803" w:type="dxa"/>
          </w:tcPr>
          <w:p w14:paraId="098521F7" w14:textId="77777777" w:rsidR="0067420B" w:rsidRPr="009E7910" w:rsidRDefault="0067420B" w:rsidP="00CE7FED">
            <w:pPr>
              <w:spacing w:line="360" w:lineRule="auto"/>
              <w:jc w:val="center"/>
              <w:rPr>
                <w:rFonts w:ascii="Times New Roman" w:hAnsi="Times New Roman" w:cs="Times New Roman"/>
                <w:i/>
                <w:iCs/>
                <w:sz w:val="20"/>
                <w:szCs w:val="20"/>
                <w:lang w:val="en-US"/>
              </w:rPr>
            </w:pPr>
            <w:proofErr w:type="spellStart"/>
            <w:r w:rsidRPr="009E7910">
              <w:rPr>
                <w:rFonts w:ascii="Times New Roman" w:hAnsi="Times New Roman" w:cs="Times New Roman"/>
                <w:i/>
                <w:iCs/>
                <w:sz w:val="20"/>
                <w:szCs w:val="20"/>
                <w:lang w:val="en-US"/>
              </w:rPr>
              <w:t>C.clavulatum</w:t>
            </w:r>
            <w:proofErr w:type="spellEnd"/>
          </w:p>
        </w:tc>
        <w:tc>
          <w:tcPr>
            <w:tcW w:w="1803" w:type="dxa"/>
          </w:tcPr>
          <w:p w14:paraId="5374AA77" w14:textId="77777777" w:rsidR="0067420B" w:rsidRPr="009E7910" w:rsidRDefault="0067420B" w:rsidP="00CE7FED">
            <w:pPr>
              <w:spacing w:line="360" w:lineRule="auto"/>
              <w:jc w:val="center"/>
              <w:rPr>
                <w:rFonts w:ascii="Times New Roman" w:hAnsi="Times New Roman" w:cs="Times New Roman"/>
                <w:i/>
                <w:iCs/>
                <w:sz w:val="20"/>
                <w:szCs w:val="20"/>
                <w:lang w:val="en-US"/>
              </w:rPr>
            </w:pPr>
            <w:proofErr w:type="spellStart"/>
            <w:proofErr w:type="gramStart"/>
            <w:r w:rsidRPr="009E7910">
              <w:rPr>
                <w:rFonts w:ascii="Times New Roman" w:hAnsi="Times New Roman" w:cs="Times New Roman"/>
                <w:i/>
                <w:iCs/>
                <w:sz w:val="20"/>
                <w:szCs w:val="20"/>
                <w:lang w:val="en-US"/>
              </w:rPr>
              <w:t>E.intestinalis</w:t>
            </w:r>
            <w:proofErr w:type="spellEnd"/>
            <w:proofErr w:type="gramEnd"/>
          </w:p>
        </w:tc>
        <w:tc>
          <w:tcPr>
            <w:tcW w:w="1803" w:type="dxa"/>
          </w:tcPr>
          <w:p w14:paraId="3DBC77BD" w14:textId="77777777" w:rsidR="0067420B" w:rsidRPr="009E7910" w:rsidRDefault="0067420B" w:rsidP="00CE7FED">
            <w:pPr>
              <w:spacing w:line="360" w:lineRule="auto"/>
              <w:jc w:val="center"/>
              <w:rPr>
                <w:rFonts w:ascii="Times New Roman" w:hAnsi="Times New Roman" w:cs="Times New Roman"/>
                <w:i/>
                <w:iCs/>
                <w:sz w:val="20"/>
                <w:szCs w:val="20"/>
                <w:lang w:val="en-US"/>
              </w:rPr>
            </w:pPr>
            <w:proofErr w:type="spellStart"/>
            <w:proofErr w:type="gramStart"/>
            <w:r w:rsidRPr="009E7910">
              <w:rPr>
                <w:rFonts w:ascii="Times New Roman" w:hAnsi="Times New Roman" w:cs="Times New Roman"/>
                <w:i/>
                <w:iCs/>
                <w:sz w:val="20"/>
                <w:szCs w:val="20"/>
                <w:lang w:val="en-US"/>
              </w:rPr>
              <w:t>T.ornata</w:t>
            </w:r>
            <w:proofErr w:type="spellEnd"/>
            <w:proofErr w:type="gramEnd"/>
          </w:p>
        </w:tc>
        <w:tc>
          <w:tcPr>
            <w:tcW w:w="1804" w:type="dxa"/>
          </w:tcPr>
          <w:p w14:paraId="024A65B4" w14:textId="77777777" w:rsidR="0067420B" w:rsidRPr="009E7910" w:rsidRDefault="0067420B" w:rsidP="00CE7FED">
            <w:pPr>
              <w:spacing w:line="360" w:lineRule="auto"/>
              <w:rPr>
                <w:rFonts w:ascii="Times New Roman" w:hAnsi="Times New Roman" w:cs="Times New Roman"/>
                <w:sz w:val="20"/>
                <w:szCs w:val="20"/>
                <w:lang w:val="en-US"/>
              </w:rPr>
            </w:pPr>
            <w:r w:rsidRPr="009E7910">
              <w:rPr>
                <w:rFonts w:ascii="Times New Roman" w:hAnsi="Times New Roman" w:cs="Times New Roman"/>
                <w:sz w:val="20"/>
                <w:szCs w:val="20"/>
                <w:lang w:val="en-US"/>
              </w:rPr>
              <w:t>STANDARD (Ascorbic acid)</w:t>
            </w:r>
          </w:p>
        </w:tc>
      </w:tr>
      <w:tr w:rsidR="0067420B" w:rsidRPr="008C54B2" w14:paraId="3023D5AE" w14:textId="77777777" w:rsidTr="00CE7FED">
        <w:tc>
          <w:tcPr>
            <w:tcW w:w="1803" w:type="dxa"/>
          </w:tcPr>
          <w:p w14:paraId="728F62FF"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DPPH</w:t>
            </w:r>
          </w:p>
        </w:tc>
        <w:tc>
          <w:tcPr>
            <w:tcW w:w="1803" w:type="dxa"/>
          </w:tcPr>
          <w:p w14:paraId="01D5D33E"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15.87</w:t>
            </w:r>
          </w:p>
        </w:tc>
        <w:tc>
          <w:tcPr>
            <w:tcW w:w="1803" w:type="dxa"/>
          </w:tcPr>
          <w:p w14:paraId="031595B8"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16.42</w:t>
            </w:r>
          </w:p>
        </w:tc>
        <w:tc>
          <w:tcPr>
            <w:tcW w:w="1803" w:type="dxa"/>
          </w:tcPr>
          <w:p w14:paraId="6E1D5D0E"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17.09</w:t>
            </w:r>
          </w:p>
        </w:tc>
        <w:tc>
          <w:tcPr>
            <w:tcW w:w="1804" w:type="dxa"/>
          </w:tcPr>
          <w:p w14:paraId="7787CF2C"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16.21</w:t>
            </w:r>
          </w:p>
        </w:tc>
      </w:tr>
      <w:tr w:rsidR="0067420B" w:rsidRPr="008C54B2" w14:paraId="5C183889" w14:textId="77777777" w:rsidTr="00CE7FED">
        <w:tc>
          <w:tcPr>
            <w:tcW w:w="1803" w:type="dxa"/>
          </w:tcPr>
          <w:p w14:paraId="69C93014"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Hydroxyl</w:t>
            </w:r>
          </w:p>
        </w:tc>
        <w:tc>
          <w:tcPr>
            <w:tcW w:w="1803" w:type="dxa"/>
          </w:tcPr>
          <w:p w14:paraId="66464E1F"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12.08</w:t>
            </w:r>
          </w:p>
        </w:tc>
        <w:tc>
          <w:tcPr>
            <w:tcW w:w="1803" w:type="dxa"/>
          </w:tcPr>
          <w:p w14:paraId="322FF9D1"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15.48</w:t>
            </w:r>
          </w:p>
        </w:tc>
        <w:tc>
          <w:tcPr>
            <w:tcW w:w="1803" w:type="dxa"/>
          </w:tcPr>
          <w:p w14:paraId="758F98BF"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15.11</w:t>
            </w:r>
          </w:p>
        </w:tc>
        <w:tc>
          <w:tcPr>
            <w:tcW w:w="1804" w:type="dxa"/>
          </w:tcPr>
          <w:p w14:paraId="20E3BEB7"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16.11</w:t>
            </w:r>
          </w:p>
        </w:tc>
      </w:tr>
      <w:tr w:rsidR="0067420B" w:rsidRPr="008C54B2" w14:paraId="796BD358" w14:textId="77777777" w:rsidTr="00CE7FED">
        <w:tc>
          <w:tcPr>
            <w:tcW w:w="1803" w:type="dxa"/>
          </w:tcPr>
          <w:p w14:paraId="283DD99B"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ABTS</w:t>
            </w:r>
          </w:p>
        </w:tc>
        <w:tc>
          <w:tcPr>
            <w:tcW w:w="1803" w:type="dxa"/>
          </w:tcPr>
          <w:p w14:paraId="67D1D01F"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14.16</w:t>
            </w:r>
          </w:p>
        </w:tc>
        <w:tc>
          <w:tcPr>
            <w:tcW w:w="1803" w:type="dxa"/>
          </w:tcPr>
          <w:p w14:paraId="772A13AB"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18.28</w:t>
            </w:r>
          </w:p>
        </w:tc>
        <w:tc>
          <w:tcPr>
            <w:tcW w:w="1803" w:type="dxa"/>
          </w:tcPr>
          <w:p w14:paraId="2441823B"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12.34</w:t>
            </w:r>
          </w:p>
        </w:tc>
        <w:tc>
          <w:tcPr>
            <w:tcW w:w="1804" w:type="dxa"/>
          </w:tcPr>
          <w:p w14:paraId="002DD5B3"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16.88</w:t>
            </w:r>
          </w:p>
        </w:tc>
      </w:tr>
      <w:tr w:rsidR="0067420B" w:rsidRPr="008C54B2" w14:paraId="6FEEE882" w14:textId="77777777" w:rsidTr="00CE7FED">
        <w:tc>
          <w:tcPr>
            <w:tcW w:w="1803" w:type="dxa"/>
          </w:tcPr>
          <w:p w14:paraId="3897D453"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Super oxide</w:t>
            </w:r>
          </w:p>
        </w:tc>
        <w:tc>
          <w:tcPr>
            <w:tcW w:w="1803" w:type="dxa"/>
          </w:tcPr>
          <w:p w14:paraId="33B95808"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15.45</w:t>
            </w:r>
          </w:p>
        </w:tc>
        <w:tc>
          <w:tcPr>
            <w:tcW w:w="1803" w:type="dxa"/>
          </w:tcPr>
          <w:p w14:paraId="6873099D"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16.31</w:t>
            </w:r>
          </w:p>
        </w:tc>
        <w:tc>
          <w:tcPr>
            <w:tcW w:w="1803" w:type="dxa"/>
          </w:tcPr>
          <w:p w14:paraId="2044BCA8"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12.98</w:t>
            </w:r>
          </w:p>
        </w:tc>
        <w:tc>
          <w:tcPr>
            <w:tcW w:w="1804" w:type="dxa"/>
          </w:tcPr>
          <w:p w14:paraId="08062CBC"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13.57</w:t>
            </w:r>
            <w:commentRangeEnd w:id="3"/>
            <w:r w:rsidR="00D16067">
              <w:rPr>
                <w:rStyle w:val="CommentReference"/>
              </w:rPr>
              <w:commentReference w:id="3"/>
            </w:r>
          </w:p>
        </w:tc>
      </w:tr>
    </w:tbl>
    <w:p w14:paraId="3B5AB69E" w14:textId="77777777" w:rsidR="008E5C5F" w:rsidRPr="008E5C5F" w:rsidRDefault="008E5C5F" w:rsidP="0067420B">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Table.1 IC 50 value of seaweed extracts</w:t>
      </w:r>
    </w:p>
    <w:p w14:paraId="221C9AC0" w14:textId="77777777" w:rsidR="008E5C5F" w:rsidRPr="008E5C5F" w:rsidRDefault="008E5C5F" w:rsidP="003F0465">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In the present study, </w:t>
      </w:r>
      <w:proofErr w:type="spellStart"/>
      <w:proofErr w:type="gramStart"/>
      <w:r w:rsidRPr="008E5C5F">
        <w:rPr>
          <w:rFonts w:ascii="Times New Roman" w:hAnsi="Times New Roman" w:cs="Times New Roman"/>
          <w:i/>
          <w:iCs/>
          <w:sz w:val="24"/>
          <w:szCs w:val="24"/>
        </w:rPr>
        <w:t>C.clavulatum</w:t>
      </w:r>
      <w:proofErr w:type="spellEnd"/>
      <w:proofErr w:type="gram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i/>
          <w:iCs/>
          <w:sz w:val="24"/>
          <w:szCs w:val="24"/>
        </w:rPr>
        <w:t xml:space="preserve">, &amp; </w:t>
      </w:r>
      <w:proofErr w:type="spellStart"/>
      <w:r w:rsidRPr="008E5C5F">
        <w:rPr>
          <w:rFonts w:ascii="Times New Roman" w:hAnsi="Times New Roman" w:cs="Times New Roman"/>
          <w:i/>
          <w:iCs/>
          <w:sz w:val="24"/>
          <w:szCs w:val="24"/>
        </w:rPr>
        <w:t>T.ornata</w:t>
      </w:r>
      <w:proofErr w:type="spellEnd"/>
      <w:r w:rsidRPr="008E5C5F">
        <w:rPr>
          <w:rFonts w:ascii="Times New Roman" w:hAnsi="Times New Roman" w:cs="Times New Roman"/>
          <w:sz w:val="24"/>
          <w:szCs w:val="24"/>
        </w:rPr>
        <w:t xml:space="preserve"> showed the maximum percentage of inhibition was noticed. In </w:t>
      </w:r>
      <w:proofErr w:type="spellStart"/>
      <w:proofErr w:type="gramStart"/>
      <w:r w:rsidRPr="008E5C5F">
        <w:rPr>
          <w:rFonts w:ascii="Times New Roman" w:hAnsi="Times New Roman" w:cs="Times New Roman"/>
          <w:i/>
          <w:iCs/>
          <w:sz w:val="24"/>
          <w:szCs w:val="24"/>
        </w:rPr>
        <w:t>E.intestinalis</w:t>
      </w:r>
      <w:proofErr w:type="spellEnd"/>
      <w:proofErr w:type="gramEnd"/>
      <w:r w:rsidRPr="008E5C5F">
        <w:rPr>
          <w:rFonts w:ascii="Times New Roman" w:hAnsi="Times New Roman" w:cs="Times New Roman"/>
          <w:sz w:val="24"/>
          <w:szCs w:val="24"/>
        </w:rPr>
        <w:t xml:space="preserve"> at 80.16% at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 xml:space="preserve">/ml concentration and is slightly lower than that of the standard ascorbic acid, which was 79.33% (Fig3). The minimum was noticed in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60.16%.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of ABTS of the above experimental extracts was 14.16,18.28 and 12.34, whereas the standard was 16.86. (Table 1) Where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was low, the antioxidant activity was higher.</w:t>
      </w:r>
    </w:p>
    <w:p w14:paraId="3E6978F0" w14:textId="77777777"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 </w:t>
      </w:r>
      <w:r w:rsidR="007826A8" w:rsidRPr="008C54B2">
        <w:rPr>
          <w:rFonts w:ascii="Times New Roman" w:hAnsi="Times New Roman" w:cs="Times New Roman"/>
          <w:noProof/>
          <w:sz w:val="24"/>
          <w:szCs w:val="24"/>
        </w:rPr>
        <w:drawing>
          <wp:inline distT="0" distB="0" distL="0" distR="0" wp14:anchorId="417E1892" wp14:editId="1D816B50">
            <wp:extent cx="5516880" cy="2400300"/>
            <wp:effectExtent l="0" t="0" r="7620" b="0"/>
            <wp:docPr id="426409513" name="Chart 1">
              <a:extLst xmlns:a="http://schemas.openxmlformats.org/drawingml/2006/main">
                <a:ext uri="{FF2B5EF4-FFF2-40B4-BE49-F238E27FC236}">
                  <a16:creationId xmlns:a16="http://schemas.microsoft.com/office/drawing/2014/main" id="{6BB22A85-4BC0-22C9-5037-809B9AB78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516A13" w14:textId="77777777" w:rsidR="008E5C5F" w:rsidRPr="008E5C5F" w:rsidRDefault="008E5C5F" w:rsidP="007439C5">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lastRenderedPageBreak/>
        <w:t>Fig.3. ABTS radical scavenging Activity of seaweeds</w:t>
      </w:r>
    </w:p>
    <w:p w14:paraId="215F4168" w14:textId="77777777" w:rsidR="008E5C5F" w:rsidRPr="008E5C5F" w:rsidRDefault="008E5C5F" w:rsidP="00B830B2">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test serves as a valuable method for identifying hydrogen-donating and chain-breaking antioxidants. The reduction of the radical cation was utilized to decolorize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as a percentage inhibition of absorbance at 734 nm (</w:t>
      </w:r>
      <w:proofErr w:type="spellStart"/>
      <w:r w:rsidRPr="008E5C5F">
        <w:rPr>
          <w:rFonts w:ascii="Times New Roman" w:hAnsi="Times New Roman" w:cs="Times New Roman"/>
          <w:sz w:val="24"/>
          <w:szCs w:val="24"/>
        </w:rPr>
        <w:t>Fellegrini</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1999)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was produced by incubating the ABTS chromophore during the reaction. This extract antioxidant properties may be due to the neutralization of radicals (ABTS), either by transferring hydrogen atoms or electrons (Matkowski &amp; </w:t>
      </w:r>
      <w:proofErr w:type="spellStart"/>
      <w:r w:rsidRPr="008E5C5F">
        <w:rPr>
          <w:rFonts w:ascii="Times New Roman" w:hAnsi="Times New Roman" w:cs="Times New Roman"/>
          <w:sz w:val="24"/>
          <w:szCs w:val="24"/>
        </w:rPr>
        <w:t>Tasarz</w:t>
      </w:r>
      <w:proofErr w:type="spellEnd"/>
      <w:r w:rsidRPr="008E5C5F">
        <w:rPr>
          <w:rFonts w:ascii="Times New Roman" w:hAnsi="Times New Roman" w:cs="Times New Roman"/>
          <w:sz w:val="24"/>
          <w:szCs w:val="24"/>
        </w:rPr>
        <w:t xml:space="preserve"> 2008). The current study's findings show that the extract from brown seaweed demonstrated greater ABTS radical activity. The ABTS scavenging activity was evaluated using differential extraction methods. This possesses chain-breaking antioxidant properties (Subashini &amp; Prasanth 2014) As shown in Fig. 3, the percentage efficiency of ABTS scavenged by seaweed extract was found to increase with concentration.  According to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.,2020 and Ismail 2017 brown seaweeds possess greater antioxidant activity than red seaweeds. This explains why the brown algae </w:t>
      </w:r>
      <w:r w:rsidRPr="008E5C5F">
        <w:rPr>
          <w:rFonts w:ascii="Times New Roman" w:hAnsi="Times New Roman" w:cs="Times New Roman"/>
          <w:i/>
          <w:iCs/>
          <w:sz w:val="24"/>
          <w:szCs w:val="24"/>
        </w:rPr>
        <w:t>T. ornata</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P. indica</w:t>
      </w:r>
      <w:r w:rsidRPr="008E5C5F">
        <w:rPr>
          <w:rFonts w:ascii="Times New Roman" w:hAnsi="Times New Roman" w:cs="Times New Roman"/>
          <w:sz w:val="24"/>
          <w:szCs w:val="24"/>
        </w:rPr>
        <w:t xml:space="preserve"> exhibited the highest levels of antioxidant activity.</w:t>
      </w:r>
    </w:p>
    <w:p w14:paraId="5E5CF8D6" w14:textId="77777777" w:rsidR="008E5C5F" w:rsidRPr="008E5C5F" w:rsidRDefault="008E5C5F" w:rsidP="00B830B2">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Superoxide anion radicals arise from cellular oxidation processes in various organisms, including humans. Even though it is an oxidant of relatively low strength, it decomposes via dismutation and other reactions to form stronger oxidative agents like hydrogen peroxide and hydroxyl radicals. It is also responsible for the generation of free radicals formed in vivo. SOA radicals and their derivatives damage cells, harming DNA and cell membranes. Thus, scavenging SOA radicals (</w:t>
      </w:r>
      <w:proofErr w:type="spellStart"/>
      <w:r w:rsidRPr="008E5C5F">
        <w:rPr>
          <w:rFonts w:ascii="Times New Roman" w:hAnsi="Times New Roman" w:cs="Times New Roman"/>
          <w:sz w:val="24"/>
          <w:szCs w:val="24"/>
        </w:rPr>
        <w:t>Sarikurkc</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2010, </w:t>
      </w:r>
      <w:proofErr w:type="spellStart"/>
      <w:r w:rsidRPr="008E5C5F">
        <w:rPr>
          <w:rFonts w:ascii="Times New Roman" w:hAnsi="Times New Roman" w:cs="Times New Roman"/>
          <w:sz w:val="24"/>
          <w:szCs w:val="24"/>
        </w:rPr>
        <w:t>Yangthong</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2009) is more important. Superoxide is a molecule with high reactivity that interacts with different substances generated through metabolic processes. </w:t>
      </w:r>
    </w:p>
    <w:p w14:paraId="2FC32394" w14:textId="77777777" w:rsidR="008E5C5F" w:rsidRPr="008E5C5F" w:rsidRDefault="008E5C5F" w:rsidP="00B830B2">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percentage of superoxide anion radicals examined at different concentrations of </w:t>
      </w:r>
      <w:proofErr w:type="spellStart"/>
      <w:proofErr w:type="gramStart"/>
      <w:r w:rsidRPr="008E5C5F">
        <w:rPr>
          <w:rFonts w:ascii="Times New Roman" w:hAnsi="Times New Roman" w:cs="Times New Roman"/>
          <w:i/>
          <w:iCs/>
          <w:sz w:val="24"/>
          <w:szCs w:val="24"/>
        </w:rPr>
        <w:t>C.clavulatum</w:t>
      </w:r>
      <w:proofErr w:type="spellEnd"/>
      <w:proofErr w:type="gram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i/>
          <w:iCs/>
          <w:sz w:val="24"/>
          <w:szCs w:val="24"/>
        </w:rPr>
        <w:t xml:space="preserve"> &amp; </w:t>
      </w:r>
      <w:proofErr w:type="spellStart"/>
      <w:r w:rsidRPr="008E5C5F">
        <w:rPr>
          <w:rFonts w:ascii="Times New Roman" w:hAnsi="Times New Roman" w:cs="Times New Roman"/>
          <w:i/>
          <w:iCs/>
          <w:sz w:val="24"/>
          <w:szCs w:val="24"/>
        </w:rPr>
        <w:t>T.ornata</w:t>
      </w:r>
      <w:proofErr w:type="spellEnd"/>
      <w:r w:rsidRPr="008E5C5F">
        <w:rPr>
          <w:rFonts w:ascii="Times New Roman" w:hAnsi="Times New Roman" w:cs="Times New Roman"/>
          <w:sz w:val="24"/>
          <w:szCs w:val="24"/>
        </w:rPr>
        <w:t xml:space="preserve"> was revealed in Fig. 4. The extract of the above seaweeds shows an effect of 75.16, 72.19, &amp; 64.31, respectively (at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This activity is dose-dependent; when the concentration increases, the percentage of inhibition also increases.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was 15.45, 16.31, and 12.18, while standard ascorbic acid was 13.57.(Table1).</w:t>
      </w:r>
    </w:p>
    <w:p w14:paraId="6C38A594" w14:textId="77777777" w:rsid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 </w:t>
      </w:r>
      <w:r w:rsidR="007439C5" w:rsidRPr="008C54B2">
        <w:rPr>
          <w:rFonts w:ascii="Times New Roman" w:hAnsi="Times New Roman" w:cs="Times New Roman"/>
          <w:noProof/>
          <w:sz w:val="24"/>
          <w:szCs w:val="24"/>
        </w:rPr>
        <w:drawing>
          <wp:inline distT="0" distB="0" distL="0" distR="0" wp14:anchorId="08FEA07A" wp14:editId="2B5F1594">
            <wp:extent cx="5600700" cy="2232660"/>
            <wp:effectExtent l="0" t="0" r="0" b="15240"/>
            <wp:docPr id="91819493" name="Chart 1">
              <a:extLst xmlns:a="http://schemas.openxmlformats.org/drawingml/2006/main">
                <a:ext uri="{FF2B5EF4-FFF2-40B4-BE49-F238E27FC236}">
                  <a16:creationId xmlns:a16="http://schemas.microsoft.com/office/drawing/2014/main" id="{45FCEB66-7E6D-F09E-820B-9B28B15AB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34FD2D" w14:textId="77777777" w:rsidR="008E5C5F" w:rsidRPr="008E5C5F" w:rsidRDefault="008E5C5F" w:rsidP="007439C5">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Fig.4. Superoxide radical scavenging activity of seaweeds</w:t>
      </w:r>
    </w:p>
    <w:p w14:paraId="0FE17C18" w14:textId="77777777"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findings of this investigation coincide with those of Pandithurai and Murugesan (2014), who examined the antioxidant activities of </w:t>
      </w:r>
      <w:proofErr w:type="spellStart"/>
      <w:r w:rsidRPr="008E5C5F">
        <w:rPr>
          <w:rFonts w:ascii="Times New Roman" w:hAnsi="Times New Roman" w:cs="Times New Roman"/>
          <w:i/>
          <w:iCs/>
          <w:sz w:val="24"/>
          <w:szCs w:val="24"/>
        </w:rPr>
        <w:t>Spatoglossum</w:t>
      </w:r>
      <w:proofErr w:type="spellEnd"/>
      <w:r w:rsidRPr="008E5C5F">
        <w:rPr>
          <w:rFonts w:ascii="Times New Roman" w:hAnsi="Times New Roman" w:cs="Times New Roman"/>
          <w:i/>
          <w:iCs/>
          <w:sz w:val="24"/>
          <w:szCs w:val="24"/>
        </w:rPr>
        <w:t xml:space="preserve"> asperum</w:t>
      </w:r>
      <w:r w:rsidRPr="008E5C5F">
        <w:rPr>
          <w:rFonts w:ascii="Times New Roman" w:hAnsi="Times New Roman" w:cs="Times New Roman"/>
          <w:sz w:val="24"/>
          <w:szCs w:val="24"/>
        </w:rPr>
        <w:t xml:space="preserve"> (brown alga) and found it exhibited more significant antioxidant activities than L-ascorbic acid and </w:t>
      </w:r>
      <w:proofErr w:type="spellStart"/>
      <w:r w:rsidRPr="008E5C5F">
        <w:rPr>
          <w:rFonts w:ascii="Times New Roman" w:hAnsi="Times New Roman" w:cs="Times New Roman"/>
          <w:sz w:val="24"/>
          <w:szCs w:val="24"/>
        </w:rPr>
        <w:t>Butylhydroxy</w:t>
      </w:r>
      <w:proofErr w:type="spellEnd"/>
      <w:r w:rsidRPr="008E5C5F">
        <w:rPr>
          <w:rFonts w:ascii="Times New Roman" w:hAnsi="Times New Roman" w:cs="Times New Roman"/>
          <w:sz w:val="24"/>
          <w:szCs w:val="24"/>
        </w:rPr>
        <w:t xml:space="preserve"> Toluene (BHT). It is a widely recognized fact that among the various types of algae, brown algae typically exhibit the highest antioxidant activity, with red and green algae following behind (</w:t>
      </w:r>
      <w:proofErr w:type="spellStart"/>
      <w:r w:rsidRPr="008E5C5F">
        <w:rPr>
          <w:rFonts w:ascii="Times New Roman" w:hAnsi="Times New Roman" w:cs="Times New Roman"/>
          <w:sz w:val="24"/>
          <w:szCs w:val="24"/>
        </w:rPr>
        <w:t>Vladkova</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2022).  The significant superoxide anion scavenging activity of the chosen algal extracts could be beneficial for both medical and functional food applications.</w:t>
      </w:r>
    </w:p>
    <w:p w14:paraId="586268E7" w14:textId="77777777"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reduction of power, which serves as a measure of antioxidant activity, can be assessed through a reaction that transforms Fe 3</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in potassium ferricyanide into Fe 2</w:t>
      </w:r>
      <w:r w:rsidRPr="008E5C5F">
        <w:rPr>
          <w:rFonts w:ascii="Times New Roman" w:hAnsi="Times New Roman" w:cs="Times New Roman"/>
          <w:sz w:val="24"/>
          <w:szCs w:val="24"/>
          <w:vertAlign w:val="superscript"/>
        </w:rPr>
        <w:t>+</w:t>
      </w:r>
      <w:r w:rsidR="00C251B0">
        <w:rPr>
          <w:rFonts w:ascii="Times New Roman" w:hAnsi="Times New Roman" w:cs="Times New Roman"/>
          <w:sz w:val="24"/>
          <w:szCs w:val="24"/>
        </w:rPr>
        <w:t xml:space="preserve">. </w:t>
      </w:r>
      <w:r w:rsidRPr="008E5C5F">
        <w:rPr>
          <w:rFonts w:ascii="Times New Roman" w:hAnsi="Times New Roman" w:cs="Times New Roman"/>
          <w:sz w:val="24"/>
          <w:szCs w:val="24"/>
        </w:rPr>
        <w:t xml:space="preserve"> The ferric reducing assay measures the capability of an antioxidant to diminish a reactive oxygen species in comparison to that species oxidative strength. Compounds exhibiting reducing power demonstrate that they serve as electron donors capable of reducing oxidized intermediates involved in lipid peroxidation, thereby functioning as primary and secondary antioxidants (Chanda &amp; Dave 2009).</w:t>
      </w:r>
    </w:p>
    <w:p w14:paraId="525F4AFF" w14:textId="77777777"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reducing power of all the three extracts increased in a dose-dependent manner, as illustrated in Fig 5. In this study reducing power was increased with increasing concentration. Maximum reducing power value was observed in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 xml:space="preserve">/ml concentration of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(0.436) and followed by </w:t>
      </w:r>
      <w:proofErr w:type="spellStart"/>
      <w:r w:rsidRPr="008E5C5F">
        <w:rPr>
          <w:rFonts w:ascii="Times New Roman" w:hAnsi="Times New Roman" w:cs="Times New Roman"/>
          <w:i/>
          <w:iCs/>
          <w:sz w:val="24"/>
          <w:szCs w:val="24"/>
        </w:rPr>
        <w:t>C.clavulatum</w:t>
      </w:r>
      <w:proofErr w:type="spellEnd"/>
      <w:r w:rsidRPr="008E5C5F">
        <w:rPr>
          <w:rFonts w:ascii="Times New Roman" w:hAnsi="Times New Roman" w:cs="Times New Roman"/>
          <w:sz w:val="24"/>
          <w:szCs w:val="24"/>
        </w:rPr>
        <w:t xml:space="preserve"> (0.421) &amp;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sz w:val="24"/>
          <w:szCs w:val="24"/>
        </w:rPr>
        <w:t xml:space="preserve"> has minimum value (0.406)</w:t>
      </w:r>
    </w:p>
    <w:p w14:paraId="2CCCF3C0" w14:textId="77777777" w:rsidR="008E5C5F" w:rsidRDefault="00C251B0" w:rsidP="008E5C5F">
      <w:pPr>
        <w:spacing w:line="360" w:lineRule="auto"/>
        <w:jc w:val="both"/>
        <w:rPr>
          <w:rFonts w:ascii="Times New Roman" w:hAnsi="Times New Roman" w:cs="Times New Roman"/>
          <w:sz w:val="24"/>
          <w:szCs w:val="24"/>
        </w:rPr>
      </w:pPr>
      <w:r w:rsidRPr="008C54B2">
        <w:rPr>
          <w:rFonts w:ascii="Times New Roman" w:hAnsi="Times New Roman" w:cs="Times New Roman"/>
          <w:noProof/>
          <w:sz w:val="24"/>
          <w:szCs w:val="24"/>
        </w:rPr>
        <w:lastRenderedPageBreak/>
        <w:drawing>
          <wp:inline distT="0" distB="0" distL="0" distR="0" wp14:anchorId="79CB9D83" wp14:editId="1366A720">
            <wp:extent cx="5654040" cy="2423160"/>
            <wp:effectExtent l="0" t="0" r="3810" b="15240"/>
            <wp:docPr id="480028468" name="Chart 1">
              <a:extLst xmlns:a="http://schemas.openxmlformats.org/drawingml/2006/main">
                <a:ext uri="{FF2B5EF4-FFF2-40B4-BE49-F238E27FC236}">
                  <a16:creationId xmlns:a16="http://schemas.microsoft.com/office/drawing/2014/main" id="{854A797E-F023-9656-21FB-F3F2B8A3D9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E5C5F" w:rsidRPr="008E5C5F">
        <w:rPr>
          <w:rFonts w:ascii="Times New Roman" w:hAnsi="Times New Roman" w:cs="Times New Roman"/>
          <w:sz w:val="24"/>
          <w:szCs w:val="24"/>
        </w:rPr>
        <w:t> </w:t>
      </w:r>
    </w:p>
    <w:p w14:paraId="4DAFE1CB" w14:textId="77777777" w:rsidR="008E5C5F" w:rsidRPr="008E5C5F" w:rsidRDefault="008E5C5F" w:rsidP="00C251B0">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 5. Reducing power Activity of seaweeds.</w:t>
      </w:r>
    </w:p>
    <w:p w14:paraId="6F7608CD"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current findings accept with those of Matsukawa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1997, </w:t>
      </w:r>
      <w:proofErr w:type="spellStart"/>
      <w:r w:rsidRPr="008E5C5F">
        <w:rPr>
          <w:rFonts w:ascii="Times New Roman" w:hAnsi="Times New Roman" w:cs="Times New Roman"/>
          <w:sz w:val="24"/>
          <w:szCs w:val="24"/>
        </w:rPr>
        <w:t>Farghl</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2021 who observed that brown algae had higher antioxidant activity than either red or green groups. Most of the species under study are therefore thought to have high antioxidant content. According to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2020 and Ismail 2017) brown seaweeds have higher antioxidant activity than red seaweeds, which explains why brown algae </w:t>
      </w:r>
      <w:r w:rsidRPr="008E5C5F">
        <w:rPr>
          <w:rFonts w:ascii="Times New Roman" w:hAnsi="Times New Roman" w:cs="Times New Roman"/>
          <w:i/>
          <w:iCs/>
          <w:sz w:val="24"/>
          <w:szCs w:val="24"/>
        </w:rPr>
        <w:t>T. ornata</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P. indica</w:t>
      </w:r>
      <w:r w:rsidRPr="008E5C5F">
        <w:rPr>
          <w:rFonts w:ascii="Times New Roman" w:hAnsi="Times New Roman" w:cs="Times New Roman"/>
          <w:sz w:val="24"/>
          <w:szCs w:val="24"/>
        </w:rPr>
        <w:t xml:space="preserve"> had the highest antioxidant activity.</w:t>
      </w:r>
    </w:p>
    <w:p w14:paraId="1E3C9B6F"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CONC</w:t>
      </w:r>
      <w:r w:rsidR="00C251B0" w:rsidRPr="00C251B0">
        <w:rPr>
          <w:rFonts w:ascii="Times New Roman" w:hAnsi="Times New Roman" w:cs="Times New Roman"/>
          <w:b/>
          <w:bCs/>
          <w:sz w:val="24"/>
          <w:szCs w:val="24"/>
        </w:rPr>
        <w:t>LU</w:t>
      </w:r>
      <w:r w:rsidRPr="008E5C5F">
        <w:rPr>
          <w:rFonts w:ascii="Times New Roman" w:hAnsi="Times New Roman" w:cs="Times New Roman"/>
          <w:b/>
          <w:bCs/>
          <w:sz w:val="24"/>
          <w:szCs w:val="24"/>
        </w:rPr>
        <w:t>SION</w:t>
      </w:r>
    </w:p>
    <w:p w14:paraId="1623A7A6"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In addition to being a good way to treat or prevent chronic diseases, seaweeds are a valuable source of bioactive compounds that could be used to prepare new functional ingredients for food. Since consumers have recently shown a great deal of interest in natural bioactive compounds as functional ingredients in foods, it can be argued that seaweeds are a substitute source of synthetic ingredients that can improve consumer health by appearing in novel functional foods and medications. Additionally, the diverse biological activities linked to bioactive compounds derived from marine algae may increase their health benefits in the food and pharmaceutical industries.</w:t>
      </w:r>
    </w:p>
    <w:p w14:paraId="70E3593A"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In the current study, </w:t>
      </w:r>
      <w:proofErr w:type="spellStart"/>
      <w:proofErr w:type="gramStart"/>
      <w:r w:rsidRPr="008E5C5F">
        <w:rPr>
          <w:rFonts w:ascii="Times New Roman" w:hAnsi="Times New Roman" w:cs="Times New Roman"/>
          <w:i/>
          <w:iCs/>
          <w:sz w:val="24"/>
          <w:szCs w:val="24"/>
        </w:rPr>
        <w:t>C.clavulatum</w:t>
      </w:r>
      <w:proofErr w:type="spellEnd"/>
      <w:proofErr w:type="gram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i/>
          <w:iCs/>
          <w:sz w:val="24"/>
          <w:szCs w:val="24"/>
        </w:rPr>
        <w:t xml:space="preserve"> &amp; </w:t>
      </w:r>
      <w:proofErr w:type="spellStart"/>
      <w:r w:rsidRPr="008E5C5F">
        <w:rPr>
          <w:rFonts w:ascii="Times New Roman" w:hAnsi="Times New Roman" w:cs="Times New Roman"/>
          <w:i/>
          <w:iCs/>
          <w:sz w:val="24"/>
          <w:szCs w:val="24"/>
        </w:rPr>
        <w:t>T.ornata</w:t>
      </w:r>
      <w:proofErr w:type="spellEnd"/>
      <w:r w:rsidRPr="008E5C5F">
        <w:rPr>
          <w:rFonts w:ascii="Times New Roman" w:hAnsi="Times New Roman" w:cs="Times New Roman"/>
          <w:sz w:val="24"/>
          <w:szCs w:val="24"/>
        </w:rPr>
        <w:t xml:space="preserve"> extracts were found to have strong antioxidant activity. Seaweed extracts antioxidant mechanisms may be due to their ability to scavenge free radicals. Furthermore, it seems that phenolic compounds are the source of the antioxidant activity found in seaweed extracts. The results obtained indicate that seaweeds can be utilized for various beneficial chemo-preventive effects. This study may provide a rational basis for using marine algal extracts in the potential treatment of oxidative </w:t>
      </w:r>
      <w:r w:rsidRPr="008E5C5F">
        <w:rPr>
          <w:rFonts w:ascii="Times New Roman" w:hAnsi="Times New Roman" w:cs="Times New Roman"/>
          <w:sz w:val="24"/>
          <w:szCs w:val="24"/>
        </w:rPr>
        <w:lastRenderedPageBreak/>
        <w:t>stress-related diseases. It further supports the idea that these antioxidant-rich extracts or fractions can serve as dietary supplements to promote good health.  </w:t>
      </w:r>
    </w:p>
    <w:p w14:paraId="5CE302AD"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DISCLAIMER (ARTIFICIAL INTELLIENCE)</w:t>
      </w:r>
    </w:p>
    <w:p w14:paraId="0BEA8363"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3EBF2CF4"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COMPETING INTERESTS </w:t>
      </w:r>
    </w:p>
    <w:p w14:paraId="472C6B20" w14:textId="77777777"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Authors have declared that no competing interests exist.</w:t>
      </w:r>
    </w:p>
    <w:p w14:paraId="0E168657" w14:textId="77777777" w:rsidR="008E5C5F" w:rsidRPr="008E5C5F" w:rsidRDefault="008E5C5F" w:rsidP="008E5C5F">
      <w:pPr>
        <w:spacing w:line="360" w:lineRule="auto"/>
        <w:jc w:val="both"/>
        <w:rPr>
          <w:rFonts w:ascii="Times New Roman" w:hAnsi="Times New Roman" w:cs="Times New Roman"/>
          <w:b/>
          <w:bCs/>
          <w:sz w:val="24"/>
          <w:szCs w:val="24"/>
        </w:rPr>
      </w:pPr>
      <w:commentRangeStart w:id="4"/>
      <w:r w:rsidRPr="008E5C5F">
        <w:rPr>
          <w:rFonts w:ascii="Times New Roman" w:hAnsi="Times New Roman" w:cs="Times New Roman"/>
          <w:b/>
          <w:bCs/>
          <w:sz w:val="24"/>
          <w:szCs w:val="24"/>
        </w:rPr>
        <w:t>REFERENCES</w:t>
      </w:r>
      <w:commentRangeEnd w:id="4"/>
      <w:r w:rsidR="00D16067">
        <w:rPr>
          <w:rStyle w:val="CommentReference"/>
        </w:rPr>
        <w:commentReference w:id="4"/>
      </w:r>
    </w:p>
    <w:p w14:paraId="112C77AC"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Aruoma</w:t>
      </w:r>
      <w:proofErr w:type="spellEnd"/>
      <w:r w:rsidRPr="008E5C5F">
        <w:rPr>
          <w:rFonts w:ascii="Times New Roman" w:hAnsi="Times New Roman" w:cs="Times New Roman"/>
          <w:sz w:val="24"/>
          <w:szCs w:val="24"/>
        </w:rPr>
        <w:t xml:space="preserve"> OI. Free radicals oxidative stress and antioxidants in human health and disease. J Am Oil Chem Soc 1998;75(2):199-212.</w:t>
      </w:r>
    </w:p>
    <w:p w14:paraId="71F7C092"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w:t>
      </w:r>
      <w:r w:rsidRPr="008E5C5F">
        <w:rPr>
          <w:rFonts w:ascii="Times New Roman" w:hAnsi="Times New Roman" w:cs="Times New Roman"/>
          <w:sz w:val="24"/>
          <w:szCs w:val="24"/>
        </w:rPr>
        <w:tab/>
        <w:t>Blois MS. Antioxidant determination by the use of a stable free radical. Nat., 1958: 181: 1199- 1200.</w:t>
      </w:r>
    </w:p>
    <w:p w14:paraId="48A39EF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Canadanovic</w:t>
      </w:r>
      <w:proofErr w:type="spellEnd"/>
      <w:r w:rsidRPr="008E5C5F">
        <w:rPr>
          <w:rFonts w:ascii="Times New Roman" w:hAnsi="Times New Roman" w:cs="Times New Roman"/>
          <w:sz w:val="24"/>
          <w:szCs w:val="24"/>
        </w:rPr>
        <w:t xml:space="preserve">-Brunet JM, Djilas SM, </w:t>
      </w:r>
      <w:proofErr w:type="spellStart"/>
      <w:r w:rsidRPr="008E5C5F">
        <w:rPr>
          <w:rFonts w:ascii="Times New Roman" w:hAnsi="Times New Roman" w:cs="Times New Roman"/>
          <w:sz w:val="24"/>
          <w:szCs w:val="24"/>
        </w:rPr>
        <w:t>Cetkovic</w:t>
      </w:r>
      <w:proofErr w:type="spellEnd"/>
      <w:r w:rsidRPr="008E5C5F">
        <w:rPr>
          <w:rFonts w:ascii="Times New Roman" w:hAnsi="Times New Roman" w:cs="Times New Roman"/>
          <w:sz w:val="24"/>
          <w:szCs w:val="24"/>
        </w:rPr>
        <w:t xml:space="preserve"> GS, </w:t>
      </w:r>
      <w:proofErr w:type="spellStart"/>
      <w:r w:rsidRPr="008E5C5F">
        <w:rPr>
          <w:rFonts w:ascii="Times New Roman" w:hAnsi="Times New Roman" w:cs="Times New Roman"/>
          <w:sz w:val="24"/>
          <w:szCs w:val="24"/>
        </w:rPr>
        <w:t>Tumbas</w:t>
      </w:r>
      <w:proofErr w:type="spellEnd"/>
      <w:r w:rsidRPr="008E5C5F">
        <w:rPr>
          <w:rFonts w:ascii="Times New Roman" w:hAnsi="Times New Roman" w:cs="Times New Roman"/>
          <w:sz w:val="24"/>
          <w:szCs w:val="24"/>
        </w:rPr>
        <w:t xml:space="preserve"> VT, Mandic AI, </w:t>
      </w:r>
      <w:proofErr w:type="spellStart"/>
      <w:r w:rsidRPr="008E5C5F">
        <w:rPr>
          <w:rFonts w:ascii="Times New Roman" w:hAnsi="Times New Roman" w:cs="Times New Roman"/>
          <w:sz w:val="24"/>
          <w:szCs w:val="24"/>
        </w:rPr>
        <w:t>Canadanovic</w:t>
      </w:r>
      <w:proofErr w:type="spellEnd"/>
      <w:r w:rsidRPr="008E5C5F">
        <w:rPr>
          <w:rFonts w:ascii="Times New Roman" w:hAnsi="Times New Roman" w:cs="Times New Roman"/>
          <w:sz w:val="24"/>
          <w:szCs w:val="24"/>
        </w:rPr>
        <w:t xml:space="preserve"> VM. Antioxidant activities of different Teucrium </w:t>
      </w:r>
      <w:proofErr w:type="spellStart"/>
      <w:r w:rsidRPr="008E5C5F">
        <w:rPr>
          <w:rFonts w:ascii="Times New Roman" w:hAnsi="Times New Roman" w:cs="Times New Roman"/>
          <w:sz w:val="24"/>
          <w:szCs w:val="24"/>
        </w:rPr>
        <w:t>montanum</w:t>
      </w:r>
      <w:proofErr w:type="spellEnd"/>
      <w:r w:rsidRPr="008E5C5F">
        <w:rPr>
          <w:rFonts w:ascii="Times New Roman" w:hAnsi="Times New Roman" w:cs="Times New Roman"/>
          <w:sz w:val="24"/>
          <w:szCs w:val="24"/>
        </w:rPr>
        <w:t xml:space="preserve"> L extracts. Int J Food Sci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41, 2006, 667-673.</w:t>
      </w:r>
    </w:p>
    <w:p w14:paraId="48175D26"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w:t>
      </w:r>
      <w:r w:rsidRPr="008E5C5F">
        <w:rPr>
          <w:rFonts w:ascii="Times New Roman" w:hAnsi="Times New Roman" w:cs="Times New Roman"/>
          <w:sz w:val="24"/>
          <w:szCs w:val="24"/>
        </w:rPr>
        <w:tab/>
        <w:t xml:space="preserve">Chanda S, Dave R. In vitro models for antioxidant activity evaluation and some medicinal plants possessing antioxidant properties: An overview. </w:t>
      </w:r>
      <w:proofErr w:type="spellStart"/>
      <w:r w:rsidRPr="008E5C5F">
        <w:rPr>
          <w:rFonts w:ascii="Times New Roman" w:hAnsi="Times New Roman" w:cs="Times New Roman"/>
          <w:sz w:val="24"/>
          <w:szCs w:val="24"/>
        </w:rPr>
        <w:t>Afr</w:t>
      </w:r>
      <w:proofErr w:type="spellEnd"/>
      <w:r w:rsidRPr="008E5C5F">
        <w:rPr>
          <w:rFonts w:ascii="Times New Roman" w:hAnsi="Times New Roman" w:cs="Times New Roman"/>
          <w:sz w:val="24"/>
          <w:szCs w:val="24"/>
        </w:rPr>
        <w:t xml:space="preserve"> J </w:t>
      </w:r>
      <w:proofErr w:type="spellStart"/>
      <w:r w:rsidRPr="008E5C5F">
        <w:rPr>
          <w:rFonts w:ascii="Times New Roman" w:hAnsi="Times New Roman" w:cs="Times New Roman"/>
          <w:sz w:val="24"/>
          <w:szCs w:val="24"/>
        </w:rPr>
        <w:t>Microbiol</w:t>
      </w:r>
      <w:proofErr w:type="spellEnd"/>
      <w:r w:rsidRPr="008E5C5F">
        <w:rPr>
          <w:rFonts w:ascii="Times New Roman" w:hAnsi="Times New Roman" w:cs="Times New Roman"/>
          <w:sz w:val="24"/>
          <w:szCs w:val="24"/>
        </w:rPr>
        <w:t xml:space="preserve"> Res., 2009: 3(13): 981-996. </w:t>
      </w:r>
    </w:p>
    <w:p w14:paraId="435D63B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5.</w:t>
      </w:r>
      <w:r w:rsidRPr="008E5C5F">
        <w:rPr>
          <w:rFonts w:ascii="Times New Roman" w:hAnsi="Times New Roman" w:cs="Times New Roman"/>
          <w:sz w:val="24"/>
          <w:szCs w:val="24"/>
        </w:rPr>
        <w:tab/>
        <w:t xml:space="preserve">Cornish ML, </w:t>
      </w:r>
      <w:proofErr w:type="spellStart"/>
      <w:r w:rsidRPr="008E5C5F">
        <w:rPr>
          <w:rFonts w:ascii="Times New Roman" w:hAnsi="Times New Roman" w:cs="Times New Roman"/>
          <w:sz w:val="24"/>
          <w:szCs w:val="24"/>
        </w:rPr>
        <w:t>Garbary</w:t>
      </w:r>
      <w:proofErr w:type="spellEnd"/>
      <w:r w:rsidRPr="008E5C5F">
        <w:rPr>
          <w:rFonts w:ascii="Times New Roman" w:hAnsi="Times New Roman" w:cs="Times New Roman"/>
          <w:sz w:val="24"/>
          <w:szCs w:val="24"/>
        </w:rPr>
        <w:t xml:space="preserve"> DJ. Antioxidants from macroalgae: Potential applications in human health and nutrition. Algae. 2010;25(4):155-171.</w:t>
      </w:r>
    </w:p>
    <w:p w14:paraId="70C6D59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6.</w:t>
      </w:r>
      <w:proofErr w:type="gramStart"/>
      <w:r w:rsidRPr="008E5C5F">
        <w:rPr>
          <w:rFonts w:ascii="Times New Roman" w:hAnsi="Times New Roman" w:cs="Times New Roman"/>
          <w:sz w:val="24"/>
          <w:szCs w:val="24"/>
        </w:rPr>
        <w:tab/>
        <w:t>  Dore</w:t>
      </w:r>
      <w:proofErr w:type="gramEnd"/>
      <w:r w:rsidRPr="008E5C5F">
        <w:rPr>
          <w:rFonts w:ascii="Times New Roman" w:hAnsi="Times New Roman" w:cs="Times New Roman"/>
          <w:sz w:val="24"/>
          <w:szCs w:val="24"/>
        </w:rPr>
        <w:t xml:space="preserve">  CMPG,  das  C  Faustino  Alves  MG, Will  LSEP,  Costa  TG.,  Sabry  DA.,    de Souza  Rego  LAR.,  Accardo  CM,  Rocha HAO, </w:t>
      </w:r>
      <w:proofErr w:type="spellStart"/>
      <w:r w:rsidRPr="008E5C5F">
        <w:rPr>
          <w:rFonts w:ascii="Times New Roman" w:hAnsi="Times New Roman" w:cs="Times New Roman"/>
          <w:sz w:val="24"/>
          <w:szCs w:val="24"/>
        </w:rPr>
        <w:t>Filgueira</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LGA,Leite</w:t>
      </w:r>
      <w:proofErr w:type="spellEnd"/>
      <w:r w:rsidRPr="008E5C5F">
        <w:rPr>
          <w:rFonts w:ascii="Times New Roman" w:hAnsi="Times New Roman" w:cs="Times New Roman"/>
          <w:sz w:val="24"/>
          <w:szCs w:val="24"/>
        </w:rPr>
        <w:t xml:space="preserve">  EL.  A </w:t>
      </w:r>
      <w:proofErr w:type="spellStart"/>
      <w:r w:rsidRPr="008E5C5F">
        <w:rPr>
          <w:rFonts w:ascii="Times New Roman" w:hAnsi="Times New Roman" w:cs="Times New Roman"/>
          <w:sz w:val="24"/>
          <w:szCs w:val="24"/>
        </w:rPr>
        <w:t>sulfated</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 xml:space="preserve">polysaccharide,   </w:t>
      </w:r>
      <w:proofErr w:type="gram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fucans</w:t>
      </w:r>
      <w:proofErr w:type="spellEnd"/>
      <w:r w:rsidRPr="008E5C5F">
        <w:rPr>
          <w:rFonts w:ascii="Times New Roman" w:hAnsi="Times New Roman" w:cs="Times New Roman"/>
          <w:sz w:val="24"/>
          <w:szCs w:val="24"/>
        </w:rPr>
        <w:t xml:space="preserve">,     isolated     from brown    algae Sargassum    </w:t>
      </w:r>
      <w:proofErr w:type="spellStart"/>
      <w:r w:rsidRPr="008E5C5F">
        <w:rPr>
          <w:rFonts w:ascii="Times New Roman" w:hAnsi="Times New Roman" w:cs="Times New Roman"/>
          <w:sz w:val="24"/>
          <w:szCs w:val="24"/>
        </w:rPr>
        <w:t>vulgarewith</w:t>
      </w:r>
      <w:proofErr w:type="spellEnd"/>
      <w:r w:rsidRPr="008E5C5F">
        <w:rPr>
          <w:rFonts w:ascii="Times New Roman" w:hAnsi="Times New Roman" w:cs="Times New Roman"/>
          <w:sz w:val="24"/>
          <w:szCs w:val="24"/>
        </w:rPr>
        <w:t xml:space="preserve"> anticoagulant,   antithrombotic,   antioxidant and  anti-inflammatory  effects.  </w:t>
      </w:r>
      <w:proofErr w:type="spellStart"/>
      <w:r w:rsidRPr="008E5C5F">
        <w:rPr>
          <w:rFonts w:ascii="Times New Roman" w:hAnsi="Times New Roman" w:cs="Times New Roman"/>
          <w:sz w:val="24"/>
          <w:szCs w:val="24"/>
        </w:rPr>
        <w:t>Carbohydr</w:t>
      </w:r>
      <w:proofErr w:type="spellEnd"/>
      <w:r w:rsidRPr="008E5C5F">
        <w:rPr>
          <w:rFonts w:ascii="Times New Roman" w:hAnsi="Times New Roman" w:cs="Times New Roman"/>
          <w:sz w:val="24"/>
          <w:szCs w:val="24"/>
        </w:rPr>
        <w:t xml:space="preserve"> Polym. 2013;91(1):467–475. </w:t>
      </w:r>
    </w:p>
    <w:p w14:paraId="16FDF773"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7.</w:t>
      </w:r>
      <w:r w:rsidRPr="008E5C5F">
        <w:rPr>
          <w:rFonts w:ascii="Times New Roman" w:hAnsi="Times New Roman" w:cs="Times New Roman"/>
          <w:sz w:val="24"/>
          <w:szCs w:val="24"/>
        </w:rPr>
        <w:tab/>
        <w:t xml:space="preserve">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M.M.; El-</w:t>
      </w:r>
      <w:proofErr w:type="spellStart"/>
      <w:r w:rsidRPr="008E5C5F">
        <w:rPr>
          <w:rFonts w:ascii="Times New Roman" w:hAnsi="Times New Roman" w:cs="Times New Roman"/>
          <w:sz w:val="24"/>
          <w:szCs w:val="24"/>
        </w:rPr>
        <w:t>Shenddy</w:t>
      </w:r>
      <w:proofErr w:type="spellEnd"/>
      <w:r w:rsidRPr="008E5C5F">
        <w:rPr>
          <w:rFonts w:ascii="Times New Roman" w:hAnsi="Times New Roman" w:cs="Times New Roman"/>
          <w:sz w:val="24"/>
          <w:szCs w:val="24"/>
        </w:rPr>
        <w:t>, R.A.; Bases, E.A.; El Shafay, S.M. Comparative assessment of antioxidant activity and biochemical composition of four seaweeds, Rocky Bay of Abu Qir in Alexandria, Egypt. Food Sci. Technol. Campinas. 2020, 41, 29–40. [</w:t>
      </w:r>
      <w:proofErr w:type="spellStart"/>
      <w:r w:rsidRPr="008E5C5F">
        <w:rPr>
          <w:rFonts w:ascii="Times New Roman" w:hAnsi="Times New Roman" w:cs="Times New Roman"/>
          <w:sz w:val="24"/>
          <w:szCs w:val="24"/>
        </w:rPr>
        <w:t>CrossRef</w:t>
      </w:r>
      <w:proofErr w:type="spellEnd"/>
      <w:r w:rsidRPr="008E5C5F">
        <w:rPr>
          <w:rFonts w:ascii="Times New Roman" w:hAnsi="Times New Roman" w:cs="Times New Roman"/>
          <w:sz w:val="24"/>
          <w:szCs w:val="24"/>
        </w:rPr>
        <w:t>]</w:t>
      </w:r>
    </w:p>
    <w:p w14:paraId="280AC3B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8.</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Farghl</w:t>
      </w:r>
      <w:proofErr w:type="spellEnd"/>
      <w:r w:rsidRPr="008E5C5F">
        <w:rPr>
          <w:rFonts w:ascii="Times New Roman" w:hAnsi="Times New Roman" w:cs="Times New Roman"/>
          <w:sz w:val="24"/>
          <w:szCs w:val="24"/>
        </w:rPr>
        <w:t>, A. A. M., Al-</w:t>
      </w:r>
      <w:proofErr w:type="spellStart"/>
      <w:r w:rsidRPr="008E5C5F">
        <w:rPr>
          <w:rFonts w:ascii="Times New Roman" w:hAnsi="Times New Roman" w:cs="Times New Roman"/>
          <w:sz w:val="24"/>
          <w:szCs w:val="24"/>
        </w:rPr>
        <w:t>Hasawi</w:t>
      </w:r>
      <w:proofErr w:type="spellEnd"/>
      <w:r w:rsidRPr="008E5C5F">
        <w:rPr>
          <w:rFonts w:ascii="Times New Roman" w:hAnsi="Times New Roman" w:cs="Times New Roman"/>
          <w:sz w:val="24"/>
          <w:szCs w:val="24"/>
        </w:rPr>
        <w:t>, Z. M., &amp;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M. M. (2021). Assessment of Antioxidant Capacity and Phytochemical Composition of Brown and Red Seaweeds Sampled off Red Sea Coast. Applied Sciences, 11(23), 11079. https://doi.org/10.3390/app112311079</w:t>
      </w:r>
    </w:p>
    <w:p w14:paraId="4003A551"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9.</w:t>
      </w:r>
      <w:r w:rsidRPr="008E5C5F">
        <w:rPr>
          <w:rFonts w:ascii="Times New Roman" w:hAnsi="Times New Roman" w:cs="Times New Roman"/>
          <w:sz w:val="24"/>
          <w:szCs w:val="24"/>
        </w:rPr>
        <w:tab/>
        <w:t xml:space="preserve">Farombi EO, </w:t>
      </w:r>
      <w:proofErr w:type="spellStart"/>
      <w:r w:rsidRPr="008E5C5F">
        <w:rPr>
          <w:rFonts w:ascii="Times New Roman" w:hAnsi="Times New Roman" w:cs="Times New Roman"/>
          <w:sz w:val="24"/>
          <w:szCs w:val="24"/>
        </w:rPr>
        <w:t>Tahnteng</w:t>
      </w:r>
      <w:proofErr w:type="spellEnd"/>
      <w:r w:rsidRPr="008E5C5F">
        <w:rPr>
          <w:rFonts w:ascii="Times New Roman" w:hAnsi="Times New Roman" w:cs="Times New Roman"/>
          <w:sz w:val="24"/>
          <w:szCs w:val="24"/>
        </w:rPr>
        <w:t xml:space="preserve"> JG, Agboola AO, Nwankwo JO, </w:t>
      </w:r>
      <w:proofErr w:type="spellStart"/>
      <w:r w:rsidRPr="008E5C5F">
        <w:rPr>
          <w:rFonts w:ascii="Times New Roman" w:hAnsi="Times New Roman" w:cs="Times New Roman"/>
          <w:sz w:val="24"/>
          <w:szCs w:val="24"/>
        </w:rPr>
        <w:t>Emerole</w:t>
      </w:r>
      <w:proofErr w:type="spellEnd"/>
      <w:r w:rsidRPr="008E5C5F">
        <w:rPr>
          <w:rFonts w:ascii="Times New Roman" w:hAnsi="Times New Roman" w:cs="Times New Roman"/>
          <w:sz w:val="24"/>
          <w:szCs w:val="24"/>
        </w:rPr>
        <w:t xml:space="preserve"> GO. Chemoprevention of 2-acetylaminofluorene-induced hepatotoxicity and lipid peroxidation in rats by </w:t>
      </w:r>
      <w:proofErr w:type="spellStart"/>
      <w:r w:rsidRPr="008E5C5F">
        <w:rPr>
          <w:rFonts w:ascii="Times New Roman" w:hAnsi="Times New Roman" w:cs="Times New Roman"/>
          <w:sz w:val="24"/>
          <w:szCs w:val="24"/>
        </w:rPr>
        <w:t>kolaviron</w:t>
      </w:r>
      <w:proofErr w:type="spellEnd"/>
      <w:r w:rsidRPr="008E5C5F">
        <w:rPr>
          <w:rFonts w:ascii="Times New Roman" w:hAnsi="Times New Roman" w:cs="Times New Roman"/>
          <w:sz w:val="24"/>
          <w:szCs w:val="24"/>
        </w:rPr>
        <w:t xml:space="preserve">-a Garcinia kola seed extract. Food Chem </w:t>
      </w:r>
      <w:proofErr w:type="spellStart"/>
      <w:r w:rsidRPr="008E5C5F">
        <w:rPr>
          <w:rFonts w:ascii="Times New Roman" w:hAnsi="Times New Roman" w:cs="Times New Roman"/>
          <w:sz w:val="24"/>
          <w:szCs w:val="24"/>
        </w:rPr>
        <w:t>Toxicol</w:t>
      </w:r>
      <w:proofErr w:type="spellEnd"/>
      <w:r w:rsidRPr="008E5C5F">
        <w:rPr>
          <w:rFonts w:ascii="Times New Roman" w:hAnsi="Times New Roman" w:cs="Times New Roman"/>
          <w:sz w:val="24"/>
          <w:szCs w:val="24"/>
        </w:rPr>
        <w:t>, 38, 2000, 535 541. </w:t>
      </w:r>
    </w:p>
    <w:p w14:paraId="66E9D9B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10.</w:t>
      </w:r>
      <w:r w:rsidRPr="008E5C5F">
        <w:rPr>
          <w:rFonts w:ascii="Times New Roman" w:hAnsi="Times New Roman" w:cs="Times New Roman"/>
          <w:sz w:val="24"/>
          <w:szCs w:val="24"/>
        </w:rPr>
        <w:tab/>
      </w:r>
      <w:proofErr w:type="gramStart"/>
      <w:r w:rsidRPr="008E5C5F">
        <w:rPr>
          <w:rFonts w:ascii="Times New Roman" w:hAnsi="Times New Roman" w:cs="Times New Roman"/>
          <w:sz w:val="24"/>
          <w:szCs w:val="24"/>
        </w:rPr>
        <w:t>Garcia  EJ</w:t>
      </w:r>
      <w:proofErr w:type="gram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Oldoni</w:t>
      </w:r>
      <w:proofErr w:type="spellEnd"/>
      <w:r w:rsidRPr="008E5C5F">
        <w:rPr>
          <w:rFonts w:ascii="Times New Roman" w:hAnsi="Times New Roman" w:cs="Times New Roman"/>
          <w:sz w:val="24"/>
          <w:szCs w:val="24"/>
        </w:rPr>
        <w:t xml:space="preserve">  TLC,  Alencar  SM  de, Reis   A,   Loguercio   </w:t>
      </w:r>
      <w:proofErr w:type="spellStart"/>
      <w:r w:rsidRPr="008E5C5F">
        <w:rPr>
          <w:rFonts w:ascii="Times New Roman" w:hAnsi="Times New Roman" w:cs="Times New Roman"/>
          <w:sz w:val="24"/>
          <w:szCs w:val="24"/>
        </w:rPr>
        <w:t>AD,Grande</w:t>
      </w:r>
      <w:proofErr w:type="spellEnd"/>
      <w:r w:rsidRPr="008E5C5F">
        <w:rPr>
          <w:rFonts w:ascii="Times New Roman" w:hAnsi="Times New Roman" w:cs="Times New Roman"/>
          <w:sz w:val="24"/>
          <w:szCs w:val="24"/>
        </w:rPr>
        <w:t xml:space="preserve">   RHM. </w:t>
      </w:r>
      <w:proofErr w:type="spellStart"/>
      <w:r w:rsidRPr="008E5C5F">
        <w:rPr>
          <w:rFonts w:ascii="Times New Roman" w:hAnsi="Times New Roman" w:cs="Times New Roman"/>
          <w:sz w:val="24"/>
          <w:szCs w:val="24"/>
        </w:rPr>
        <w:t>Antioxidantactivity</w:t>
      </w:r>
      <w:proofErr w:type="spellEnd"/>
      <w:r w:rsidRPr="008E5C5F">
        <w:rPr>
          <w:rFonts w:ascii="Times New Roman" w:hAnsi="Times New Roman" w:cs="Times New Roman"/>
          <w:sz w:val="24"/>
          <w:szCs w:val="24"/>
        </w:rPr>
        <w:t xml:space="preserve">   by   DPPH   assay   of potential    solutions    to    be     applied    on bleached teeth. Braz Dent J. 2012;23(1):22–27.  </w:t>
      </w:r>
    </w:p>
    <w:p w14:paraId="3452DBD0"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11.</w:t>
      </w:r>
      <w:r w:rsidRPr="008E5C5F">
        <w:rPr>
          <w:rFonts w:ascii="Times New Roman" w:hAnsi="Times New Roman" w:cs="Times New Roman"/>
          <w:sz w:val="24"/>
          <w:szCs w:val="24"/>
        </w:rPr>
        <w:tab/>
        <w:t xml:space="preserve">Gupta S, Abu-Ghannam N. Bioactive potential and possible health effects of edible brown seaweeds. Trends Food Sci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2011;22:315</w:t>
      </w:r>
      <w:proofErr w:type="gramEnd"/>
      <w:r w:rsidRPr="008E5C5F">
        <w:rPr>
          <w:rFonts w:ascii="Times New Roman" w:hAnsi="Times New Roman" w:cs="Times New Roman"/>
          <w:sz w:val="24"/>
          <w:szCs w:val="24"/>
        </w:rPr>
        <w:t>-26. </w:t>
      </w:r>
    </w:p>
    <w:p w14:paraId="69C77E38"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12.</w:t>
      </w:r>
      <w:r w:rsidRPr="008E5C5F">
        <w:rPr>
          <w:rFonts w:ascii="Times New Roman" w:hAnsi="Times New Roman" w:cs="Times New Roman"/>
          <w:sz w:val="24"/>
          <w:szCs w:val="24"/>
        </w:rPr>
        <w:tab/>
        <w:t xml:space="preserve">Halliwell B, Gutteridge JMC, </w:t>
      </w:r>
      <w:proofErr w:type="spellStart"/>
      <w:r w:rsidRPr="008E5C5F">
        <w:rPr>
          <w:rFonts w:ascii="Times New Roman" w:hAnsi="Times New Roman" w:cs="Times New Roman"/>
          <w:sz w:val="24"/>
          <w:szCs w:val="24"/>
        </w:rPr>
        <w:t>Aruoma</w:t>
      </w:r>
      <w:proofErr w:type="spellEnd"/>
      <w:r w:rsidRPr="008E5C5F">
        <w:rPr>
          <w:rFonts w:ascii="Times New Roman" w:hAnsi="Times New Roman" w:cs="Times New Roman"/>
          <w:sz w:val="24"/>
          <w:szCs w:val="24"/>
        </w:rPr>
        <w:t xml:space="preserve"> OI. The deoxyribose method: a simple 'test tube' assay for determination of </w:t>
      </w:r>
      <w:proofErr w:type="spellStart"/>
      <w:r w:rsidRPr="008E5C5F">
        <w:rPr>
          <w:rFonts w:ascii="Times New Roman" w:hAnsi="Times New Roman" w:cs="Times New Roman"/>
          <w:sz w:val="24"/>
          <w:szCs w:val="24"/>
        </w:rPr>
        <w:t>rateconstants</w:t>
      </w:r>
      <w:proofErr w:type="spellEnd"/>
      <w:r w:rsidRPr="008E5C5F">
        <w:rPr>
          <w:rFonts w:ascii="Times New Roman" w:hAnsi="Times New Roman" w:cs="Times New Roman"/>
          <w:sz w:val="24"/>
          <w:szCs w:val="24"/>
        </w:rPr>
        <w:t xml:space="preserve"> for reaction of hydroxyl radicals. Anal </w:t>
      </w:r>
      <w:proofErr w:type="spellStart"/>
      <w:r w:rsidRPr="008E5C5F">
        <w:rPr>
          <w:rFonts w:ascii="Times New Roman" w:hAnsi="Times New Roman" w:cs="Times New Roman"/>
          <w:sz w:val="24"/>
          <w:szCs w:val="24"/>
        </w:rPr>
        <w:t>Biochem</w:t>
      </w:r>
      <w:proofErr w:type="spellEnd"/>
      <w:r w:rsidRPr="008E5C5F">
        <w:rPr>
          <w:rFonts w:ascii="Times New Roman" w:hAnsi="Times New Roman" w:cs="Times New Roman"/>
          <w:sz w:val="24"/>
          <w:szCs w:val="24"/>
        </w:rPr>
        <w:t xml:space="preserve"> 1987: 165: 215-219.</w:t>
      </w:r>
    </w:p>
    <w:p w14:paraId="25422B5F"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13.</w:t>
      </w:r>
      <w:r w:rsidRPr="008E5C5F">
        <w:rPr>
          <w:rFonts w:ascii="Times New Roman" w:hAnsi="Times New Roman" w:cs="Times New Roman"/>
          <w:sz w:val="24"/>
          <w:szCs w:val="24"/>
        </w:rPr>
        <w:tab/>
        <w:t xml:space="preserve">Heo SJ, Park EJ, Lee KW, Jeon YJ. Antioxidant activities of enzymatic extracts from brown seaweeds. </w:t>
      </w:r>
      <w:proofErr w:type="spellStart"/>
      <w:r w:rsidRPr="008E5C5F">
        <w:rPr>
          <w:rFonts w:ascii="Times New Roman" w:hAnsi="Times New Roman" w:cs="Times New Roman"/>
          <w:sz w:val="24"/>
          <w:szCs w:val="24"/>
        </w:rPr>
        <w:t>Bioresour</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2005;96:1613</w:t>
      </w:r>
      <w:proofErr w:type="gramEnd"/>
      <w:r w:rsidRPr="008E5C5F">
        <w:rPr>
          <w:rFonts w:ascii="Times New Roman" w:hAnsi="Times New Roman" w:cs="Times New Roman"/>
          <w:sz w:val="24"/>
          <w:szCs w:val="24"/>
        </w:rPr>
        <w:t>-23.  </w:t>
      </w:r>
    </w:p>
    <w:p w14:paraId="7686AD1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14.</w:t>
      </w:r>
      <w:r w:rsidRPr="008E5C5F">
        <w:rPr>
          <w:rFonts w:ascii="Times New Roman" w:hAnsi="Times New Roman" w:cs="Times New Roman"/>
          <w:sz w:val="24"/>
          <w:szCs w:val="24"/>
        </w:rPr>
        <w:tab/>
        <w:t>Heo SJ, Seon-</w:t>
      </w:r>
      <w:proofErr w:type="spellStart"/>
      <w:r w:rsidRPr="008E5C5F">
        <w:rPr>
          <w:rFonts w:ascii="Times New Roman" w:hAnsi="Times New Roman" w:cs="Times New Roman"/>
          <w:sz w:val="24"/>
          <w:szCs w:val="24"/>
        </w:rPr>
        <w:t>Heui</w:t>
      </w:r>
      <w:proofErr w:type="spellEnd"/>
      <w:r w:rsidRPr="008E5C5F">
        <w:rPr>
          <w:rFonts w:ascii="Times New Roman" w:hAnsi="Times New Roman" w:cs="Times New Roman"/>
          <w:sz w:val="24"/>
          <w:szCs w:val="24"/>
        </w:rPr>
        <w:t xml:space="preserve"> Cha, Ki-Wan Lee, You-Jin Jeon. Antioxidant activities of red algae </w:t>
      </w:r>
      <w:proofErr w:type="gramStart"/>
      <w:r w:rsidRPr="008E5C5F">
        <w:rPr>
          <w:rFonts w:ascii="Times New Roman" w:hAnsi="Times New Roman" w:cs="Times New Roman"/>
          <w:sz w:val="24"/>
          <w:szCs w:val="24"/>
        </w:rPr>
        <w:t>from  Jeju</w:t>
      </w:r>
      <w:proofErr w:type="gramEnd"/>
      <w:r w:rsidRPr="008E5C5F">
        <w:rPr>
          <w:rFonts w:ascii="Times New Roman" w:hAnsi="Times New Roman" w:cs="Times New Roman"/>
          <w:sz w:val="24"/>
          <w:szCs w:val="24"/>
        </w:rPr>
        <w:t>  Island.  Algae. 2006;21(1):149- 156.  </w:t>
      </w:r>
    </w:p>
    <w:p w14:paraId="27ABDD98"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15.</w:t>
      </w:r>
      <w:r w:rsidRPr="008E5C5F">
        <w:rPr>
          <w:rFonts w:ascii="Times New Roman" w:hAnsi="Times New Roman" w:cs="Times New Roman"/>
          <w:sz w:val="24"/>
          <w:szCs w:val="24"/>
        </w:rPr>
        <w:tab/>
        <w:t xml:space="preserve">Huang MH, Huang SS, Wang BS, Wu CH, Sheu MJ, Hou WC. Antioxidant and anti-inflammatory properties of Cardiospermum </w:t>
      </w:r>
      <w:proofErr w:type="spellStart"/>
      <w:r w:rsidRPr="008E5C5F">
        <w:rPr>
          <w:rFonts w:ascii="Times New Roman" w:hAnsi="Times New Roman" w:cs="Times New Roman"/>
          <w:sz w:val="24"/>
          <w:szCs w:val="24"/>
        </w:rPr>
        <w:t>halicacabum</w:t>
      </w:r>
      <w:proofErr w:type="spellEnd"/>
      <w:r w:rsidRPr="008E5C5F">
        <w:rPr>
          <w:rFonts w:ascii="Times New Roman" w:hAnsi="Times New Roman" w:cs="Times New Roman"/>
          <w:sz w:val="24"/>
          <w:szCs w:val="24"/>
        </w:rPr>
        <w:t xml:space="preserve"> and its reference compounds ex vivo and in vivo. J </w:t>
      </w:r>
      <w:proofErr w:type="spellStart"/>
      <w:r w:rsidRPr="008E5C5F">
        <w:rPr>
          <w:rFonts w:ascii="Times New Roman" w:hAnsi="Times New Roman" w:cs="Times New Roman"/>
          <w:sz w:val="24"/>
          <w:szCs w:val="24"/>
        </w:rPr>
        <w:t>Ethnopharmacol</w:t>
      </w:r>
      <w:proofErr w:type="spellEnd"/>
      <w:r w:rsidRPr="008E5C5F">
        <w:rPr>
          <w:rFonts w:ascii="Times New Roman" w:hAnsi="Times New Roman" w:cs="Times New Roman"/>
          <w:sz w:val="24"/>
          <w:szCs w:val="24"/>
        </w:rPr>
        <w:t>., 2011: 133: 743 750.</w:t>
      </w:r>
    </w:p>
    <w:p w14:paraId="0760E292"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16.</w:t>
      </w:r>
      <w:r w:rsidRPr="008E5C5F">
        <w:rPr>
          <w:rFonts w:ascii="Times New Roman" w:hAnsi="Times New Roman" w:cs="Times New Roman"/>
          <w:sz w:val="24"/>
          <w:szCs w:val="24"/>
        </w:rPr>
        <w:tab/>
        <w:t xml:space="preserve">Ismail MM, El </w:t>
      </w:r>
      <w:proofErr w:type="spellStart"/>
      <w:r w:rsidRPr="008E5C5F">
        <w:rPr>
          <w:rFonts w:ascii="Times New Roman" w:hAnsi="Times New Roman" w:cs="Times New Roman"/>
          <w:sz w:val="24"/>
          <w:szCs w:val="24"/>
        </w:rPr>
        <w:t>Zokm</w:t>
      </w:r>
      <w:proofErr w:type="spellEnd"/>
      <w:r w:rsidRPr="008E5C5F">
        <w:rPr>
          <w:rFonts w:ascii="Times New Roman" w:hAnsi="Times New Roman" w:cs="Times New Roman"/>
          <w:sz w:val="24"/>
          <w:szCs w:val="24"/>
        </w:rPr>
        <w:t xml:space="preserve"> GM, El-Sayed AAM. Variation in biochemical constituents and master elements in common seaweeds from Alexandria coast, Egypt, with special reference to their antioxidant activity and potential food uses: prospective equations. Environ Monit Assess. (2017) 189:648.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10.1007/s10661-017-6366-8.</w:t>
      </w:r>
    </w:p>
    <w:p w14:paraId="2AE0A00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17.</w:t>
      </w:r>
      <w:r w:rsidRPr="008E5C5F">
        <w:rPr>
          <w:rFonts w:ascii="Times New Roman" w:hAnsi="Times New Roman" w:cs="Times New Roman"/>
          <w:sz w:val="24"/>
          <w:szCs w:val="24"/>
        </w:rPr>
        <w:tab/>
        <w:t xml:space="preserve">Ismail GA, Ismail MM. Variation in oxidative stress indices of two green seaweeds growing under different heavy metal stresses. Environ Monit Assess. (2017) 189:68.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10.1007/s10661-017-5775-z </w:t>
      </w:r>
    </w:p>
    <w:p w14:paraId="06690897"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18.</w:t>
      </w:r>
      <w:r w:rsidRPr="008E5C5F">
        <w:rPr>
          <w:rFonts w:ascii="Times New Roman" w:hAnsi="Times New Roman" w:cs="Times New Roman"/>
          <w:sz w:val="24"/>
          <w:szCs w:val="24"/>
        </w:rPr>
        <w:tab/>
        <w:t>Ismail, G.A. Biochemical composition of some Egyptian seaweeds with potent nutritive and antioxidant properties. Food Sci. Techno. 2017, 37, 294–302. [</w:t>
      </w:r>
      <w:proofErr w:type="spellStart"/>
      <w:r w:rsidRPr="008E5C5F">
        <w:rPr>
          <w:rFonts w:ascii="Times New Roman" w:hAnsi="Times New Roman" w:cs="Times New Roman"/>
          <w:sz w:val="24"/>
          <w:szCs w:val="24"/>
        </w:rPr>
        <w:t>CrossRef</w:t>
      </w:r>
      <w:proofErr w:type="spellEnd"/>
      <w:r w:rsidRPr="008E5C5F">
        <w:rPr>
          <w:rFonts w:ascii="Times New Roman" w:hAnsi="Times New Roman" w:cs="Times New Roman"/>
          <w:sz w:val="24"/>
          <w:szCs w:val="24"/>
        </w:rPr>
        <w:t>]</w:t>
      </w:r>
    </w:p>
    <w:p w14:paraId="067B319F"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19.</w:t>
      </w:r>
      <w:r w:rsidRPr="008E5C5F">
        <w:rPr>
          <w:rFonts w:ascii="Times New Roman" w:hAnsi="Times New Roman" w:cs="Times New Roman"/>
          <w:sz w:val="24"/>
          <w:szCs w:val="24"/>
        </w:rPr>
        <w:tab/>
        <w:t xml:space="preserve">Juarez-Portilla C, Olivares-Ba~ </w:t>
      </w:r>
      <w:proofErr w:type="spellStart"/>
      <w:r w:rsidRPr="008E5C5F">
        <w:rPr>
          <w:rFonts w:ascii="Times New Roman" w:hAnsi="Times New Roman" w:cs="Times New Roman"/>
          <w:sz w:val="24"/>
          <w:szCs w:val="24"/>
        </w:rPr>
        <w:t>nuelos</w:t>
      </w:r>
      <w:proofErr w:type="spellEnd"/>
      <w:r w:rsidRPr="008E5C5F">
        <w:rPr>
          <w:rFonts w:ascii="Times New Roman" w:hAnsi="Times New Roman" w:cs="Times New Roman"/>
          <w:sz w:val="24"/>
          <w:szCs w:val="24"/>
        </w:rPr>
        <w:t xml:space="preserve"> T, Molina-Jimenez T, Sanchez-Salcedo JA, Moral DID, Meza-Menchaca T, Flores-Mu~ </w:t>
      </w:r>
      <w:proofErr w:type="spellStart"/>
      <w:r w:rsidRPr="008E5C5F">
        <w:rPr>
          <w:rFonts w:ascii="Times New Roman" w:hAnsi="Times New Roman" w:cs="Times New Roman"/>
          <w:sz w:val="24"/>
          <w:szCs w:val="24"/>
        </w:rPr>
        <w:t>noz</w:t>
      </w:r>
      <w:proofErr w:type="spellEnd"/>
      <w:r w:rsidRPr="008E5C5F">
        <w:rPr>
          <w:rFonts w:ascii="Times New Roman" w:hAnsi="Times New Roman" w:cs="Times New Roman"/>
          <w:sz w:val="24"/>
          <w:szCs w:val="24"/>
        </w:rPr>
        <w:t xml:space="preserve"> M, Lopez-Franco O, Roldan-Roldan G, Ortega A, et al. 2019. Seaweeds-derived compounds modulating effects on signal transduction pathways: a systematic review. Phytomedicine. 63:153016.</w:t>
      </w:r>
    </w:p>
    <w:p w14:paraId="3F2B4D0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20.</w:t>
      </w:r>
      <w:r w:rsidRPr="008E5C5F">
        <w:rPr>
          <w:rFonts w:ascii="Times New Roman" w:hAnsi="Times New Roman" w:cs="Times New Roman"/>
          <w:sz w:val="24"/>
          <w:szCs w:val="24"/>
        </w:rPr>
        <w:tab/>
        <w:t xml:space="preserve">Kaur C, Kapoor HC. Antioxidants in fruits and vegetables – the millennium’s health. Int J Food Sci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36, 2001, 703–725.</w:t>
      </w:r>
    </w:p>
    <w:p w14:paraId="7B37863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21.</w:t>
      </w:r>
      <w:r w:rsidRPr="008E5C5F">
        <w:rPr>
          <w:rFonts w:ascii="Times New Roman" w:hAnsi="Times New Roman" w:cs="Times New Roman"/>
          <w:sz w:val="24"/>
          <w:szCs w:val="24"/>
        </w:rPr>
        <w:tab/>
        <w:t xml:space="preserve">Khan BM, Zheng L-X, Khan W, Shah AA, Liu Y, Cheong K-L (2021) Antioxidant potential of </w:t>
      </w:r>
      <w:proofErr w:type="spellStart"/>
      <w:r w:rsidRPr="008E5C5F">
        <w:rPr>
          <w:rFonts w:ascii="Times New Roman" w:hAnsi="Times New Roman" w:cs="Times New Roman"/>
          <w:sz w:val="24"/>
          <w:szCs w:val="24"/>
        </w:rPr>
        <w:t>physicochemically</w:t>
      </w:r>
      <w:proofErr w:type="spellEnd"/>
      <w:r w:rsidRPr="008E5C5F">
        <w:rPr>
          <w:rFonts w:ascii="Times New Roman" w:hAnsi="Times New Roman" w:cs="Times New Roman"/>
          <w:sz w:val="24"/>
          <w:szCs w:val="24"/>
        </w:rPr>
        <w:t xml:space="preserve"> characterized </w:t>
      </w:r>
      <w:proofErr w:type="spellStart"/>
      <w:r w:rsidRPr="008E5C5F">
        <w:rPr>
          <w:rFonts w:ascii="Times New Roman" w:hAnsi="Times New Roman" w:cs="Times New Roman"/>
          <w:sz w:val="24"/>
          <w:szCs w:val="24"/>
        </w:rPr>
        <w:t>Gracilariablodgettii</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sulfated</w:t>
      </w:r>
      <w:proofErr w:type="spellEnd"/>
      <w:r w:rsidRPr="008E5C5F">
        <w:rPr>
          <w:rFonts w:ascii="Times New Roman" w:hAnsi="Times New Roman" w:cs="Times New Roman"/>
          <w:sz w:val="24"/>
          <w:szCs w:val="24"/>
        </w:rPr>
        <w:t xml:space="preserve"> polysaccharides. Polymer 13:442 60.  </w:t>
      </w:r>
    </w:p>
    <w:p w14:paraId="1C26044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22.</w:t>
      </w:r>
      <w:r w:rsidRPr="008E5C5F">
        <w:rPr>
          <w:rFonts w:ascii="Times New Roman" w:hAnsi="Times New Roman" w:cs="Times New Roman"/>
          <w:sz w:val="24"/>
          <w:szCs w:val="24"/>
        </w:rPr>
        <w:tab/>
        <w:t xml:space="preserve">Kumar RS, Hemalatha S. In vitro antioxidant activity of alcoholic leaf extract and subfractions of </w:t>
      </w:r>
      <w:proofErr w:type="spellStart"/>
      <w:r w:rsidRPr="008E5C5F">
        <w:rPr>
          <w:rFonts w:ascii="Times New Roman" w:hAnsi="Times New Roman" w:cs="Times New Roman"/>
          <w:sz w:val="24"/>
          <w:szCs w:val="24"/>
        </w:rPr>
        <w:t>Alangium</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lamarckii</w:t>
      </w:r>
      <w:proofErr w:type="spellEnd"/>
      <w:r w:rsidRPr="008E5C5F">
        <w:rPr>
          <w:rFonts w:ascii="Times New Roman" w:hAnsi="Times New Roman" w:cs="Times New Roman"/>
          <w:sz w:val="24"/>
          <w:szCs w:val="24"/>
        </w:rPr>
        <w:t xml:space="preserve"> Thwaites. J Chem. Pharma Res., 2011: 3: 259 267. </w:t>
      </w:r>
    </w:p>
    <w:p w14:paraId="797E7566"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23.</w:t>
      </w:r>
      <w:r w:rsidRPr="008E5C5F">
        <w:rPr>
          <w:rFonts w:ascii="Times New Roman" w:hAnsi="Times New Roman" w:cs="Times New Roman"/>
          <w:sz w:val="24"/>
          <w:szCs w:val="24"/>
        </w:rPr>
        <w:tab/>
        <w:t xml:space="preserve">Liu ZW, Sun X. 2020. A critical review of the abilities, deter </w:t>
      </w:r>
      <w:proofErr w:type="spellStart"/>
      <w:r w:rsidRPr="008E5C5F">
        <w:rPr>
          <w:rFonts w:ascii="Times New Roman" w:hAnsi="Times New Roman" w:cs="Times New Roman"/>
          <w:sz w:val="24"/>
          <w:szCs w:val="24"/>
        </w:rPr>
        <w:t>minants</w:t>
      </w:r>
      <w:proofErr w:type="spellEnd"/>
      <w:r w:rsidRPr="008E5C5F">
        <w:rPr>
          <w:rFonts w:ascii="Times New Roman" w:hAnsi="Times New Roman" w:cs="Times New Roman"/>
          <w:sz w:val="24"/>
          <w:szCs w:val="24"/>
        </w:rPr>
        <w:t>, and possible molecular mechanisms of sea weed polysaccharides antioxidants. IJMS. 21(20):7774.</w:t>
      </w:r>
    </w:p>
    <w:p w14:paraId="036ABBF3"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24.</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MayerAMS</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Rodriquer</w:t>
      </w:r>
      <w:proofErr w:type="spellEnd"/>
      <w:r w:rsidRPr="008E5C5F">
        <w:rPr>
          <w:rFonts w:ascii="Times New Roman" w:hAnsi="Times New Roman" w:cs="Times New Roman"/>
          <w:sz w:val="24"/>
          <w:szCs w:val="24"/>
        </w:rPr>
        <w:t xml:space="preserve"> AD, Berlinck RGS and </w:t>
      </w:r>
      <w:proofErr w:type="spellStart"/>
      <w:r w:rsidRPr="008E5C5F">
        <w:rPr>
          <w:rFonts w:ascii="Times New Roman" w:hAnsi="Times New Roman" w:cs="Times New Roman"/>
          <w:sz w:val="24"/>
          <w:szCs w:val="24"/>
        </w:rPr>
        <w:t>Fusetani</w:t>
      </w:r>
      <w:proofErr w:type="spellEnd"/>
      <w:r w:rsidRPr="008E5C5F">
        <w:rPr>
          <w:rFonts w:ascii="Times New Roman" w:hAnsi="Times New Roman" w:cs="Times New Roman"/>
          <w:sz w:val="24"/>
          <w:szCs w:val="24"/>
        </w:rPr>
        <w:t xml:space="preserve"> N.2011. Marine compounds with antibacterial, anticoagulant, antifungal, anti-inflammatory, anti- malarial, anti-protozoa, antituberculosis and antiviral activities affecting the immune and nervous system and other </w:t>
      </w:r>
      <w:proofErr w:type="spellStart"/>
      <w:r w:rsidRPr="008E5C5F">
        <w:rPr>
          <w:rFonts w:ascii="Times New Roman" w:hAnsi="Times New Roman" w:cs="Times New Roman"/>
          <w:sz w:val="24"/>
          <w:szCs w:val="24"/>
        </w:rPr>
        <w:t>misallaneous</w:t>
      </w:r>
      <w:proofErr w:type="spellEnd"/>
      <w:r w:rsidRPr="008E5C5F">
        <w:rPr>
          <w:rFonts w:ascii="Times New Roman" w:hAnsi="Times New Roman" w:cs="Times New Roman"/>
          <w:sz w:val="24"/>
          <w:szCs w:val="24"/>
        </w:rPr>
        <w:t xml:space="preserve"> mechanisms of action Comp </w:t>
      </w:r>
      <w:proofErr w:type="spellStart"/>
      <w:r w:rsidRPr="008E5C5F">
        <w:rPr>
          <w:rFonts w:ascii="Times New Roman" w:hAnsi="Times New Roman" w:cs="Times New Roman"/>
          <w:sz w:val="24"/>
          <w:szCs w:val="24"/>
        </w:rPr>
        <w:t>Biochem</w:t>
      </w:r>
      <w:proofErr w:type="spellEnd"/>
      <w:r w:rsidRPr="008E5C5F">
        <w:rPr>
          <w:rFonts w:ascii="Times New Roman" w:hAnsi="Times New Roman" w:cs="Times New Roman"/>
          <w:sz w:val="24"/>
          <w:szCs w:val="24"/>
        </w:rPr>
        <w:t xml:space="preserve"> Phys. </w:t>
      </w:r>
      <w:proofErr w:type="gramStart"/>
      <w:r w:rsidRPr="008E5C5F">
        <w:rPr>
          <w:rFonts w:ascii="Times New Roman" w:hAnsi="Times New Roman" w:cs="Times New Roman"/>
          <w:sz w:val="24"/>
          <w:szCs w:val="24"/>
        </w:rPr>
        <w:t>153 :</w:t>
      </w:r>
      <w:proofErr w:type="gramEnd"/>
      <w:r w:rsidRPr="008E5C5F">
        <w:rPr>
          <w:rFonts w:ascii="Times New Roman" w:hAnsi="Times New Roman" w:cs="Times New Roman"/>
          <w:sz w:val="24"/>
          <w:szCs w:val="24"/>
        </w:rPr>
        <w:t xml:space="preserve"> 191 222.</w:t>
      </w:r>
    </w:p>
    <w:p w14:paraId="30B9105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25.</w:t>
      </w:r>
      <w:r w:rsidRPr="008E5C5F">
        <w:rPr>
          <w:rFonts w:ascii="Times New Roman" w:hAnsi="Times New Roman" w:cs="Times New Roman"/>
          <w:sz w:val="24"/>
          <w:szCs w:val="24"/>
        </w:rPr>
        <w:tab/>
        <w:t xml:space="preserve">Matkowski    </w:t>
      </w:r>
      <w:proofErr w:type="gramStart"/>
      <w:r w:rsidRPr="008E5C5F">
        <w:rPr>
          <w:rFonts w:ascii="Times New Roman" w:hAnsi="Times New Roman" w:cs="Times New Roman"/>
          <w:sz w:val="24"/>
          <w:szCs w:val="24"/>
        </w:rPr>
        <w:t>A,   </w:t>
      </w:r>
      <w:proofErr w:type="gram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Tasarz</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P,Szypuła</w:t>
      </w:r>
      <w:proofErr w:type="spellEnd"/>
      <w:r w:rsidRPr="008E5C5F">
        <w:rPr>
          <w:rFonts w:ascii="Times New Roman" w:hAnsi="Times New Roman" w:cs="Times New Roman"/>
          <w:sz w:val="24"/>
          <w:szCs w:val="24"/>
        </w:rPr>
        <w:t xml:space="preserve">   E. Antioxidant  activity  of  herb  extracts  </w:t>
      </w:r>
      <w:proofErr w:type="spellStart"/>
      <w:r w:rsidRPr="008E5C5F">
        <w:rPr>
          <w:rFonts w:ascii="Times New Roman" w:hAnsi="Times New Roman" w:cs="Times New Roman"/>
          <w:sz w:val="24"/>
          <w:szCs w:val="24"/>
        </w:rPr>
        <w:t>fromfive</w:t>
      </w:r>
      <w:proofErr w:type="spellEnd"/>
      <w:r w:rsidRPr="008E5C5F">
        <w:rPr>
          <w:rFonts w:ascii="Times New Roman" w:hAnsi="Times New Roman" w:cs="Times New Roman"/>
          <w:sz w:val="24"/>
          <w:szCs w:val="24"/>
        </w:rPr>
        <w:t xml:space="preserve">   medicinal   plants   from   </w:t>
      </w:r>
      <w:proofErr w:type="spellStart"/>
      <w:r w:rsidRPr="008E5C5F">
        <w:rPr>
          <w:rFonts w:ascii="Times New Roman" w:hAnsi="Times New Roman" w:cs="Times New Roman"/>
          <w:sz w:val="24"/>
          <w:szCs w:val="24"/>
        </w:rPr>
        <w:t>Lamiaceae</w:t>
      </w:r>
      <w:proofErr w:type="spellEnd"/>
      <w:r w:rsidRPr="008E5C5F">
        <w:rPr>
          <w:rFonts w:ascii="Times New Roman" w:hAnsi="Times New Roman" w:cs="Times New Roman"/>
          <w:sz w:val="24"/>
          <w:szCs w:val="24"/>
        </w:rPr>
        <w:t xml:space="preserve">, subfamily  </w:t>
      </w:r>
      <w:proofErr w:type="spellStart"/>
      <w:r w:rsidRPr="008E5C5F">
        <w:rPr>
          <w:rFonts w:ascii="Times New Roman" w:hAnsi="Times New Roman" w:cs="Times New Roman"/>
          <w:sz w:val="24"/>
          <w:szCs w:val="24"/>
        </w:rPr>
        <w:t>Lamioideae</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J  Med</w:t>
      </w:r>
      <w:proofErr w:type="gramEnd"/>
      <w:r w:rsidRPr="008E5C5F">
        <w:rPr>
          <w:rFonts w:ascii="Times New Roman" w:hAnsi="Times New Roman" w:cs="Times New Roman"/>
          <w:sz w:val="24"/>
          <w:szCs w:val="24"/>
        </w:rPr>
        <w:t>  Plants  Res. 2008;2(1):321–330.</w:t>
      </w:r>
    </w:p>
    <w:p w14:paraId="46B5139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26.</w:t>
      </w:r>
      <w:r w:rsidRPr="008E5C5F">
        <w:rPr>
          <w:rFonts w:ascii="Times New Roman" w:hAnsi="Times New Roman" w:cs="Times New Roman"/>
          <w:sz w:val="24"/>
          <w:szCs w:val="24"/>
        </w:rPr>
        <w:tab/>
        <w:t xml:space="preserve">Ma X, Li H, Dong J, Qian W. Determination of hydrogen peroxide scavenging activity of phenolic acids by employing gold </w:t>
      </w:r>
      <w:proofErr w:type="spellStart"/>
      <w:r w:rsidRPr="008E5C5F">
        <w:rPr>
          <w:rFonts w:ascii="Times New Roman" w:hAnsi="Times New Roman" w:cs="Times New Roman"/>
          <w:sz w:val="24"/>
          <w:szCs w:val="24"/>
        </w:rPr>
        <w:t>nanoshells</w:t>
      </w:r>
      <w:proofErr w:type="spellEnd"/>
      <w:r w:rsidRPr="008E5C5F">
        <w:rPr>
          <w:rFonts w:ascii="Times New Roman" w:hAnsi="Times New Roman" w:cs="Times New Roman"/>
          <w:sz w:val="24"/>
          <w:szCs w:val="24"/>
        </w:rPr>
        <w:t xml:space="preserve"> precursor composites as nanoprobes. Food Chem </w:t>
      </w:r>
      <w:proofErr w:type="gramStart"/>
      <w:r w:rsidRPr="008E5C5F">
        <w:rPr>
          <w:rFonts w:ascii="Times New Roman" w:hAnsi="Times New Roman" w:cs="Times New Roman"/>
          <w:sz w:val="24"/>
          <w:szCs w:val="24"/>
        </w:rPr>
        <w:t>2011;126:698</w:t>
      </w:r>
      <w:proofErr w:type="gramEnd"/>
      <w:r w:rsidRPr="008E5C5F">
        <w:rPr>
          <w:rFonts w:ascii="Times New Roman" w:hAnsi="Times New Roman" w:cs="Times New Roman"/>
          <w:sz w:val="24"/>
          <w:szCs w:val="24"/>
        </w:rPr>
        <w:t>-704. </w:t>
      </w:r>
    </w:p>
    <w:p w14:paraId="2BBCE82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27.</w:t>
      </w:r>
      <w:r w:rsidRPr="008E5C5F">
        <w:rPr>
          <w:rFonts w:ascii="Times New Roman" w:hAnsi="Times New Roman" w:cs="Times New Roman"/>
          <w:sz w:val="24"/>
          <w:szCs w:val="24"/>
        </w:rPr>
        <w:tab/>
        <w:t xml:space="preserve">Michalak I, Tiwari R, Dhawan M, </w:t>
      </w:r>
      <w:proofErr w:type="spellStart"/>
      <w:r w:rsidRPr="008E5C5F">
        <w:rPr>
          <w:rFonts w:ascii="Times New Roman" w:hAnsi="Times New Roman" w:cs="Times New Roman"/>
          <w:sz w:val="24"/>
          <w:szCs w:val="24"/>
        </w:rPr>
        <w:t>Alagawany</w:t>
      </w:r>
      <w:proofErr w:type="spellEnd"/>
      <w:r w:rsidRPr="008E5C5F">
        <w:rPr>
          <w:rFonts w:ascii="Times New Roman" w:hAnsi="Times New Roman" w:cs="Times New Roman"/>
          <w:sz w:val="24"/>
          <w:szCs w:val="24"/>
        </w:rPr>
        <w:t xml:space="preserve"> M, Farag MR, Sharun K, et al. Antioxidant effects of seaweeds and their active compounds on animal health and production–a review. Vet Q. (2002) 42:48–67.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10.1080/01652176.2022.2061744</w:t>
      </w:r>
    </w:p>
    <w:p w14:paraId="09234D1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28.</w:t>
      </w:r>
      <w:r w:rsidRPr="008E5C5F">
        <w:rPr>
          <w:rFonts w:ascii="Times New Roman" w:hAnsi="Times New Roman" w:cs="Times New Roman"/>
          <w:sz w:val="24"/>
          <w:szCs w:val="24"/>
        </w:rPr>
        <w:tab/>
        <w:t xml:space="preserve">Ngo DH, Wijesekara I, et al. Marine food-derived functional ingredients as </w:t>
      </w:r>
      <w:proofErr w:type="spellStart"/>
      <w:r w:rsidRPr="008E5C5F">
        <w:rPr>
          <w:rFonts w:ascii="Times New Roman" w:hAnsi="Times New Roman" w:cs="Times New Roman"/>
          <w:sz w:val="24"/>
          <w:szCs w:val="24"/>
        </w:rPr>
        <w:t>poten</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tial</w:t>
      </w:r>
      <w:proofErr w:type="spellEnd"/>
      <w:r w:rsidRPr="008E5C5F">
        <w:rPr>
          <w:rFonts w:ascii="Times New Roman" w:hAnsi="Times New Roman" w:cs="Times New Roman"/>
          <w:sz w:val="24"/>
          <w:szCs w:val="24"/>
        </w:rPr>
        <w:t xml:space="preserve"> antioxidants in the food industry: An overview. Food Research International. 2011;44(2):523-529</w:t>
      </w:r>
    </w:p>
    <w:p w14:paraId="2A51C0F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29.</w:t>
      </w:r>
      <w:r w:rsidRPr="008E5C5F">
        <w:rPr>
          <w:rFonts w:ascii="Times New Roman" w:hAnsi="Times New Roman" w:cs="Times New Roman"/>
          <w:sz w:val="24"/>
          <w:szCs w:val="24"/>
        </w:rPr>
        <w:tab/>
        <w:t xml:space="preserve">Pandithurai, M., and S. Murugesan. "Free radical scavenging activity of methanolic extract of brown alga </w:t>
      </w:r>
      <w:proofErr w:type="spellStart"/>
      <w:r w:rsidRPr="008E5C5F">
        <w:rPr>
          <w:rFonts w:ascii="Times New Roman" w:hAnsi="Times New Roman" w:cs="Times New Roman"/>
          <w:sz w:val="24"/>
          <w:szCs w:val="24"/>
        </w:rPr>
        <w:t>Spatoglossum</w:t>
      </w:r>
      <w:proofErr w:type="spellEnd"/>
      <w:r w:rsidRPr="008E5C5F">
        <w:rPr>
          <w:rFonts w:ascii="Times New Roman" w:hAnsi="Times New Roman" w:cs="Times New Roman"/>
          <w:sz w:val="24"/>
          <w:szCs w:val="24"/>
        </w:rPr>
        <w:t xml:space="preserve"> asperum." Journal of Chemical and Pharmaceutical Research 6.7 (2014): 128-132.</w:t>
      </w:r>
    </w:p>
    <w:p w14:paraId="1D650B31"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30.</w:t>
      </w:r>
      <w:r w:rsidRPr="008E5C5F">
        <w:rPr>
          <w:rFonts w:ascii="Times New Roman" w:hAnsi="Times New Roman" w:cs="Times New Roman"/>
          <w:sz w:val="24"/>
          <w:szCs w:val="24"/>
        </w:rPr>
        <w:tab/>
        <w:t xml:space="preserve">Re R, Pellegrini N, </w:t>
      </w:r>
      <w:proofErr w:type="spellStart"/>
      <w:r w:rsidRPr="008E5C5F">
        <w:rPr>
          <w:rFonts w:ascii="Times New Roman" w:hAnsi="Times New Roman" w:cs="Times New Roman"/>
          <w:sz w:val="24"/>
          <w:szCs w:val="24"/>
        </w:rPr>
        <w:t>Proteggente</w:t>
      </w:r>
      <w:proofErr w:type="spellEnd"/>
      <w:r w:rsidRPr="008E5C5F">
        <w:rPr>
          <w:rFonts w:ascii="Times New Roman" w:hAnsi="Times New Roman" w:cs="Times New Roman"/>
          <w:sz w:val="24"/>
          <w:szCs w:val="24"/>
        </w:rPr>
        <w:t xml:space="preserve"> </w:t>
      </w:r>
      <w:proofErr w:type="spellStart"/>
      <w:proofErr w:type="gramStart"/>
      <w:r w:rsidRPr="008E5C5F">
        <w:rPr>
          <w:rFonts w:ascii="Times New Roman" w:hAnsi="Times New Roman" w:cs="Times New Roman"/>
          <w:sz w:val="24"/>
          <w:szCs w:val="24"/>
        </w:rPr>
        <w:t>A,Pannala</w:t>
      </w:r>
      <w:proofErr w:type="spellEnd"/>
      <w:proofErr w:type="gramEnd"/>
      <w:r w:rsidRPr="008E5C5F">
        <w:rPr>
          <w:rFonts w:ascii="Times New Roman" w:hAnsi="Times New Roman" w:cs="Times New Roman"/>
          <w:sz w:val="24"/>
          <w:szCs w:val="24"/>
        </w:rPr>
        <w:t xml:space="preserve"> A,  Yang  M, Rice-Evans  C. Antioxidant activity    applying    an    improved    ABTS radical   cation   decolorization   assay.   Free Radical   Bio   Med. 1999;26(9-10):1231–1237.  </w:t>
      </w:r>
    </w:p>
    <w:p w14:paraId="486B1E82"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31.</w:t>
      </w:r>
      <w:r w:rsidRPr="008E5C5F">
        <w:rPr>
          <w:rFonts w:ascii="Times New Roman" w:hAnsi="Times New Roman" w:cs="Times New Roman"/>
          <w:sz w:val="24"/>
          <w:szCs w:val="24"/>
        </w:rPr>
        <w:tab/>
        <w:t xml:space="preserve">R. Matsukawa, Z. Dubinsky, E. Kishimoto, K. Masak, Y. Masuda, J. Appl. </w:t>
      </w:r>
      <w:proofErr w:type="spellStart"/>
      <w:r w:rsidRPr="008E5C5F">
        <w:rPr>
          <w:rFonts w:ascii="Times New Roman" w:hAnsi="Times New Roman" w:cs="Times New Roman"/>
          <w:sz w:val="24"/>
          <w:szCs w:val="24"/>
        </w:rPr>
        <w:t>Phycol</w:t>
      </w:r>
      <w:proofErr w:type="spellEnd"/>
      <w:r w:rsidRPr="008E5C5F">
        <w:rPr>
          <w:rFonts w:ascii="Times New Roman" w:hAnsi="Times New Roman" w:cs="Times New Roman"/>
          <w:sz w:val="24"/>
          <w:szCs w:val="24"/>
        </w:rPr>
        <w:t>., 1997, 9, 29-35.</w:t>
      </w:r>
    </w:p>
    <w:p w14:paraId="507E348C"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32.</w:t>
      </w:r>
      <w:r w:rsidRPr="008E5C5F">
        <w:rPr>
          <w:rFonts w:ascii="Times New Roman" w:hAnsi="Times New Roman" w:cs="Times New Roman"/>
          <w:sz w:val="24"/>
          <w:szCs w:val="24"/>
        </w:rPr>
        <w:tab/>
        <w:t>.</w:t>
      </w:r>
      <w:proofErr w:type="spellStart"/>
      <w:r w:rsidRPr="008E5C5F">
        <w:rPr>
          <w:rFonts w:ascii="Times New Roman" w:hAnsi="Times New Roman" w:cs="Times New Roman"/>
          <w:sz w:val="24"/>
          <w:szCs w:val="24"/>
        </w:rPr>
        <w:t>Sarikurkc</w:t>
      </w:r>
      <w:proofErr w:type="spellEnd"/>
      <w:r w:rsidRPr="008E5C5F">
        <w:rPr>
          <w:rFonts w:ascii="Times New Roman" w:hAnsi="Times New Roman" w:cs="Times New Roman"/>
          <w:sz w:val="24"/>
          <w:szCs w:val="24"/>
        </w:rPr>
        <w:t xml:space="preserve"> C, Tepe B, Semiz DK, Solak MH. Evaluation of metal concentration and antioxidant activity of three edible mushrooms from </w:t>
      </w:r>
      <w:proofErr w:type="spellStart"/>
      <w:r w:rsidRPr="008E5C5F">
        <w:rPr>
          <w:rFonts w:ascii="Times New Roman" w:hAnsi="Times New Roman" w:cs="Times New Roman"/>
          <w:sz w:val="24"/>
          <w:szCs w:val="24"/>
        </w:rPr>
        <w:t>Mugla</w:t>
      </w:r>
      <w:proofErr w:type="spellEnd"/>
      <w:r w:rsidRPr="008E5C5F">
        <w:rPr>
          <w:rFonts w:ascii="Times New Roman" w:hAnsi="Times New Roman" w:cs="Times New Roman"/>
          <w:sz w:val="24"/>
          <w:szCs w:val="24"/>
        </w:rPr>
        <w:t xml:space="preserve">, Turkey. Food Chem </w:t>
      </w:r>
      <w:proofErr w:type="spellStart"/>
      <w:r w:rsidRPr="008E5C5F">
        <w:rPr>
          <w:rFonts w:ascii="Times New Roman" w:hAnsi="Times New Roman" w:cs="Times New Roman"/>
          <w:sz w:val="24"/>
          <w:szCs w:val="24"/>
        </w:rPr>
        <w:t>Toxicol</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2010;48:1230</w:t>
      </w:r>
      <w:proofErr w:type="gramEnd"/>
      <w:r w:rsidRPr="008E5C5F">
        <w:rPr>
          <w:rFonts w:ascii="Times New Roman" w:hAnsi="Times New Roman" w:cs="Times New Roman"/>
          <w:sz w:val="24"/>
          <w:szCs w:val="24"/>
        </w:rPr>
        <w:t>-3.</w:t>
      </w:r>
    </w:p>
    <w:p w14:paraId="14B2B81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33.</w:t>
      </w:r>
      <w:r w:rsidRPr="008E5C5F">
        <w:rPr>
          <w:rFonts w:ascii="Times New Roman" w:hAnsi="Times New Roman" w:cs="Times New Roman"/>
          <w:sz w:val="24"/>
          <w:szCs w:val="24"/>
        </w:rPr>
        <w:tab/>
        <w:t xml:space="preserve">Shi Q, Wang A, Lu Z, Qin C, Hu J, Yin J. 2017. Overview on the antiviral activities and mechanisms of marine poly saccharides from seaweeds. </w:t>
      </w:r>
      <w:proofErr w:type="spellStart"/>
      <w:r w:rsidRPr="008E5C5F">
        <w:rPr>
          <w:rFonts w:ascii="Times New Roman" w:hAnsi="Times New Roman" w:cs="Times New Roman"/>
          <w:sz w:val="24"/>
          <w:szCs w:val="24"/>
        </w:rPr>
        <w:t>Carbohydr</w:t>
      </w:r>
      <w:proofErr w:type="spellEnd"/>
      <w:r w:rsidRPr="008E5C5F">
        <w:rPr>
          <w:rFonts w:ascii="Times New Roman" w:hAnsi="Times New Roman" w:cs="Times New Roman"/>
          <w:sz w:val="24"/>
          <w:szCs w:val="24"/>
        </w:rPr>
        <w:t xml:space="preserve"> Res. 453-454:1–9.</w:t>
      </w:r>
    </w:p>
    <w:p w14:paraId="274D7DBC"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34.</w:t>
      </w:r>
      <w:r w:rsidRPr="008E5C5F">
        <w:rPr>
          <w:rFonts w:ascii="Times New Roman" w:hAnsi="Times New Roman" w:cs="Times New Roman"/>
          <w:sz w:val="24"/>
          <w:szCs w:val="24"/>
        </w:rPr>
        <w:tab/>
        <w:t xml:space="preserve">Srinivasan R, Chandrasekar MJN, </w:t>
      </w:r>
      <w:proofErr w:type="spellStart"/>
      <w:r w:rsidRPr="008E5C5F">
        <w:rPr>
          <w:rFonts w:ascii="Times New Roman" w:hAnsi="Times New Roman" w:cs="Times New Roman"/>
          <w:sz w:val="24"/>
          <w:szCs w:val="24"/>
        </w:rPr>
        <w:t>Nanjan</w:t>
      </w:r>
      <w:proofErr w:type="spellEnd"/>
      <w:r w:rsidRPr="008E5C5F">
        <w:rPr>
          <w:rFonts w:ascii="Times New Roman" w:hAnsi="Times New Roman" w:cs="Times New Roman"/>
          <w:sz w:val="24"/>
          <w:szCs w:val="24"/>
        </w:rPr>
        <w:t xml:space="preserve"> MJ, Suresh B. Antioxidant activity of Caesalpinia </w:t>
      </w:r>
      <w:proofErr w:type="spellStart"/>
      <w:r w:rsidRPr="008E5C5F">
        <w:rPr>
          <w:rFonts w:ascii="Times New Roman" w:hAnsi="Times New Roman" w:cs="Times New Roman"/>
          <w:sz w:val="24"/>
          <w:szCs w:val="24"/>
        </w:rPr>
        <w:t>digyna</w:t>
      </w:r>
      <w:proofErr w:type="spellEnd"/>
      <w:r w:rsidRPr="008E5C5F">
        <w:rPr>
          <w:rFonts w:ascii="Times New Roman" w:hAnsi="Times New Roman" w:cs="Times New Roman"/>
          <w:sz w:val="24"/>
          <w:szCs w:val="24"/>
        </w:rPr>
        <w:t xml:space="preserve"> root. J </w:t>
      </w:r>
      <w:proofErr w:type="spellStart"/>
      <w:r w:rsidRPr="008E5C5F">
        <w:rPr>
          <w:rFonts w:ascii="Times New Roman" w:hAnsi="Times New Roman" w:cs="Times New Roman"/>
          <w:sz w:val="24"/>
          <w:szCs w:val="24"/>
        </w:rPr>
        <w:t>Ethnopharmacol</w:t>
      </w:r>
      <w:proofErr w:type="spellEnd"/>
      <w:r w:rsidRPr="008E5C5F">
        <w:rPr>
          <w:rFonts w:ascii="Times New Roman" w:hAnsi="Times New Roman" w:cs="Times New Roman"/>
          <w:sz w:val="24"/>
          <w:szCs w:val="24"/>
        </w:rPr>
        <w:t xml:space="preserve"> 2007: 113: 284-291.</w:t>
      </w:r>
    </w:p>
    <w:p w14:paraId="62DD694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35.</w:t>
      </w:r>
      <w:r w:rsidRPr="008E5C5F">
        <w:rPr>
          <w:rFonts w:ascii="Times New Roman" w:hAnsi="Times New Roman" w:cs="Times New Roman"/>
          <w:sz w:val="24"/>
          <w:szCs w:val="24"/>
        </w:rPr>
        <w:tab/>
        <w:t xml:space="preserve">Si-Min Q, Jude Juventus A, </w:t>
      </w:r>
      <w:proofErr w:type="spellStart"/>
      <w:r w:rsidRPr="008E5C5F">
        <w:rPr>
          <w:rFonts w:ascii="Times New Roman" w:hAnsi="Times New Roman" w:cs="Times New Roman"/>
          <w:sz w:val="24"/>
          <w:szCs w:val="24"/>
        </w:rPr>
        <w:t>Xiaojuan</w:t>
      </w:r>
      <w:proofErr w:type="spellEnd"/>
      <w:r w:rsidRPr="008E5C5F">
        <w:rPr>
          <w:rFonts w:ascii="Times New Roman" w:hAnsi="Times New Roman" w:cs="Times New Roman"/>
          <w:sz w:val="24"/>
          <w:szCs w:val="24"/>
        </w:rPr>
        <w:t xml:space="preserve"> L, Yang L, </w:t>
      </w:r>
      <w:proofErr w:type="spellStart"/>
      <w:r w:rsidRPr="008E5C5F">
        <w:rPr>
          <w:rFonts w:ascii="Times New Roman" w:hAnsi="Times New Roman" w:cs="Times New Roman"/>
          <w:sz w:val="24"/>
          <w:szCs w:val="24"/>
        </w:rPr>
        <w:t>Shijie</w:t>
      </w:r>
      <w:proofErr w:type="spellEnd"/>
      <w:r w:rsidRPr="008E5C5F">
        <w:rPr>
          <w:rFonts w:ascii="Times New Roman" w:hAnsi="Times New Roman" w:cs="Times New Roman"/>
          <w:sz w:val="24"/>
          <w:szCs w:val="24"/>
        </w:rPr>
        <w:t xml:space="preserve"> T, Wan </w:t>
      </w:r>
      <w:proofErr w:type="spellStart"/>
      <w:r w:rsidRPr="008E5C5F">
        <w:rPr>
          <w:rFonts w:ascii="Times New Roman" w:hAnsi="Times New Roman" w:cs="Times New Roman"/>
          <w:sz w:val="24"/>
          <w:szCs w:val="24"/>
        </w:rPr>
        <w:t>cong</w:t>
      </w:r>
      <w:proofErr w:type="spellEnd"/>
      <w:r w:rsidRPr="008E5C5F">
        <w:rPr>
          <w:rFonts w:ascii="Times New Roman" w:hAnsi="Times New Roman" w:cs="Times New Roman"/>
          <w:sz w:val="24"/>
          <w:szCs w:val="24"/>
        </w:rPr>
        <w:t xml:space="preserve"> Z, Kit-Leong C (2022) Bioactive polysaccharides from red seaweed as potent food supplements: a systematic review of their extraction, purification, and biological activities. Carb Pol 275:118696  </w:t>
      </w:r>
    </w:p>
    <w:p w14:paraId="631D2D79"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36.</w:t>
      </w:r>
      <w:r w:rsidRPr="008E5C5F">
        <w:rPr>
          <w:rFonts w:ascii="Times New Roman" w:hAnsi="Times New Roman" w:cs="Times New Roman"/>
          <w:sz w:val="24"/>
          <w:szCs w:val="24"/>
        </w:rPr>
        <w:tab/>
        <w:t>Stevenson DE, Hurst RD. Polyphenolic phytochemicals-just antioxidants or much more. Cell Mol Life Sci, 64, 2007, 2900 2916.</w:t>
      </w:r>
    </w:p>
    <w:p w14:paraId="716662E1"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37.</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Stoclet</w:t>
      </w:r>
      <w:proofErr w:type="spellEnd"/>
      <w:r w:rsidRPr="008E5C5F">
        <w:rPr>
          <w:rFonts w:ascii="Times New Roman" w:hAnsi="Times New Roman" w:cs="Times New Roman"/>
          <w:sz w:val="24"/>
          <w:szCs w:val="24"/>
        </w:rPr>
        <w:t xml:space="preserve"> JC, </w:t>
      </w:r>
      <w:proofErr w:type="spellStart"/>
      <w:r w:rsidRPr="008E5C5F">
        <w:rPr>
          <w:rFonts w:ascii="Times New Roman" w:hAnsi="Times New Roman" w:cs="Times New Roman"/>
          <w:sz w:val="24"/>
          <w:szCs w:val="24"/>
        </w:rPr>
        <w:t>Chataigneau</w:t>
      </w:r>
      <w:proofErr w:type="spellEnd"/>
      <w:r w:rsidRPr="008E5C5F">
        <w:rPr>
          <w:rFonts w:ascii="Times New Roman" w:hAnsi="Times New Roman" w:cs="Times New Roman"/>
          <w:sz w:val="24"/>
          <w:szCs w:val="24"/>
        </w:rPr>
        <w:t xml:space="preserve"> T, Ndiaye M, Oak MH, El </w:t>
      </w:r>
      <w:proofErr w:type="spellStart"/>
      <w:r w:rsidRPr="008E5C5F">
        <w:rPr>
          <w:rFonts w:ascii="Times New Roman" w:hAnsi="Times New Roman" w:cs="Times New Roman"/>
          <w:sz w:val="24"/>
          <w:szCs w:val="24"/>
        </w:rPr>
        <w:t>Bedoui</w:t>
      </w:r>
      <w:proofErr w:type="spellEnd"/>
      <w:r w:rsidRPr="008E5C5F">
        <w:rPr>
          <w:rFonts w:ascii="Times New Roman" w:hAnsi="Times New Roman" w:cs="Times New Roman"/>
          <w:sz w:val="24"/>
          <w:szCs w:val="24"/>
        </w:rPr>
        <w:t xml:space="preserve"> J, </w:t>
      </w:r>
      <w:proofErr w:type="spellStart"/>
      <w:r w:rsidRPr="008E5C5F">
        <w:rPr>
          <w:rFonts w:ascii="Times New Roman" w:hAnsi="Times New Roman" w:cs="Times New Roman"/>
          <w:sz w:val="24"/>
          <w:szCs w:val="24"/>
        </w:rPr>
        <w:t>Chataigneau</w:t>
      </w:r>
      <w:proofErr w:type="spellEnd"/>
      <w:r w:rsidRPr="008E5C5F">
        <w:rPr>
          <w:rFonts w:ascii="Times New Roman" w:hAnsi="Times New Roman" w:cs="Times New Roman"/>
          <w:sz w:val="24"/>
          <w:szCs w:val="24"/>
        </w:rPr>
        <w:t xml:space="preserve"> M, </w:t>
      </w:r>
      <w:proofErr w:type="spellStart"/>
      <w:r w:rsidRPr="008E5C5F">
        <w:rPr>
          <w:rFonts w:ascii="Times New Roman" w:hAnsi="Times New Roman" w:cs="Times New Roman"/>
          <w:sz w:val="24"/>
          <w:szCs w:val="24"/>
        </w:rPr>
        <w:t>Schini</w:t>
      </w:r>
      <w:proofErr w:type="spellEnd"/>
      <w:r w:rsidRPr="008E5C5F">
        <w:rPr>
          <w:rFonts w:ascii="Times New Roman" w:hAnsi="Times New Roman" w:cs="Times New Roman"/>
          <w:sz w:val="24"/>
          <w:szCs w:val="24"/>
        </w:rPr>
        <w:t>-Kerth VB. Vascular protection by dietary polyphenols. Eur J Pharma, 500, 2004, 299-313. </w:t>
      </w:r>
    </w:p>
    <w:p w14:paraId="7FEC4F77"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38.</w:t>
      </w:r>
      <w:r w:rsidRPr="008E5C5F">
        <w:rPr>
          <w:rFonts w:ascii="Times New Roman" w:hAnsi="Times New Roman" w:cs="Times New Roman"/>
          <w:sz w:val="24"/>
          <w:szCs w:val="24"/>
        </w:rPr>
        <w:tab/>
        <w:t>Subashini R, Prasanth R. Studies of free radicals scavenging potential of seaweed Enteromorpha sp. Chem Sci Rev Lett 2014;3(12):931-40.</w:t>
      </w:r>
    </w:p>
    <w:p w14:paraId="27B180A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39.</w:t>
      </w:r>
      <w:r w:rsidRPr="008E5C5F">
        <w:rPr>
          <w:rFonts w:ascii="Times New Roman" w:hAnsi="Times New Roman" w:cs="Times New Roman"/>
          <w:sz w:val="24"/>
          <w:szCs w:val="24"/>
        </w:rPr>
        <w:tab/>
        <w:t xml:space="preserve">Swathi, N., Kumar, A.G., Parthasarathy, V. et al. Isolation of Enteromorpha species and </w:t>
      </w:r>
      <w:proofErr w:type="spellStart"/>
      <w:r w:rsidRPr="008E5C5F">
        <w:rPr>
          <w:rFonts w:ascii="Times New Roman" w:hAnsi="Times New Roman" w:cs="Times New Roman"/>
          <w:sz w:val="24"/>
          <w:szCs w:val="24"/>
        </w:rPr>
        <w:t>analyzing</w:t>
      </w:r>
      <w:proofErr w:type="spellEnd"/>
      <w:r w:rsidRPr="008E5C5F">
        <w:rPr>
          <w:rFonts w:ascii="Times New Roman" w:hAnsi="Times New Roman" w:cs="Times New Roman"/>
          <w:sz w:val="24"/>
          <w:szCs w:val="24"/>
        </w:rPr>
        <w:t xml:space="preserve"> its crude extract for the determination of in vitro antioxidant and antibacterial activities. Biomass Conv. </w:t>
      </w:r>
      <w:proofErr w:type="spellStart"/>
      <w:r w:rsidRPr="008E5C5F">
        <w:rPr>
          <w:rFonts w:ascii="Times New Roman" w:hAnsi="Times New Roman" w:cs="Times New Roman"/>
          <w:sz w:val="24"/>
          <w:szCs w:val="24"/>
        </w:rPr>
        <w:t>Bioref</w:t>
      </w:r>
      <w:proofErr w:type="spellEnd"/>
      <w:r w:rsidRPr="008E5C5F">
        <w:rPr>
          <w:rFonts w:ascii="Times New Roman" w:hAnsi="Times New Roman" w:cs="Times New Roman"/>
          <w:sz w:val="24"/>
          <w:szCs w:val="24"/>
        </w:rPr>
        <w:t>. 14, 3753–3762 (2024). https://doi.org/10.1007/s13399-022-02591-1  </w:t>
      </w:r>
    </w:p>
    <w:p w14:paraId="5FA0E985"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40.</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Vladkova</w:t>
      </w:r>
      <w:proofErr w:type="spellEnd"/>
      <w:r w:rsidRPr="008E5C5F">
        <w:rPr>
          <w:rFonts w:ascii="Times New Roman" w:hAnsi="Times New Roman" w:cs="Times New Roman"/>
          <w:sz w:val="24"/>
          <w:szCs w:val="24"/>
        </w:rPr>
        <w:t xml:space="preserve"> T, Georgieva N, </w:t>
      </w:r>
      <w:proofErr w:type="spellStart"/>
      <w:r w:rsidRPr="008E5C5F">
        <w:rPr>
          <w:rFonts w:ascii="Times New Roman" w:hAnsi="Times New Roman" w:cs="Times New Roman"/>
          <w:sz w:val="24"/>
          <w:szCs w:val="24"/>
        </w:rPr>
        <w:t>Staneva</w:t>
      </w:r>
      <w:proofErr w:type="spellEnd"/>
      <w:r w:rsidRPr="008E5C5F">
        <w:rPr>
          <w:rFonts w:ascii="Times New Roman" w:hAnsi="Times New Roman" w:cs="Times New Roman"/>
          <w:sz w:val="24"/>
          <w:szCs w:val="24"/>
        </w:rPr>
        <w:t xml:space="preserve"> A, </w:t>
      </w:r>
      <w:proofErr w:type="spellStart"/>
      <w:r w:rsidRPr="008E5C5F">
        <w:rPr>
          <w:rFonts w:ascii="Times New Roman" w:hAnsi="Times New Roman" w:cs="Times New Roman"/>
          <w:sz w:val="24"/>
          <w:szCs w:val="24"/>
        </w:rPr>
        <w:t>Gospodinova</w:t>
      </w:r>
      <w:proofErr w:type="spellEnd"/>
      <w:r w:rsidRPr="008E5C5F">
        <w:rPr>
          <w:rFonts w:ascii="Times New Roman" w:hAnsi="Times New Roman" w:cs="Times New Roman"/>
          <w:sz w:val="24"/>
          <w:szCs w:val="24"/>
        </w:rPr>
        <w:t xml:space="preserve"> D. Recent progress in antioxidant active substances from marine biota. Antioxidants. (2022) 11:439.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10.3390/antiox11030439</w:t>
      </w:r>
    </w:p>
    <w:p w14:paraId="3B2B7A45"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41.</w:t>
      </w:r>
      <w:r w:rsidRPr="008E5C5F">
        <w:rPr>
          <w:rFonts w:ascii="Times New Roman" w:hAnsi="Times New Roman" w:cs="Times New Roman"/>
          <w:sz w:val="24"/>
          <w:szCs w:val="24"/>
        </w:rPr>
        <w:tab/>
      </w:r>
      <w:proofErr w:type="spellStart"/>
      <w:proofErr w:type="gramStart"/>
      <w:r w:rsidRPr="008E5C5F">
        <w:rPr>
          <w:rFonts w:ascii="Times New Roman" w:hAnsi="Times New Roman" w:cs="Times New Roman"/>
          <w:sz w:val="24"/>
          <w:szCs w:val="24"/>
        </w:rPr>
        <w:t>Wijffels,R.H</w:t>
      </w:r>
      <w:proofErr w:type="spellEnd"/>
      <w:r w:rsidRPr="008E5C5F">
        <w:rPr>
          <w:rFonts w:ascii="Times New Roman" w:hAnsi="Times New Roman" w:cs="Times New Roman"/>
          <w:sz w:val="24"/>
          <w:szCs w:val="24"/>
        </w:rPr>
        <w:t>.</w:t>
      </w:r>
      <w:proofErr w:type="gramEnd"/>
      <w:r w:rsidRPr="008E5C5F">
        <w:rPr>
          <w:rFonts w:ascii="Times New Roman" w:hAnsi="Times New Roman" w:cs="Times New Roman"/>
          <w:sz w:val="24"/>
          <w:szCs w:val="24"/>
        </w:rPr>
        <w:t xml:space="preserve"> 2008. Potential of sponges and Microalgae for marine biotechnology. Trends in Biotechnology.26: 26-31.</w:t>
      </w:r>
    </w:p>
    <w:p w14:paraId="0DFE7293"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42.</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Yangthong</w:t>
      </w:r>
      <w:proofErr w:type="spellEnd"/>
      <w:r w:rsidRPr="008E5C5F">
        <w:rPr>
          <w:rFonts w:ascii="Times New Roman" w:hAnsi="Times New Roman" w:cs="Times New Roman"/>
          <w:sz w:val="24"/>
          <w:szCs w:val="24"/>
        </w:rPr>
        <w:t xml:space="preserve"> M, </w:t>
      </w:r>
      <w:proofErr w:type="spellStart"/>
      <w:r w:rsidRPr="008E5C5F">
        <w:rPr>
          <w:rFonts w:ascii="Times New Roman" w:hAnsi="Times New Roman" w:cs="Times New Roman"/>
          <w:sz w:val="24"/>
          <w:szCs w:val="24"/>
        </w:rPr>
        <w:t>Hutadilok-Towatana</w:t>
      </w:r>
      <w:proofErr w:type="spellEnd"/>
      <w:r w:rsidRPr="008E5C5F">
        <w:rPr>
          <w:rFonts w:ascii="Times New Roman" w:hAnsi="Times New Roman" w:cs="Times New Roman"/>
          <w:sz w:val="24"/>
          <w:szCs w:val="24"/>
        </w:rPr>
        <w:t xml:space="preserve"> N, </w:t>
      </w:r>
      <w:proofErr w:type="spellStart"/>
      <w:r w:rsidRPr="008E5C5F">
        <w:rPr>
          <w:rFonts w:ascii="Times New Roman" w:hAnsi="Times New Roman" w:cs="Times New Roman"/>
          <w:sz w:val="24"/>
          <w:szCs w:val="24"/>
        </w:rPr>
        <w:t>Phromkunthong</w:t>
      </w:r>
      <w:proofErr w:type="spellEnd"/>
      <w:r w:rsidRPr="008E5C5F">
        <w:rPr>
          <w:rFonts w:ascii="Times New Roman" w:hAnsi="Times New Roman" w:cs="Times New Roman"/>
          <w:sz w:val="24"/>
          <w:szCs w:val="24"/>
        </w:rPr>
        <w:t xml:space="preserve"> W. Antioxidant activities of four edible seaweeds from the southern coast of Thailand. Plant Foods Hum </w:t>
      </w:r>
      <w:proofErr w:type="spellStart"/>
      <w:r w:rsidRPr="008E5C5F">
        <w:rPr>
          <w:rFonts w:ascii="Times New Roman" w:hAnsi="Times New Roman" w:cs="Times New Roman"/>
          <w:sz w:val="24"/>
          <w:szCs w:val="24"/>
        </w:rPr>
        <w:t>Nutr</w:t>
      </w:r>
      <w:proofErr w:type="spellEnd"/>
      <w:r w:rsidRPr="008E5C5F">
        <w:rPr>
          <w:rFonts w:ascii="Times New Roman" w:hAnsi="Times New Roman" w:cs="Times New Roman"/>
          <w:sz w:val="24"/>
          <w:szCs w:val="24"/>
        </w:rPr>
        <w:t xml:space="preserve">. 2009 Sep;64(3):218-23.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10.1007/s11130-009-0127-y. PMID: 19609678.</w:t>
      </w:r>
    </w:p>
    <w:p w14:paraId="757E2C25"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 </w:t>
      </w:r>
    </w:p>
    <w:p w14:paraId="047070DF" w14:textId="77777777" w:rsidR="004554F2" w:rsidRPr="008E5C5F" w:rsidRDefault="008E5C5F" w:rsidP="00052E70">
      <w:pPr>
        <w:spacing w:line="360" w:lineRule="auto"/>
        <w:jc w:val="both"/>
        <w:rPr>
          <w:rFonts w:ascii="Times New Roman" w:hAnsi="Times New Roman" w:cs="Times New Roman"/>
          <w:sz w:val="24"/>
          <w:szCs w:val="24"/>
        </w:rPr>
      </w:pPr>
      <w:r w:rsidRPr="00052E70">
        <w:rPr>
          <w:rFonts w:ascii="Times New Roman" w:hAnsi="Times New Roman" w:cs="Times New Roman"/>
          <w:sz w:val="24"/>
          <w:szCs w:val="24"/>
        </w:rPr>
        <w:br/>
      </w:r>
      <w:r w:rsidRPr="008E5C5F">
        <w:rPr>
          <w:rFonts w:ascii="Times New Roman" w:hAnsi="Times New Roman" w:cs="Times New Roman"/>
          <w:sz w:val="24"/>
          <w:szCs w:val="24"/>
        </w:rPr>
        <w:br/>
      </w:r>
      <w:r w:rsidRPr="008E5C5F">
        <w:rPr>
          <w:rFonts w:ascii="Times New Roman" w:hAnsi="Times New Roman" w:cs="Times New Roman"/>
          <w:sz w:val="24"/>
          <w:szCs w:val="24"/>
        </w:rPr>
        <w:br/>
      </w:r>
      <w:r w:rsidRPr="008E5C5F">
        <w:rPr>
          <w:rFonts w:ascii="Times New Roman" w:hAnsi="Times New Roman" w:cs="Times New Roman"/>
          <w:sz w:val="24"/>
          <w:szCs w:val="24"/>
        </w:rPr>
        <w:br/>
      </w:r>
    </w:p>
    <w:sectPr w:rsidR="004554F2" w:rsidRPr="008E5C5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NIATI SS.i MS.i" w:date="2025-03-17T17:17:00Z" w:initials="ES">
    <w:p w14:paraId="6D0A1901" w14:textId="77777777" w:rsidR="007A5F5A" w:rsidRPr="007A5F5A" w:rsidRDefault="007A5F5A" w:rsidP="007A5F5A">
      <w:pPr>
        <w:pStyle w:val="CommentText"/>
        <w:rPr>
          <w:lang w:val="en-ID"/>
        </w:rPr>
      </w:pPr>
      <w:r>
        <w:rPr>
          <w:rStyle w:val="CommentReference"/>
        </w:rPr>
        <w:annotationRef/>
      </w:r>
      <w:r w:rsidRPr="007A5F5A">
        <w:rPr>
          <w:lang w:val="en"/>
        </w:rPr>
        <w:t>This is a citation from a specific reference, please include the referenced bibliography source.</w:t>
      </w:r>
    </w:p>
    <w:p w14:paraId="489CB2B1" w14:textId="376E2A8F" w:rsidR="007A5F5A" w:rsidRDefault="007A5F5A">
      <w:pPr>
        <w:pStyle w:val="CommentText"/>
      </w:pPr>
    </w:p>
  </w:comment>
  <w:comment w:id="1" w:author="ERNIATI SS.i MS.i" w:date="2025-03-17T17:18:00Z" w:initials="ES">
    <w:p w14:paraId="0FA0979B" w14:textId="77777777" w:rsidR="000D391F" w:rsidRPr="000D391F" w:rsidRDefault="000D391F" w:rsidP="000D391F">
      <w:pPr>
        <w:pStyle w:val="CommentText"/>
        <w:rPr>
          <w:lang w:val="en-ID"/>
        </w:rPr>
      </w:pPr>
      <w:r>
        <w:rPr>
          <w:rStyle w:val="CommentReference"/>
        </w:rPr>
        <w:annotationRef/>
      </w:r>
      <w:r w:rsidRPr="000D391F">
        <w:rPr>
          <w:lang w:val="en"/>
        </w:rPr>
        <w:t>It is better to include citations from recent literature.</w:t>
      </w:r>
    </w:p>
    <w:p w14:paraId="1E519B8B" w14:textId="1EE4E123" w:rsidR="000D391F" w:rsidRDefault="000D391F">
      <w:pPr>
        <w:pStyle w:val="CommentText"/>
      </w:pPr>
    </w:p>
  </w:comment>
  <w:comment w:id="2" w:author="ERNIATI SS.i MS.i" w:date="2025-03-17T17:19:00Z" w:initials="ES">
    <w:p w14:paraId="452110A8" w14:textId="77777777" w:rsidR="009B4118" w:rsidRPr="009B4118" w:rsidRDefault="009B4118" w:rsidP="009B4118">
      <w:pPr>
        <w:pStyle w:val="CommentText"/>
        <w:rPr>
          <w:lang w:val="en-ID"/>
        </w:rPr>
      </w:pPr>
      <w:r>
        <w:rPr>
          <w:rStyle w:val="CommentReference"/>
        </w:rPr>
        <w:annotationRef/>
      </w:r>
      <w:r w:rsidRPr="009B4118">
        <w:rPr>
          <w:lang w:val="en"/>
        </w:rPr>
        <w:t>The background of why you chose these three types of seaweed has not been explained</w:t>
      </w:r>
    </w:p>
    <w:p w14:paraId="74D94252" w14:textId="2088E3FC" w:rsidR="009B4118" w:rsidRDefault="009B4118">
      <w:pPr>
        <w:pStyle w:val="CommentText"/>
      </w:pPr>
    </w:p>
  </w:comment>
  <w:comment w:id="3" w:author="ERNIATI SS.i MS.i" w:date="2025-03-17T17:36:00Z" w:initials="ES">
    <w:p w14:paraId="5D7315A3" w14:textId="77777777" w:rsidR="00D16067" w:rsidRPr="00B57EFC" w:rsidRDefault="00D16067" w:rsidP="00D16067">
      <w:r>
        <w:rPr>
          <w:rStyle w:val="CommentReference"/>
        </w:rPr>
        <w:annotationRef/>
      </w:r>
      <w:r w:rsidRPr="00B57EFC">
        <w:rPr>
          <w:lang w:val="en"/>
        </w:rPr>
        <w:t xml:space="preserve">Please explain in full why different antioxidant analysis methods produce different antioxidant values, for example, with the DPPH method the best antioxidant activity is found in the seaweed </w:t>
      </w:r>
      <w:proofErr w:type="spellStart"/>
      <w:proofErr w:type="gramStart"/>
      <w:r w:rsidRPr="00B57EFC">
        <w:rPr>
          <w:lang w:val="en"/>
        </w:rPr>
        <w:t>C.clavulatum</w:t>
      </w:r>
      <w:proofErr w:type="spellEnd"/>
      <w:proofErr w:type="gramEnd"/>
      <w:r w:rsidRPr="00B57EFC">
        <w:rPr>
          <w:lang w:val="en"/>
        </w:rPr>
        <w:t xml:space="preserve">, however with the ABTS method the best value is found in the </w:t>
      </w:r>
      <w:proofErr w:type="spellStart"/>
      <w:r w:rsidRPr="00B57EFC">
        <w:rPr>
          <w:lang w:val="en"/>
        </w:rPr>
        <w:t>T.ornata</w:t>
      </w:r>
      <w:proofErr w:type="spellEnd"/>
      <w:r w:rsidRPr="00B57EFC">
        <w:rPr>
          <w:lang w:val="en"/>
        </w:rPr>
        <w:t xml:space="preserve"> species</w:t>
      </w:r>
    </w:p>
    <w:p w14:paraId="4E0AA3CE" w14:textId="231203EE" w:rsidR="00D16067" w:rsidRDefault="00D16067">
      <w:pPr>
        <w:pStyle w:val="CommentText"/>
      </w:pPr>
    </w:p>
  </w:comment>
  <w:comment w:id="4" w:author="ERNIATI SS.i MS.i" w:date="2025-03-17T17:35:00Z" w:initials="ES">
    <w:p w14:paraId="71504002" w14:textId="77777777" w:rsidR="00D16067" w:rsidRPr="00D16067" w:rsidRDefault="00D16067" w:rsidP="00D16067">
      <w:pPr>
        <w:pStyle w:val="CommentText"/>
        <w:rPr>
          <w:lang w:val="en-ID"/>
        </w:rPr>
      </w:pPr>
      <w:r>
        <w:rPr>
          <w:rStyle w:val="CommentReference"/>
        </w:rPr>
        <w:annotationRef/>
      </w:r>
      <w:r w:rsidRPr="00D16067">
        <w:rPr>
          <w:lang w:val="en"/>
        </w:rPr>
        <w:t>The most recent reference sources should be used.</w:t>
      </w:r>
    </w:p>
    <w:p w14:paraId="24113F70" w14:textId="2EB48896" w:rsidR="00D16067" w:rsidRDefault="00D1606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9CB2B1" w15:done="0"/>
  <w15:commentEx w15:paraId="1E519B8B" w15:done="0"/>
  <w15:commentEx w15:paraId="74D94252" w15:done="0"/>
  <w15:commentEx w15:paraId="4E0AA3CE" w15:done="0"/>
  <w15:commentEx w15:paraId="24113F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276FE6" w16cex:dateUtc="2025-03-17T10:17:00Z"/>
  <w16cex:commentExtensible w16cex:durableId="5CA9CF51" w16cex:dateUtc="2025-03-17T10:18:00Z"/>
  <w16cex:commentExtensible w16cex:durableId="4699E610" w16cex:dateUtc="2025-03-17T10:19:00Z"/>
  <w16cex:commentExtensible w16cex:durableId="305D00A9" w16cex:dateUtc="2025-03-17T10:36:00Z"/>
  <w16cex:commentExtensible w16cex:durableId="7FE622B4" w16cex:dateUtc="2025-03-17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9CB2B1" w16cid:durableId="75276FE6"/>
  <w16cid:commentId w16cid:paraId="1E519B8B" w16cid:durableId="5CA9CF51"/>
  <w16cid:commentId w16cid:paraId="74D94252" w16cid:durableId="4699E610"/>
  <w16cid:commentId w16cid:paraId="4E0AA3CE" w16cid:durableId="305D00A9"/>
  <w16cid:commentId w16cid:paraId="24113F70" w16cid:durableId="7FE62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39825" w14:textId="77777777" w:rsidR="00D13A84" w:rsidRDefault="00D13A84" w:rsidP="003C6F55">
      <w:pPr>
        <w:spacing w:after="0" w:line="240" w:lineRule="auto"/>
      </w:pPr>
      <w:r>
        <w:separator/>
      </w:r>
    </w:p>
  </w:endnote>
  <w:endnote w:type="continuationSeparator" w:id="0">
    <w:p w14:paraId="1BBFC4D9" w14:textId="77777777" w:rsidR="00D13A84" w:rsidRDefault="00D13A84" w:rsidP="003C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53EF" w14:textId="77777777" w:rsidR="00377F48" w:rsidRDefault="00377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ECCA" w14:textId="77777777" w:rsidR="00377F48" w:rsidRDefault="00377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D6DC" w14:textId="77777777" w:rsidR="00377F48" w:rsidRDefault="00377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31EAA" w14:textId="77777777" w:rsidR="00D13A84" w:rsidRDefault="00D13A84" w:rsidP="003C6F55">
      <w:pPr>
        <w:spacing w:after="0" w:line="240" w:lineRule="auto"/>
      </w:pPr>
      <w:r>
        <w:separator/>
      </w:r>
    </w:p>
  </w:footnote>
  <w:footnote w:type="continuationSeparator" w:id="0">
    <w:p w14:paraId="3DEA0E95" w14:textId="77777777" w:rsidR="00D13A84" w:rsidRDefault="00D13A84" w:rsidP="003C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02A5" w14:textId="77777777" w:rsidR="00377F48" w:rsidRDefault="00000000">
    <w:pPr>
      <w:pStyle w:val="Header"/>
    </w:pPr>
    <w:r>
      <w:rPr>
        <w:noProof/>
      </w:rPr>
      <w:pict w14:anchorId="45BD1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44B6" w14:textId="77777777" w:rsidR="00377F48" w:rsidRDefault="00000000">
    <w:pPr>
      <w:pStyle w:val="Header"/>
    </w:pPr>
    <w:r>
      <w:rPr>
        <w:noProof/>
      </w:rPr>
      <w:pict w14:anchorId="03132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563F" w14:textId="77777777" w:rsidR="00377F48" w:rsidRDefault="00000000">
    <w:pPr>
      <w:pStyle w:val="Header"/>
    </w:pPr>
    <w:r>
      <w:rPr>
        <w:noProof/>
      </w:rPr>
      <w:pict w14:anchorId="10DF0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NIATI SS.i MS.i">
    <w15:presenceInfo w15:providerId="Windows Live" w15:userId="948b4df2581c9e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5F"/>
    <w:rsid w:val="00052E70"/>
    <w:rsid w:val="000D391F"/>
    <w:rsid w:val="00116286"/>
    <w:rsid w:val="00150009"/>
    <w:rsid w:val="00194021"/>
    <w:rsid w:val="00214E7C"/>
    <w:rsid w:val="002670DC"/>
    <w:rsid w:val="002807D9"/>
    <w:rsid w:val="002F0AA7"/>
    <w:rsid w:val="003379F3"/>
    <w:rsid w:val="00340B95"/>
    <w:rsid w:val="00377F48"/>
    <w:rsid w:val="003C6F55"/>
    <w:rsid w:val="003F0465"/>
    <w:rsid w:val="00424B82"/>
    <w:rsid w:val="004554F2"/>
    <w:rsid w:val="00460D85"/>
    <w:rsid w:val="004A05A9"/>
    <w:rsid w:val="00507EC0"/>
    <w:rsid w:val="0067420B"/>
    <w:rsid w:val="007439C5"/>
    <w:rsid w:val="007826A8"/>
    <w:rsid w:val="00786ECC"/>
    <w:rsid w:val="007A5F5A"/>
    <w:rsid w:val="007C426F"/>
    <w:rsid w:val="007F0181"/>
    <w:rsid w:val="007F6D1D"/>
    <w:rsid w:val="00832698"/>
    <w:rsid w:val="008E5C5F"/>
    <w:rsid w:val="00964074"/>
    <w:rsid w:val="00974AFC"/>
    <w:rsid w:val="009A148F"/>
    <w:rsid w:val="009B4118"/>
    <w:rsid w:val="009E7910"/>
    <w:rsid w:val="00A00B5D"/>
    <w:rsid w:val="00A6397B"/>
    <w:rsid w:val="00A8121E"/>
    <w:rsid w:val="00AA5D26"/>
    <w:rsid w:val="00AE30A4"/>
    <w:rsid w:val="00AF09E2"/>
    <w:rsid w:val="00B054C6"/>
    <w:rsid w:val="00B608FC"/>
    <w:rsid w:val="00B830B2"/>
    <w:rsid w:val="00BC5DEF"/>
    <w:rsid w:val="00C12A37"/>
    <w:rsid w:val="00C2508B"/>
    <w:rsid w:val="00C251B0"/>
    <w:rsid w:val="00D13A84"/>
    <w:rsid w:val="00D16067"/>
    <w:rsid w:val="00D602C0"/>
    <w:rsid w:val="00D82274"/>
    <w:rsid w:val="00DA3E9F"/>
    <w:rsid w:val="00DB70AB"/>
    <w:rsid w:val="00DF2578"/>
    <w:rsid w:val="00E17279"/>
    <w:rsid w:val="00EA0E5C"/>
    <w:rsid w:val="00EF2A7D"/>
    <w:rsid w:val="00F11E6E"/>
    <w:rsid w:val="00F33C5A"/>
    <w:rsid w:val="00F77A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0CC9"/>
  <w15:chartTrackingRefBased/>
  <w15:docId w15:val="{5E7A5366-0B5F-4039-9C01-282889E2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9E2"/>
  </w:style>
  <w:style w:type="paragraph" w:styleId="Heading1">
    <w:name w:val="heading 1"/>
    <w:basedOn w:val="Normal"/>
    <w:link w:val="Heading1Char"/>
    <w:uiPriority w:val="9"/>
    <w:qFormat/>
    <w:rsid w:val="00AF09E2"/>
    <w:pPr>
      <w:widowControl w:val="0"/>
      <w:autoSpaceDE w:val="0"/>
      <w:autoSpaceDN w:val="0"/>
      <w:spacing w:after="0" w:line="240" w:lineRule="auto"/>
      <w:ind w:left="859"/>
      <w:outlineLvl w:val="0"/>
    </w:pPr>
    <w:rPr>
      <w:rFonts w:ascii="Times New Roman" w:eastAsia="Times New Roman" w:hAnsi="Times New Roman" w:cs="Times New Roman"/>
      <w:kern w:val="0"/>
      <w:sz w:val="64"/>
      <w:szCs w:val="64"/>
      <w:lang w:val="en-US"/>
      <w14:ligatures w14:val="none"/>
    </w:rPr>
  </w:style>
  <w:style w:type="paragraph" w:styleId="Heading2">
    <w:name w:val="heading 2"/>
    <w:basedOn w:val="Normal"/>
    <w:next w:val="Normal"/>
    <w:link w:val="Heading2Char"/>
    <w:uiPriority w:val="9"/>
    <w:semiHidden/>
    <w:unhideWhenUsed/>
    <w:qFormat/>
    <w:rsid w:val="008E5C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9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E5C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C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9E2"/>
    <w:rPr>
      <w:rFonts w:ascii="Times New Roman" w:eastAsia="Times New Roman" w:hAnsi="Times New Roman" w:cs="Times New Roman"/>
      <w:kern w:val="0"/>
      <w:sz w:val="64"/>
      <w:szCs w:val="64"/>
      <w:lang w:val="en-US"/>
      <w14:ligatures w14:val="none"/>
    </w:rPr>
  </w:style>
  <w:style w:type="character" w:customStyle="1" w:styleId="Heading3Char">
    <w:name w:val="Heading 3 Char"/>
    <w:basedOn w:val="DefaultParagraphFont"/>
    <w:link w:val="Heading3"/>
    <w:uiPriority w:val="9"/>
    <w:semiHidden/>
    <w:rsid w:val="00AF09E2"/>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uiPriority w:val="10"/>
    <w:qFormat/>
    <w:rsid w:val="00AF09E2"/>
    <w:pPr>
      <w:widowControl w:val="0"/>
      <w:autoSpaceDE w:val="0"/>
      <w:autoSpaceDN w:val="0"/>
      <w:spacing w:before="61" w:after="0" w:line="240" w:lineRule="auto"/>
      <w:ind w:right="653"/>
      <w:jc w:val="center"/>
    </w:pPr>
    <w:rPr>
      <w:rFonts w:ascii="Times New Roman" w:eastAsia="Times New Roman" w:hAnsi="Times New Roman" w:cs="Times New Roman"/>
      <w:b/>
      <w:bCs/>
      <w:kern w:val="0"/>
      <w:sz w:val="52"/>
      <w:szCs w:val="52"/>
      <w:lang w:val="en-US"/>
      <w14:ligatures w14:val="none"/>
    </w:rPr>
  </w:style>
  <w:style w:type="character" w:customStyle="1" w:styleId="TitleChar">
    <w:name w:val="Title Char"/>
    <w:basedOn w:val="DefaultParagraphFont"/>
    <w:link w:val="Title"/>
    <w:uiPriority w:val="10"/>
    <w:rsid w:val="00AF09E2"/>
    <w:rPr>
      <w:rFonts w:ascii="Times New Roman" w:eastAsia="Times New Roman" w:hAnsi="Times New Roman" w:cs="Times New Roman"/>
      <w:b/>
      <w:bCs/>
      <w:kern w:val="0"/>
      <w:sz w:val="52"/>
      <w:szCs w:val="52"/>
      <w:lang w:val="en-US"/>
      <w14:ligatures w14:val="none"/>
    </w:rPr>
  </w:style>
  <w:style w:type="paragraph" w:styleId="BodyText">
    <w:name w:val="Body Text"/>
    <w:basedOn w:val="Normal"/>
    <w:link w:val="BodyTextChar"/>
    <w:uiPriority w:val="1"/>
    <w:qFormat/>
    <w:rsid w:val="00AF09E2"/>
    <w:pPr>
      <w:widowControl w:val="0"/>
      <w:autoSpaceDE w:val="0"/>
      <w:autoSpaceDN w:val="0"/>
      <w:spacing w:after="0" w:line="240" w:lineRule="auto"/>
    </w:pPr>
    <w:rPr>
      <w:rFonts w:ascii="Georgia" w:eastAsia="Georgia" w:hAnsi="Georgia" w:cs="Georgia"/>
      <w:kern w:val="0"/>
      <w:sz w:val="28"/>
      <w:szCs w:val="28"/>
      <w:lang w:val="en-US"/>
      <w14:ligatures w14:val="none"/>
    </w:rPr>
  </w:style>
  <w:style w:type="character" w:customStyle="1" w:styleId="BodyTextChar">
    <w:name w:val="Body Text Char"/>
    <w:basedOn w:val="DefaultParagraphFont"/>
    <w:link w:val="BodyText"/>
    <w:uiPriority w:val="1"/>
    <w:rsid w:val="00AF09E2"/>
    <w:rPr>
      <w:rFonts w:ascii="Georgia" w:eastAsia="Georgia" w:hAnsi="Georgia" w:cs="Georgia"/>
      <w:kern w:val="0"/>
      <w:sz w:val="28"/>
      <w:szCs w:val="28"/>
      <w:lang w:val="en-US"/>
      <w14:ligatures w14:val="none"/>
    </w:rPr>
  </w:style>
  <w:style w:type="paragraph" w:styleId="ListParagraph">
    <w:name w:val="List Paragraph"/>
    <w:basedOn w:val="Normal"/>
    <w:uiPriority w:val="34"/>
    <w:qFormat/>
    <w:rsid w:val="00AF09E2"/>
    <w:pPr>
      <w:ind w:left="720"/>
      <w:contextualSpacing/>
    </w:pPr>
  </w:style>
  <w:style w:type="character" w:customStyle="1" w:styleId="Heading2Char">
    <w:name w:val="Heading 2 Char"/>
    <w:basedOn w:val="DefaultParagraphFont"/>
    <w:link w:val="Heading2"/>
    <w:uiPriority w:val="9"/>
    <w:semiHidden/>
    <w:rsid w:val="008E5C5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E5C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C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C5F"/>
    <w:rPr>
      <w:rFonts w:eastAsiaTheme="majorEastAsia" w:cstheme="majorBidi"/>
      <w:color w:val="272727" w:themeColor="text1" w:themeTint="D8"/>
    </w:rPr>
  </w:style>
  <w:style w:type="paragraph" w:styleId="Subtitle">
    <w:name w:val="Subtitle"/>
    <w:basedOn w:val="Normal"/>
    <w:next w:val="Normal"/>
    <w:link w:val="SubtitleChar"/>
    <w:uiPriority w:val="11"/>
    <w:qFormat/>
    <w:rsid w:val="008E5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C5F"/>
    <w:pPr>
      <w:spacing w:before="160"/>
      <w:jc w:val="center"/>
    </w:pPr>
    <w:rPr>
      <w:i/>
      <w:iCs/>
      <w:color w:val="404040" w:themeColor="text1" w:themeTint="BF"/>
    </w:rPr>
  </w:style>
  <w:style w:type="character" w:customStyle="1" w:styleId="QuoteChar">
    <w:name w:val="Quote Char"/>
    <w:basedOn w:val="DefaultParagraphFont"/>
    <w:link w:val="Quote"/>
    <w:uiPriority w:val="29"/>
    <w:rsid w:val="008E5C5F"/>
    <w:rPr>
      <w:i/>
      <w:iCs/>
      <w:color w:val="404040" w:themeColor="text1" w:themeTint="BF"/>
    </w:rPr>
  </w:style>
  <w:style w:type="character" w:styleId="IntenseEmphasis">
    <w:name w:val="Intense Emphasis"/>
    <w:basedOn w:val="DefaultParagraphFont"/>
    <w:uiPriority w:val="21"/>
    <w:qFormat/>
    <w:rsid w:val="008E5C5F"/>
    <w:rPr>
      <w:i/>
      <w:iCs/>
      <w:color w:val="2F5496" w:themeColor="accent1" w:themeShade="BF"/>
    </w:rPr>
  </w:style>
  <w:style w:type="paragraph" w:styleId="IntenseQuote">
    <w:name w:val="Intense Quote"/>
    <w:basedOn w:val="Normal"/>
    <w:next w:val="Normal"/>
    <w:link w:val="IntenseQuoteChar"/>
    <w:uiPriority w:val="30"/>
    <w:qFormat/>
    <w:rsid w:val="008E5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C5F"/>
    <w:rPr>
      <w:i/>
      <w:iCs/>
      <w:color w:val="2F5496" w:themeColor="accent1" w:themeShade="BF"/>
    </w:rPr>
  </w:style>
  <w:style w:type="character" w:styleId="IntenseReference">
    <w:name w:val="Intense Reference"/>
    <w:basedOn w:val="DefaultParagraphFont"/>
    <w:uiPriority w:val="32"/>
    <w:qFormat/>
    <w:rsid w:val="008E5C5F"/>
    <w:rPr>
      <w:b/>
      <w:bCs/>
      <w:smallCaps/>
      <w:color w:val="2F5496" w:themeColor="accent1" w:themeShade="BF"/>
      <w:spacing w:val="5"/>
    </w:rPr>
  </w:style>
  <w:style w:type="table" w:styleId="TableGrid">
    <w:name w:val="Table Grid"/>
    <w:basedOn w:val="TableNormal"/>
    <w:uiPriority w:val="39"/>
    <w:rsid w:val="0067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420B"/>
    <w:pPr>
      <w:widowControl w:val="0"/>
      <w:autoSpaceDE w:val="0"/>
      <w:autoSpaceDN w:val="0"/>
      <w:spacing w:after="0" w:line="240" w:lineRule="auto"/>
      <w:jc w:val="center"/>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3C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55"/>
  </w:style>
  <w:style w:type="paragraph" w:styleId="Footer">
    <w:name w:val="footer"/>
    <w:basedOn w:val="Normal"/>
    <w:link w:val="FooterChar"/>
    <w:uiPriority w:val="99"/>
    <w:unhideWhenUsed/>
    <w:rsid w:val="003C6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F55"/>
  </w:style>
  <w:style w:type="character" w:styleId="CommentReference">
    <w:name w:val="annotation reference"/>
    <w:basedOn w:val="DefaultParagraphFont"/>
    <w:uiPriority w:val="99"/>
    <w:semiHidden/>
    <w:unhideWhenUsed/>
    <w:rsid w:val="007A5F5A"/>
    <w:rPr>
      <w:sz w:val="16"/>
      <w:szCs w:val="16"/>
    </w:rPr>
  </w:style>
  <w:style w:type="paragraph" w:styleId="CommentText">
    <w:name w:val="annotation text"/>
    <w:basedOn w:val="Normal"/>
    <w:link w:val="CommentTextChar"/>
    <w:uiPriority w:val="99"/>
    <w:semiHidden/>
    <w:unhideWhenUsed/>
    <w:rsid w:val="007A5F5A"/>
    <w:pPr>
      <w:spacing w:line="240" w:lineRule="auto"/>
    </w:pPr>
    <w:rPr>
      <w:sz w:val="20"/>
      <w:szCs w:val="20"/>
    </w:rPr>
  </w:style>
  <w:style w:type="character" w:customStyle="1" w:styleId="CommentTextChar">
    <w:name w:val="Comment Text Char"/>
    <w:basedOn w:val="DefaultParagraphFont"/>
    <w:link w:val="CommentText"/>
    <w:uiPriority w:val="99"/>
    <w:semiHidden/>
    <w:rsid w:val="007A5F5A"/>
    <w:rPr>
      <w:sz w:val="20"/>
      <w:szCs w:val="20"/>
    </w:rPr>
  </w:style>
  <w:style w:type="paragraph" w:styleId="CommentSubject">
    <w:name w:val="annotation subject"/>
    <w:basedOn w:val="CommentText"/>
    <w:next w:val="CommentText"/>
    <w:link w:val="CommentSubjectChar"/>
    <w:uiPriority w:val="99"/>
    <w:semiHidden/>
    <w:unhideWhenUsed/>
    <w:rsid w:val="007A5F5A"/>
    <w:rPr>
      <w:b/>
      <w:bCs/>
    </w:rPr>
  </w:style>
  <w:style w:type="character" w:customStyle="1" w:styleId="CommentSubjectChar">
    <w:name w:val="Comment Subject Char"/>
    <w:basedOn w:val="CommentTextChar"/>
    <w:link w:val="CommentSubject"/>
    <w:uiPriority w:val="99"/>
    <w:semiHidden/>
    <w:rsid w:val="007A5F5A"/>
    <w:rPr>
      <w:b/>
      <w:bCs/>
      <w:sz w:val="20"/>
      <w:szCs w:val="20"/>
    </w:rPr>
  </w:style>
  <w:style w:type="paragraph" w:styleId="HTMLPreformatted">
    <w:name w:val="HTML Preformatted"/>
    <w:basedOn w:val="Normal"/>
    <w:link w:val="HTMLPreformattedChar"/>
    <w:uiPriority w:val="99"/>
    <w:semiHidden/>
    <w:unhideWhenUsed/>
    <w:rsid w:val="007A5F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5F5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0971">
      <w:bodyDiv w:val="1"/>
      <w:marLeft w:val="0"/>
      <w:marRight w:val="0"/>
      <w:marTop w:val="0"/>
      <w:marBottom w:val="0"/>
      <w:divBdr>
        <w:top w:val="none" w:sz="0" w:space="0" w:color="auto"/>
        <w:left w:val="none" w:sz="0" w:space="0" w:color="auto"/>
        <w:bottom w:val="none" w:sz="0" w:space="0" w:color="auto"/>
        <w:right w:val="none" w:sz="0" w:space="0" w:color="auto"/>
      </w:divBdr>
    </w:div>
    <w:div w:id="167793378">
      <w:bodyDiv w:val="1"/>
      <w:marLeft w:val="0"/>
      <w:marRight w:val="0"/>
      <w:marTop w:val="0"/>
      <w:marBottom w:val="0"/>
      <w:divBdr>
        <w:top w:val="none" w:sz="0" w:space="0" w:color="auto"/>
        <w:left w:val="none" w:sz="0" w:space="0" w:color="auto"/>
        <w:bottom w:val="none" w:sz="0" w:space="0" w:color="auto"/>
        <w:right w:val="none" w:sz="0" w:space="0" w:color="auto"/>
      </w:divBdr>
    </w:div>
    <w:div w:id="610286086">
      <w:bodyDiv w:val="1"/>
      <w:marLeft w:val="0"/>
      <w:marRight w:val="0"/>
      <w:marTop w:val="0"/>
      <w:marBottom w:val="0"/>
      <w:divBdr>
        <w:top w:val="none" w:sz="0" w:space="0" w:color="auto"/>
        <w:left w:val="none" w:sz="0" w:space="0" w:color="auto"/>
        <w:bottom w:val="none" w:sz="0" w:space="0" w:color="auto"/>
        <w:right w:val="none" w:sz="0" w:space="0" w:color="auto"/>
      </w:divBdr>
    </w:div>
    <w:div w:id="678891977">
      <w:bodyDiv w:val="1"/>
      <w:marLeft w:val="0"/>
      <w:marRight w:val="0"/>
      <w:marTop w:val="0"/>
      <w:marBottom w:val="0"/>
      <w:divBdr>
        <w:top w:val="none" w:sz="0" w:space="0" w:color="auto"/>
        <w:left w:val="none" w:sz="0" w:space="0" w:color="auto"/>
        <w:bottom w:val="none" w:sz="0" w:space="0" w:color="auto"/>
        <w:right w:val="none" w:sz="0" w:space="0" w:color="auto"/>
      </w:divBdr>
    </w:div>
    <w:div w:id="966160203">
      <w:bodyDiv w:val="1"/>
      <w:marLeft w:val="0"/>
      <w:marRight w:val="0"/>
      <w:marTop w:val="0"/>
      <w:marBottom w:val="0"/>
      <w:divBdr>
        <w:top w:val="none" w:sz="0" w:space="0" w:color="auto"/>
        <w:left w:val="none" w:sz="0" w:space="0" w:color="auto"/>
        <w:bottom w:val="none" w:sz="0" w:space="0" w:color="auto"/>
        <w:right w:val="none" w:sz="0" w:space="0" w:color="auto"/>
      </w:divBdr>
    </w:div>
    <w:div w:id="1141579863">
      <w:bodyDiv w:val="1"/>
      <w:marLeft w:val="0"/>
      <w:marRight w:val="0"/>
      <w:marTop w:val="0"/>
      <w:marBottom w:val="0"/>
      <w:divBdr>
        <w:top w:val="none" w:sz="0" w:space="0" w:color="auto"/>
        <w:left w:val="none" w:sz="0" w:space="0" w:color="auto"/>
        <w:bottom w:val="none" w:sz="0" w:space="0" w:color="auto"/>
        <w:right w:val="none" w:sz="0" w:space="0" w:color="auto"/>
      </w:divBdr>
    </w:div>
    <w:div w:id="1350640371">
      <w:bodyDiv w:val="1"/>
      <w:marLeft w:val="0"/>
      <w:marRight w:val="0"/>
      <w:marTop w:val="0"/>
      <w:marBottom w:val="0"/>
      <w:divBdr>
        <w:top w:val="none" w:sz="0" w:space="0" w:color="auto"/>
        <w:left w:val="none" w:sz="0" w:space="0" w:color="auto"/>
        <w:bottom w:val="none" w:sz="0" w:space="0" w:color="auto"/>
        <w:right w:val="none" w:sz="0" w:space="0" w:color="auto"/>
      </w:divBdr>
    </w:div>
    <w:div w:id="1476340451">
      <w:bodyDiv w:val="1"/>
      <w:marLeft w:val="0"/>
      <w:marRight w:val="0"/>
      <w:marTop w:val="0"/>
      <w:marBottom w:val="0"/>
      <w:divBdr>
        <w:top w:val="none" w:sz="0" w:space="0" w:color="auto"/>
        <w:left w:val="none" w:sz="0" w:space="0" w:color="auto"/>
        <w:bottom w:val="none" w:sz="0" w:space="0" w:color="auto"/>
        <w:right w:val="none" w:sz="0" w:space="0" w:color="auto"/>
      </w:divBdr>
    </w:div>
    <w:div w:id="1541821191">
      <w:bodyDiv w:val="1"/>
      <w:marLeft w:val="0"/>
      <w:marRight w:val="0"/>
      <w:marTop w:val="0"/>
      <w:marBottom w:val="0"/>
      <w:divBdr>
        <w:top w:val="none" w:sz="0" w:space="0" w:color="auto"/>
        <w:left w:val="none" w:sz="0" w:space="0" w:color="auto"/>
        <w:bottom w:val="none" w:sz="0" w:space="0" w:color="auto"/>
        <w:right w:val="none" w:sz="0" w:space="0" w:color="auto"/>
      </w:divBdr>
    </w:div>
    <w:div w:id="18113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hart" Target="charts/chart5.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DPPH ASSAY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Sheet2!$B$7:$B$8</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Sheet2!$B$9:$B$13</c:f>
              <c:numCache>
                <c:formatCode>General</c:formatCode>
                <c:ptCount val="5"/>
                <c:pt idx="0">
                  <c:v>8.52</c:v>
                </c:pt>
                <c:pt idx="1">
                  <c:v>16.36</c:v>
                </c:pt>
                <c:pt idx="2">
                  <c:v>30.54</c:v>
                </c:pt>
                <c:pt idx="3">
                  <c:v>45.37</c:v>
                </c:pt>
                <c:pt idx="4">
                  <c:v>61.86</c:v>
                </c:pt>
              </c:numCache>
            </c:numRef>
          </c:val>
          <c:smooth val="0"/>
          <c:extLst>
            <c:ext xmlns:c16="http://schemas.microsoft.com/office/drawing/2014/chart" uri="{C3380CC4-5D6E-409C-BE32-E72D297353CC}">
              <c16:uniqueId val="{00000000-BB75-42CE-BA1C-0952199EC9D5}"/>
            </c:ext>
          </c:extLst>
        </c:ser>
        <c:ser>
          <c:idx val="1"/>
          <c:order val="1"/>
          <c:tx>
            <c:strRef>
              <c:f>Sheet2!$C$7:$C$8</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Sheet2!$C$9:$C$13</c:f>
              <c:numCache>
                <c:formatCode>General</c:formatCode>
                <c:ptCount val="5"/>
                <c:pt idx="0">
                  <c:v>15.22</c:v>
                </c:pt>
                <c:pt idx="1">
                  <c:v>24.27</c:v>
                </c:pt>
                <c:pt idx="2">
                  <c:v>44.55</c:v>
                </c:pt>
                <c:pt idx="3">
                  <c:v>58.33</c:v>
                </c:pt>
                <c:pt idx="4">
                  <c:v>70.16</c:v>
                </c:pt>
              </c:numCache>
            </c:numRef>
          </c:val>
          <c:smooth val="0"/>
          <c:extLst>
            <c:ext xmlns:c16="http://schemas.microsoft.com/office/drawing/2014/chart" uri="{C3380CC4-5D6E-409C-BE32-E72D297353CC}">
              <c16:uniqueId val="{00000001-BB75-42CE-BA1C-0952199EC9D5}"/>
            </c:ext>
          </c:extLst>
        </c:ser>
        <c:ser>
          <c:idx val="2"/>
          <c:order val="2"/>
          <c:tx>
            <c:strRef>
              <c:f>Sheet2!$D$7:$D$8</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Sheet2!$D$9:$D$13</c:f>
              <c:numCache>
                <c:formatCode>General</c:formatCode>
                <c:ptCount val="5"/>
                <c:pt idx="0">
                  <c:v>13.37</c:v>
                </c:pt>
                <c:pt idx="1">
                  <c:v>31.27</c:v>
                </c:pt>
                <c:pt idx="2">
                  <c:v>52.27</c:v>
                </c:pt>
                <c:pt idx="3">
                  <c:v>64.36</c:v>
                </c:pt>
                <c:pt idx="4">
                  <c:v>75.31</c:v>
                </c:pt>
              </c:numCache>
            </c:numRef>
          </c:val>
          <c:smooth val="0"/>
          <c:extLst>
            <c:ext xmlns:c16="http://schemas.microsoft.com/office/drawing/2014/chart" uri="{C3380CC4-5D6E-409C-BE32-E72D297353CC}">
              <c16:uniqueId val="{00000002-BB75-42CE-BA1C-0952199EC9D5}"/>
            </c:ext>
          </c:extLst>
        </c:ser>
        <c:ser>
          <c:idx val="3"/>
          <c:order val="3"/>
          <c:tx>
            <c:strRef>
              <c:f>Sheet2!$E$7:$E$8</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Sheet2!$E$9:$E$13</c:f>
              <c:numCache>
                <c:formatCode>General</c:formatCode>
                <c:ptCount val="5"/>
                <c:pt idx="0">
                  <c:v>13.44</c:v>
                </c:pt>
                <c:pt idx="1">
                  <c:v>22.16</c:v>
                </c:pt>
                <c:pt idx="2">
                  <c:v>37.11</c:v>
                </c:pt>
                <c:pt idx="3">
                  <c:v>49.25</c:v>
                </c:pt>
                <c:pt idx="4">
                  <c:v>67.150000000000006</c:v>
                </c:pt>
              </c:numCache>
            </c:numRef>
          </c:val>
          <c:smooth val="0"/>
          <c:extLst>
            <c:ext xmlns:c16="http://schemas.microsoft.com/office/drawing/2014/chart" uri="{C3380CC4-5D6E-409C-BE32-E72D297353CC}">
              <c16:uniqueId val="{00000003-BB75-42CE-BA1C-0952199EC9D5}"/>
            </c:ext>
          </c:extLst>
        </c:ser>
        <c:dLbls>
          <c:showLegendKey val="0"/>
          <c:showVal val="0"/>
          <c:showCatName val="0"/>
          <c:showSerName val="0"/>
          <c:showPercent val="0"/>
          <c:showBubbleSize val="0"/>
        </c:dLbls>
        <c:marker val="1"/>
        <c:smooth val="0"/>
        <c:axId val="107009311"/>
        <c:axId val="107007871"/>
      </c:lineChart>
      <c:catAx>
        <c:axId val="10700931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007871"/>
        <c:crosses val="autoZero"/>
        <c:auto val="1"/>
        <c:lblAlgn val="ctr"/>
        <c:lblOffset val="100"/>
        <c:noMultiLvlLbl val="0"/>
      </c:catAx>
      <c:valAx>
        <c:axId val="107007871"/>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00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Hydroxyl Assay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Sheet2!$B$28:$B$29</c:f>
              <c:strCache>
                <c:ptCount val="2"/>
                <c:pt idx="0">
                  <c:v>CC</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cat>
            <c:numLit>
              <c:formatCode>General</c:formatCode>
              <c:ptCount val="5"/>
              <c:pt idx="0">
                <c:v>50</c:v>
              </c:pt>
              <c:pt idx="1">
                <c:v>100</c:v>
              </c:pt>
              <c:pt idx="2">
                <c:v>200</c:v>
              </c:pt>
              <c:pt idx="3">
                <c:v>400</c:v>
              </c:pt>
              <c:pt idx="4">
                <c:v>800</c:v>
              </c:pt>
            </c:numLit>
          </c:cat>
          <c:val>
            <c:numRef>
              <c:f>Sheet2!$B$30:$B$34</c:f>
              <c:numCache>
                <c:formatCode>General</c:formatCode>
                <c:ptCount val="5"/>
                <c:pt idx="0">
                  <c:v>13.21</c:v>
                </c:pt>
                <c:pt idx="1">
                  <c:v>26.21</c:v>
                </c:pt>
                <c:pt idx="2">
                  <c:v>37.14</c:v>
                </c:pt>
                <c:pt idx="3">
                  <c:v>48.27</c:v>
                </c:pt>
                <c:pt idx="4">
                  <c:v>59.31</c:v>
                </c:pt>
              </c:numCache>
            </c:numRef>
          </c:val>
          <c:smooth val="0"/>
          <c:extLst>
            <c:ext xmlns:c16="http://schemas.microsoft.com/office/drawing/2014/chart" uri="{C3380CC4-5D6E-409C-BE32-E72D297353CC}">
              <c16:uniqueId val="{00000000-65EA-4FBE-A209-B30E1B85C7CF}"/>
            </c:ext>
          </c:extLst>
        </c:ser>
        <c:ser>
          <c:idx val="1"/>
          <c:order val="1"/>
          <c:tx>
            <c:strRef>
              <c:f>Sheet2!$C$28:$C$29</c:f>
              <c:strCache>
                <c:ptCount val="2"/>
                <c:pt idx="0">
                  <c:v>EI</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cat>
            <c:numLit>
              <c:formatCode>General</c:formatCode>
              <c:ptCount val="5"/>
              <c:pt idx="0">
                <c:v>50</c:v>
              </c:pt>
              <c:pt idx="1">
                <c:v>100</c:v>
              </c:pt>
              <c:pt idx="2">
                <c:v>200</c:v>
              </c:pt>
              <c:pt idx="3">
                <c:v>400</c:v>
              </c:pt>
              <c:pt idx="4">
                <c:v>800</c:v>
              </c:pt>
            </c:numLit>
          </c:cat>
          <c:val>
            <c:numRef>
              <c:f>Sheet2!$C$30:$C$34</c:f>
              <c:numCache>
                <c:formatCode>General</c:formatCode>
                <c:ptCount val="5"/>
                <c:pt idx="0">
                  <c:v>11.56</c:v>
                </c:pt>
                <c:pt idx="1">
                  <c:v>24.33</c:v>
                </c:pt>
                <c:pt idx="2">
                  <c:v>38.229999999999997</c:v>
                </c:pt>
                <c:pt idx="3">
                  <c:v>52.11</c:v>
                </c:pt>
                <c:pt idx="4">
                  <c:v>69.23</c:v>
                </c:pt>
              </c:numCache>
            </c:numRef>
          </c:val>
          <c:smooth val="0"/>
          <c:extLst>
            <c:ext xmlns:c16="http://schemas.microsoft.com/office/drawing/2014/chart" uri="{C3380CC4-5D6E-409C-BE32-E72D297353CC}">
              <c16:uniqueId val="{00000001-65EA-4FBE-A209-B30E1B85C7CF}"/>
            </c:ext>
          </c:extLst>
        </c:ser>
        <c:ser>
          <c:idx val="2"/>
          <c:order val="2"/>
          <c:tx>
            <c:strRef>
              <c:f>Sheet2!$D$28:$D$29</c:f>
              <c:strCache>
                <c:ptCount val="2"/>
                <c:pt idx="0">
                  <c:v>TO</c:v>
                </c:pt>
              </c:strCache>
            </c:strRef>
          </c:tx>
          <c:spPr>
            <a:ln w="31750" cap="rnd">
              <a:solidFill>
                <a:schemeClr val="accent3">
                  <a:alpha val="85000"/>
                </a:schemeClr>
              </a:solidFill>
              <a:round/>
            </a:ln>
            <a:effectLst/>
          </c:spPr>
          <c:marker>
            <c:symbol val="circle"/>
            <c:size val="6"/>
            <c:spPr>
              <a:solidFill>
                <a:schemeClr val="accent3">
                  <a:alpha val="85000"/>
                </a:schemeClr>
              </a:solidFill>
              <a:ln>
                <a:noFill/>
              </a:ln>
              <a:effectLst/>
            </c:spPr>
          </c:marker>
          <c:cat>
            <c:numLit>
              <c:formatCode>General</c:formatCode>
              <c:ptCount val="5"/>
              <c:pt idx="0">
                <c:v>50</c:v>
              </c:pt>
              <c:pt idx="1">
                <c:v>100</c:v>
              </c:pt>
              <c:pt idx="2">
                <c:v>200</c:v>
              </c:pt>
              <c:pt idx="3">
                <c:v>400</c:v>
              </c:pt>
              <c:pt idx="4">
                <c:v>800</c:v>
              </c:pt>
            </c:numLit>
          </c:cat>
          <c:val>
            <c:numRef>
              <c:f>Sheet2!$D$30:$D$34</c:f>
              <c:numCache>
                <c:formatCode>General</c:formatCode>
                <c:ptCount val="5"/>
                <c:pt idx="0">
                  <c:v>15.56</c:v>
                </c:pt>
                <c:pt idx="1">
                  <c:v>26.33</c:v>
                </c:pt>
                <c:pt idx="2">
                  <c:v>39.33</c:v>
                </c:pt>
                <c:pt idx="3">
                  <c:v>47.22</c:v>
                </c:pt>
                <c:pt idx="4">
                  <c:v>63.16</c:v>
                </c:pt>
              </c:numCache>
            </c:numRef>
          </c:val>
          <c:smooth val="0"/>
          <c:extLst>
            <c:ext xmlns:c16="http://schemas.microsoft.com/office/drawing/2014/chart" uri="{C3380CC4-5D6E-409C-BE32-E72D297353CC}">
              <c16:uniqueId val="{00000002-65EA-4FBE-A209-B30E1B85C7CF}"/>
            </c:ext>
          </c:extLst>
        </c:ser>
        <c:ser>
          <c:idx val="3"/>
          <c:order val="3"/>
          <c:tx>
            <c:strRef>
              <c:f>Sheet2!$E$28:$E$29</c:f>
              <c:strCache>
                <c:ptCount val="2"/>
                <c:pt idx="0">
                  <c:v>Standard</c:v>
                </c:pt>
                <c:pt idx="1">
                  <c:v>(Ascorbic acid)</c:v>
                </c:pt>
              </c:strCache>
            </c:strRef>
          </c:tx>
          <c:spPr>
            <a:ln w="31750" cap="rnd">
              <a:solidFill>
                <a:schemeClr val="accent4">
                  <a:alpha val="85000"/>
                </a:schemeClr>
              </a:solidFill>
              <a:round/>
            </a:ln>
            <a:effectLst/>
          </c:spPr>
          <c:marker>
            <c:symbol val="circle"/>
            <c:size val="6"/>
            <c:spPr>
              <a:solidFill>
                <a:schemeClr val="accent4">
                  <a:alpha val="85000"/>
                </a:schemeClr>
              </a:solidFill>
              <a:ln>
                <a:noFill/>
              </a:ln>
              <a:effectLst/>
            </c:spPr>
          </c:marker>
          <c:cat>
            <c:numLit>
              <c:formatCode>General</c:formatCode>
              <c:ptCount val="5"/>
              <c:pt idx="0">
                <c:v>50</c:v>
              </c:pt>
              <c:pt idx="1">
                <c:v>100</c:v>
              </c:pt>
              <c:pt idx="2">
                <c:v>200</c:v>
              </c:pt>
              <c:pt idx="3">
                <c:v>400</c:v>
              </c:pt>
              <c:pt idx="4">
                <c:v>800</c:v>
              </c:pt>
            </c:numLit>
          </c:cat>
          <c:val>
            <c:numRef>
              <c:f>Sheet2!$E$30:$E$34</c:f>
              <c:numCache>
                <c:formatCode>General</c:formatCode>
                <c:ptCount val="5"/>
                <c:pt idx="0">
                  <c:v>12.54</c:v>
                </c:pt>
                <c:pt idx="1">
                  <c:v>24.14</c:v>
                </c:pt>
                <c:pt idx="2">
                  <c:v>34.82</c:v>
                </c:pt>
                <c:pt idx="3">
                  <c:v>50.16</c:v>
                </c:pt>
                <c:pt idx="4">
                  <c:v>71.36</c:v>
                </c:pt>
              </c:numCache>
            </c:numRef>
          </c:val>
          <c:smooth val="0"/>
          <c:extLst>
            <c:ext xmlns:c16="http://schemas.microsoft.com/office/drawing/2014/chart" uri="{C3380CC4-5D6E-409C-BE32-E72D297353CC}">
              <c16:uniqueId val="{00000003-65EA-4FBE-A209-B30E1B85C7CF}"/>
            </c:ext>
          </c:extLst>
        </c:ser>
        <c:dLbls>
          <c:showLegendKey val="0"/>
          <c:showVal val="0"/>
          <c:showCatName val="0"/>
          <c:showSerName val="0"/>
          <c:showPercent val="0"/>
          <c:showBubbleSize val="0"/>
        </c:dLbls>
        <c:marker val="1"/>
        <c:smooth val="0"/>
        <c:axId val="370548591"/>
        <c:axId val="370551471"/>
      </c:lineChart>
      <c:catAx>
        <c:axId val="37054859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IN"/>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70551471"/>
        <c:crosses val="autoZero"/>
        <c:auto val="1"/>
        <c:lblAlgn val="ctr"/>
        <c:lblOffset val="100"/>
        <c:noMultiLvlLbl val="0"/>
      </c:catAx>
      <c:valAx>
        <c:axId val="370551471"/>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Antioxidant Activity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705485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ABTS ASSAY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Sheet2!$B$45:$B$46</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Sheet2!$B$47:$B$51</c:f>
              <c:numCache>
                <c:formatCode>General</c:formatCode>
                <c:ptCount val="5"/>
                <c:pt idx="0">
                  <c:v>16.309999999999999</c:v>
                </c:pt>
                <c:pt idx="1">
                  <c:v>33.270000000000003</c:v>
                </c:pt>
                <c:pt idx="2">
                  <c:v>51.22</c:v>
                </c:pt>
                <c:pt idx="3">
                  <c:v>64.86</c:v>
                </c:pt>
                <c:pt idx="4">
                  <c:v>73.22</c:v>
                </c:pt>
              </c:numCache>
            </c:numRef>
          </c:val>
          <c:smooth val="0"/>
          <c:extLst>
            <c:ext xmlns:c16="http://schemas.microsoft.com/office/drawing/2014/chart" uri="{C3380CC4-5D6E-409C-BE32-E72D297353CC}">
              <c16:uniqueId val="{00000000-1E40-4DBB-A020-21E43C4BFA48}"/>
            </c:ext>
          </c:extLst>
        </c:ser>
        <c:ser>
          <c:idx val="1"/>
          <c:order val="1"/>
          <c:tx>
            <c:strRef>
              <c:f>Sheet2!$C$45:$C$46</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Sheet2!$C$47:$C$51</c:f>
              <c:numCache>
                <c:formatCode>General</c:formatCode>
                <c:ptCount val="5"/>
                <c:pt idx="0">
                  <c:v>15.36</c:v>
                </c:pt>
                <c:pt idx="1">
                  <c:v>26.93</c:v>
                </c:pt>
                <c:pt idx="2">
                  <c:v>37.22</c:v>
                </c:pt>
                <c:pt idx="3">
                  <c:v>56.36</c:v>
                </c:pt>
                <c:pt idx="4">
                  <c:v>80.16</c:v>
                </c:pt>
              </c:numCache>
            </c:numRef>
          </c:val>
          <c:smooth val="0"/>
          <c:extLst>
            <c:ext xmlns:c16="http://schemas.microsoft.com/office/drawing/2014/chart" uri="{C3380CC4-5D6E-409C-BE32-E72D297353CC}">
              <c16:uniqueId val="{00000001-1E40-4DBB-A020-21E43C4BFA48}"/>
            </c:ext>
          </c:extLst>
        </c:ser>
        <c:ser>
          <c:idx val="2"/>
          <c:order val="2"/>
          <c:tx>
            <c:strRef>
              <c:f>Sheet2!$D$45:$D$46</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Sheet2!$D$47:$D$51</c:f>
              <c:numCache>
                <c:formatCode>General</c:formatCode>
                <c:ptCount val="5"/>
                <c:pt idx="0">
                  <c:v>15.22</c:v>
                </c:pt>
                <c:pt idx="1">
                  <c:v>29.16</c:v>
                </c:pt>
                <c:pt idx="2">
                  <c:v>37.22</c:v>
                </c:pt>
                <c:pt idx="3">
                  <c:v>49.51</c:v>
                </c:pt>
                <c:pt idx="4">
                  <c:v>60.16</c:v>
                </c:pt>
              </c:numCache>
            </c:numRef>
          </c:val>
          <c:smooth val="0"/>
          <c:extLst>
            <c:ext xmlns:c16="http://schemas.microsoft.com/office/drawing/2014/chart" uri="{C3380CC4-5D6E-409C-BE32-E72D297353CC}">
              <c16:uniqueId val="{00000002-1E40-4DBB-A020-21E43C4BFA48}"/>
            </c:ext>
          </c:extLst>
        </c:ser>
        <c:ser>
          <c:idx val="3"/>
          <c:order val="3"/>
          <c:tx>
            <c:strRef>
              <c:f>Sheet2!$E$45:$E$46</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Sheet2!$E$47:$E$51</c:f>
              <c:numCache>
                <c:formatCode>General</c:formatCode>
                <c:ptCount val="5"/>
                <c:pt idx="0">
                  <c:v>19.36</c:v>
                </c:pt>
                <c:pt idx="1">
                  <c:v>35.46</c:v>
                </c:pt>
                <c:pt idx="2">
                  <c:v>48.33</c:v>
                </c:pt>
                <c:pt idx="3">
                  <c:v>61.28</c:v>
                </c:pt>
                <c:pt idx="4">
                  <c:v>79.33</c:v>
                </c:pt>
              </c:numCache>
            </c:numRef>
          </c:val>
          <c:smooth val="0"/>
          <c:extLst>
            <c:ext xmlns:c16="http://schemas.microsoft.com/office/drawing/2014/chart" uri="{C3380CC4-5D6E-409C-BE32-E72D297353CC}">
              <c16:uniqueId val="{00000003-1E40-4DBB-A020-21E43C4BFA48}"/>
            </c:ext>
          </c:extLst>
        </c:ser>
        <c:dLbls>
          <c:showLegendKey val="0"/>
          <c:showVal val="0"/>
          <c:showCatName val="0"/>
          <c:showSerName val="0"/>
          <c:showPercent val="0"/>
          <c:showBubbleSize val="0"/>
        </c:dLbls>
        <c:marker val="1"/>
        <c:smooth val="0"/>
        <c:axId val="371849087"/>
        <c:axId val="371829407"/>
      </c:lineChart>
      <c:catAx>
        <c:axId val="3718490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29407"/>
        <c:crosses val="autoZero"/>
        <c:auto val="1"/>
        <c:lblAlgn val="ctr"/>
        <c:lblOffset val="100"/>
        <c:noMultiLvlLbl val="0"/>
      </c:catAx>
      <c:valAx>
        <c:axId val="37182940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4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Superoxide</a:t>
            </a:r>
            <a:r>
              <a:rPr lang="en-IN" baseline="0"/>
              <a:t> radical scavenging Assay</a:t>
            </a:r>
            <a:endParaRPr lang="en-IN"/>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IN"/>
        </a:p>
      </c:txPr>
    </c:title>
    <c:autoTitleDeleted val="0"/>
    <c:plotArea>
      <c:layout/>
      <c:lineChart>
        <c:grouping val="standard"/>
        <c:varyColors val="0"/>
        <c:ser>
          <c:idx val="0"/>
          <c:order val="0"/>
          <c:tx>
            <c:strRef>
              <c:f>Sheet2!$B$62:$B$63</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Sheet2!$B$64:$B$68</c:f>
              <c:numCache>
                <c:formatCode>General</c:formatCode>
                <c:ptCount val="5"/>
                <c:pt idx="0">
                  <c:v>20.190000000000001</c:v>
                </c:pt>
                <c:pt idx="1">
                  <c:v>33.159999999999997</c:v>
                </c:pt>
                <c:pt idx="2">
                  <c:v>46.13</c:v>
                </c:pt>
                <c:pt idx="3">
                  <c:v>63.27</c:v>
                </c:pt>
                <c:pt idx="4">
                  <c:v>75.16</c:v>
                </c:pt>
              </c:numCache>
            </c:numRef>
          </c:val>
          <c:smooth val="0"/>
          <c:extLst>
            <c:ext xmlns:c16="http://schemas.microsoft.com/office/drawing/2014/chart" uri="{C3380CC4-5D6E-409C-BE32-E72D297353CC}">
              <c16:uniqueId val="{00000000-3641-4426-923A-F5E651FDE8CD}"/>
            </c:ext>
          </c:extLst>
        </c:ser>
        <c:ser>
          <c:idx val="1"/>
          <c:order val="1"/>
          <c:tx>
            <c:strRef>
              <c:f>Sheet2!$C$62:$C$63</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Sheet2!$C$64:$C$68</c:f>
              <c:numCache>
                <c:formatCode>General</c:formatCode>
                <c:ptCount val="5"/>
                <c:pt idx="0">
                  <c:v>10.33</c:v>
                </c:pt>
                <c:pt idx="1">
                  <c:v>24.16</c:v>
                </c:pt>
                <c:pt idx="2">
                  <c:v>39.15</c:v>
                </c:pt>
                <c:pt idx="3">
                  <c:v>51.16</c:v>
                </c:pt>
                <c:pt idx="4">
                  <c:v>72.19</c:v>
                </c:pt>
              </c:numCache>
            </c:numRef>
          </c:val>
          <c:smooth val="0"/>
          <c:extLst>
            <c:ext xmlns:c16="http://schemas.microsoft.com/office/drawing/2014/chart" uri="{C3380CC4-5D6E-409C-BE32-E72D297353CC}">
              <c16:uniqueId val="{00000001-3641-4426-923A-F5E651FDE8CD}"/>
            </c:ext>
          </c:extLst>
        </c:ser>
        <c:ser>
          <c:idx val="2"/>
          <c:order val="2"/>
          <c:tx>
            <c:strRef>
              <c:f>Sheet2!$D$62:$D$63</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Sheet2!$D$64:$D$68</c:f>
              <c:numCache>
                <c:formatCode>General</c:formatCode>
                <c:ptCount val="5"/>
                <c:pt idx="0">
                  <c:v>10.56</c:v>
                </c:pt>
                <c:pt idx="1">
                  <c:v>21.11</c:v>
                </c:pt>
                <c:pt idx="2">
                  <c:v>42.67</c:v>
                </c:pt>
                <c:pt idx="3">
                  <c:v>53.23</c:v>
                </c:pt>
                <c:pt idx="4">
                  <c:v>64.31</c:v>
                </c:pt>
              </c:numCache>
            </c:numRef>
          </c:val>
          <c:smooth val="0"/>
          <c:extLst>
            <c:ext xmlns:c16="http://schemas.microsoft.com/office/drawing/2014/chart" uri="{C3380CC4-5D6E-409C-BE32-E72D297353CC}">
              <c16:uniqueId val="{00000002-3641-4426-923A-F5E651FDE8CD}"/>
            </c:ext>
          </c:extLst>
        </c:ser>
        <c:ser>
          <c:idx val="3"/>
          <c:order val="3"/>
          <c:tx>
            <c:strRef>
              <c:f>Sheet2!$E$62:$E$63</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Sheet2!$E$64:$E$68</c:f>
              <c:numCache>
                <c:formatCode>General</c:formatCode>
                <c:ptCount val="5"/>
                <c:pt idx="0">
                  <c:v>18.309999999999999</c:v>
                </c:pt>
                <c:pt idx="1">
                  <c:v>26.13</c:v>
                </c:pt>
                <c:pt idx="2">
                  <c:v>40.270000000000003</c:v>
                </c:pt>
                <c:pt idx="3">
                  <c:v>56.27</c:v>
                </c:pt>
                <c:pt idx="4">
                  <c:v>69.33</c:v>
                </c:pt>
              </c:numCache>
            </c:numRef>
          </c:val>
          <c:smooth val="0"/>
          <c:extLst>
            <c:ext xmlns:c16="http://schemas.microsoft.com/office/drawing/2014/chart" uri="{C3380CC4-5D6E-409C-BE32-E72D297353CC}">
              <c16:uniqueId val="{00000003-3641-4426-923A-F5E651FDE8CD}"/>
            </c:ext>
          </c:extLst>
        </c:ser>
        <c:dLbls>
          <c:showLegendKey val="0"/>
          <c:showVal val="0"/>
          <c:showCatName val="0"/>
          <c:showSerName val="0"/>
          <c:showPercent val="0"/>
          <c:showBubbleSize val="0"/>
        </c:dLbls>
        <c:marker val="1"/>
        <c:smooth val="0"/>
        <c:axId val="371832287"/>
        <c:axId val="371821247"/>
      </c:lineChart>
      <c:catAx>
        <c:axId val="3718322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21247"/>
        <c:crosses val="autoZero"/>
        <c:auto val="1"/>
        <c:lblAlgn val="ctr"/>
        <c:lblOffset val="100"/>
        <c:noMultiLvlLbl val="0"/>
      </c:catAx>
      <c:valAx>
        <c:axId val="37182124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32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Reducing power Assay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Sheet2!$B$78:$B$79</c:f>
              <c:strCache>
                <c:ptCount val="2"/>
                <c:pt idx="0">
                  <c:v>CC</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cat>
            <c:numLit>
              <c:formatCode>General</c:formatCode>
              <c:ptCount val="5"/>
              <c:pt idx="0">
                <c:v>50</c:v>
              </c:pt>
              <c:pt idx="1">
                <c:v>100</c:v>
              </c:pt>
              <c:pt idx="2">
                <c:v>200</c:v>
              </c:pt>
              <c:pt idx="3">
                <c:v>400</c:v>
              </c:pt>
              <c:pt idx="4">
                <c:v>800</c:v>
              </c:pt>
            </c:numLit>
          </c:cat>
          <c:val>
            <c:numRef>
              <c:f>Sheet2!$B$80:$B$84</c:f>
              <c:numCache>
                <c:formatCode>General</c:formatCode>
                <c:ptCount val="5"/>
                <c:pt idx="0">
                  <c:v>0.22500000000000001</c:v>
                </c:pt>
                <c:pt idx="1">
                  <c:v>0.26900000000000002</c:v>
                </c:pt>
                <c:pt idx="2">
                  <c:v>0.315</c:v>
                </c:pt>
                <c:pt idx="3">
                  <c:v>0.35099999999999998</c:v>
                </c:pt>
                <c:pt idx="4">
                  <c:v>0.42099999999999999</c:v>
                </c:pt>
              </c:numCache>
            </c:numRef>
          </c:val>
          <c:smooth val="0"/>
          <c:extLst>
            <c:ext xmlns:c16="http://schemas.microsoft.com/office/drawing/2014/chart" uri="{C3380CC4-5D6E-409C-BE32-E72D297353CC}">
              <c16:uniqueId val="{00000000-02BD-4763-BAE5-4FD66CB1EF09}"/>
            </c:ext>
          </c:extLst>
        </c:ser>
        <c:ser>
          <c:idx val="1"/>
          <c:order val="1"/>
          <c:tx>
            <c:strRef>
              <c:f>Sheet2!$C$78:$C$79</c:f>
              <c:strCache>
                <c:ptCount val="2"/>
                <c:pt idx="0">
                  <c:v>EI</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cat>
            <c:numLit>
              <c:formatCode>General</c:formatCode>
              <c:ptCount val="5"/>
              <c:pt idx="0">
                <c:v>50</c:v>
              </c:pt>
              <c:pt idx="1">
                <c:v>100</c:v>
              </c:pt>
              <c:pt idx="2">
                <c:v>200</c:v>
              </c:pt>
              <c:pt idx="3">
                <c:v>400</c:v>
              </c:pt>
              <c:pt idx="4">
                <c:v>800</c:v>
              </c:pt>
            </c:numLit>
          </c:cat>
          <c:val>
            <c:numRef>
              <c:f>Sheet2!$C$80:$C$84</c:f>
              <c:numCache>
                <c:formatCode>General</c:formatCode>
                <c:ptCount val="5"/>
                <c:pt idx="0">
                  <c:v>0.25600000000000001</c:v>
                </c:pt>
                <c:pt idx="1">
                  <c:v>0.30099999999999999</c:v>
                </c:pt>
                <c:pt idx="2">
                  <c:v>0.34599999999999997</c:v>
                </c:pt>
                <c:pt idx="3">
                  <c:v>0.38800000000000001</c:v>
                </c:pt>
                <c:pt idx="4">
                  <c:v>0.40600000000000003</c:v>
                </c:pt>
              </c:numCache>
            </c:numRef>
          </c:val>
          <c:smooth val="0"/>
          <c:extLst>
            <c:ext xmlns:c16="http://schemas.microsoft.com/office/drawing/2014/chart" uri="{C3380CC4-5D6E-409C-BE32-E72D297353CC}">
              <c16:uniqueId val="{00000001-02BD-4763-BAE5-4FD66CB1EF09}"/>
            </c:ext>
          </c:extLst>
        </c:ser>
        <c:ser>
          <c:idx val="2"/>
          <c:order val="2"/>
          <c:tx>
            <c:strRef>
              <c:f>Sheet2!$D$78:$D$79</c:f>
              <c:strCache>
                <c:ptCount val="2"/>
                <c:pt idx="0">
                  <c:v>TO</c:v>
                </c:pt>
              </c:strCache>
            </c:strRef>
          </c:tx>
          <c:spPr>
            <a:ln w="31750" cap="rnd">
              <a:solidFill>
                <a:schemeClr val="accent3">
                  <a:alpha val="85000"/>
                </a:schemeClr>
              </a:solidFill>
              <a:round/>
            </a:ln>
            <a:effectLst/>
          </c:spPr>
          <c:marker>
            <c:symbol val="circle"/>
            <c:size val="6"/>
            <c:spPr>
              <a:solidFill>
                <a:schemeClr val="accent3">
                  <a:alpha val="85000"/>
                </a:schemeClr>
              </a:solidFill>
              <a:ln>
                <a:noFill/>
              </a:ln>
              <a:effectLst/>
            </c:spPr>
          </c:marker>
          <c:cat>
            <c:numLit>
              <c:formatCode>General</c:formatCode>
              <c:ptCount val="5"/>
              <c:pt idx="0">
                <c:v>50</c:v>
              </c:pt>
              <c:pt idx="1">
                <c:v>100</c:v>
              </c:pt>
              <c:pt idx="2">
                <c:v>200</c:v>
              </c:pt>
              <c:pt idx="3">
                <c:v>400</c:v>
              </c:pt>
              <c:pt idx="4">
                <c:v>800</c:v>
              </c:pt>
            </c:numLit>
          </c:cat>
          <c:val>
            <c:numRef>
              <c:f>Sheet2!$D$80:$D$84</c:f>
              <c:numCache>
                <c:formatCode>General</c:formatCode>
                <c:ptCount val="5"/>
                <c:pt idx="0">
                  <c:v>0.254</c:v>
                </c:pt>
                <c:pt idx="1">
                  <c:v>0.29599999999999999</c:v>
                </c:pt>
                <c:pt idx="2">
                  <c:v>0.34100000000000003</c:v>
                </c:pt>
                <c:pt idx="3">
                  <c:v>0.378</c:v>
                </c:pt>
                <c:pt idx="4">
                  <c:v>0.436</c:v>
                </c:pt>
              </c:numCache>
            </c:numRef>
          </c:val>
          <c:smooth val="0"/>
          <c:extLst>
            <c:ext xmlns:c16="http://schemas.microsoft.com/office/drawing/2014/chart" uri="{C3380CC4-5D6E-409C-BE32-E72D297353CC}">
              <c16:uniqueId val="{00000002-02BD-4763-BAE5-4FD66CB1EF09}"/>
            </c:ext>
          </c:extLst>
        </c:ser>
        <c:ser>
          <c:idx val="3"/>
          <c:order val="3"/>
          <c:tx>
            <c:strRef>
              <c:f>Sheet2!$E$78:$E$79</c:f>
              <c:strCache>
                <c:ptCount val="2"/>
                <c:pt idx="0">
                  <c:v>Standard</c:v>
                </c:pt>
                <c:pt idx="1">
                  <c:v>(Ascorbic acid)</c:v>
                </c:pt>
              </c:strCache>
            </c:strRef>
          </c:tx>
          <c:spPr>
            <a:ln w="31750" cap="rnd">
              <a:solidFill>
                <a:schemeClr val="accent4">
                  <a:alpha val="85000"/>
                </a:schemeClr>
              </a:solidFill>
              <a:round/>
            </a:ln>
            <a:effectLst/>
          </c:spPr>
          <c:marker>
            <c:symbol val="circle"/>
            <c:size val="6"/>
            <c:spPr>
              <a:solidFill>
                <a:schemeClr val="accent4">
                  <a:alpha val="85000"/>
                </a:schemeClr>
              </a:solidFill>
              <a:ln>
                <a:noFill/>
              </a:ln>
              <a:effectLst/>
            </c:spPr>
          </c:marker>
          <c:cat>
            <c:numLit>
              <c:formatCode>General</c:formatCode>
              <c:ptCount val="5"/>
              <c:pt idx="0">
                <c:v>50</c:v>
              </c:pt>
              <c:pt idx="1">
                <c:v>100</c:v>
              </c:pt>
              <c:pt idx="2">
                <c:v>200</c:v>
              </c:pt>
              <c:pt idx="3">
                <c:v>400</c:v>
              </c:pt>
              <c:pt idx="4">
                <c:v>800</c:v>
              </c:pt>
            </c:numLit>
          </c:cat>
          <c:val>
            <c:numRef>
              <c:f>Sheet2!$E$80:$E$84</c:f>
              <c:numCache>
                <c:formatCode>General</c:formatCode>
                <c:ptCount val="5"/>
                <c:pt idx="0">
                  <c:v>0.28000000000000003</c:v>
                </c:pt>
                <c:pt idx="1">
                  <c:v>0.32600000000000001</c:v>
                </c:pt>
                <c:pt idx="2">
                  <c:v>0.36199999999999999</c:v>
                </c:pt>
                <c:pt idx="3">
                  <c:v>0.39100000000000001</c:v>
                </c:pt>
                <c:pt idx="4">
                  <c:v>0.44</c:v>
                </c:pt>
              </c:numCache>
            </c:numRef>
          </c:val>
          <c:smooth val="0"/>
          <c:extLst>
            <c:ext xmlns:c16="http://schemas.microsoft.com/office/drawing/2014/chart" uri="{C3380CC4-5D6E-409C-BE32-E72D297353CC}">
              <c16:uniqueId val="{00000003-02BD-4763-BAE5-4FD66CB1EF09}"/>
            </c:ext>
          </c:extLst>
        </c:ser>
        <c:dLbls>
          <c:showLegendKey val="0"/>
          <c:showVal val="0"/>
          <c:showCatName val="0"/>
          <c:showSerName val="0"/>
          <c:showPercent val="0"/>
          <c:showBubbleSize val="0"/>
        </c:dLbls>
        <c:marker val="1"/>
        <c:smooth val="0"/>
        <c:axId val="107247503"/>
        <c:axId val="107237423"/>
      </c:lineChart>
      <c:catAx>
        <c:axId val="107247503"/>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CONCENTRATION</a:t>
                </a:r>
                <a:r>
                  <a:rPr lang="en-IN" baseline="0"/>
                  <a:t> </a:t>
                </a:r>
                <a:r>
                  <a:rPr lang="el-GR" baseline="0">
                    <a:latin typeface="Calibri" panose="020F0502020204030204" pitchFamily="34" charset="0"/>
                    <a:cs typeface="Calibri" panose="020F0502020204030204" pitchFamily="34" charset="0"/>
                  </a:rPr>
                  <a:t>μ</a:t>
                </a:r>
                <a:r>
                  <a:rPr lang="en-US" baseline="0">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IN"/>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7237423"/>
        <c:crosses val="autoZero"/>
        <c:auto val="1"/>
        <c:lblAlgn val="ctr"/>
        <c:lblOffset val="100"/>
        <c:noMultiLvlLbl val="0"/>
      </c:catAx>
      <c:valAx>
        <c:axId val="107237423"/>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Antioxidant activity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724750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16</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SUBBU LAKSHMI</dc:creator>
  <cp:keywords/>
  <dc:description/>
  <cp:lastModifiedBy>ERNIATI SS.i MS.i</cp:lastModifiedBy>
  <cp:revision>5</cp:revision>
  <dcterms:created xsi:type="dcterms:W3CDTF">2025-03-17T05:56:00Z</dcterms:created>
  <dcterms:modified xsi:type="dcterms:W3CDTF">2025-03-17T10:40:00Z</dcterms:modified>
</cp:coreProperties>
</file>